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20"/>
        </w:rPr>
      </w:pPr>
      <w:r>
        <w:rPr>
          <w:b/>
          <w:bCs/>
          <w:sz w:val="20"/>
        </w:rPr>
        <w:t>October 25, 2001</w:t>
      </w:r>
    </w:p>
    <w:p>
      <w:pPr>
        <w:pStyle w:val="Normal"/>
        <w:jc w:val="center"/>
        <w:rPr>
          <w:b/>
          <w:bCs/>
          <w:sz w:val="20"/>
        </w:rPr>
      </w:pPr>
      <w:r>
        <w:rPr>
          <w:b/>
          <w:bCs/>
          <w:sz w:val="20"/>
        </w:rPr>
      </w:r>
    </w:p>
    <w:p>
      <w:pPr>
        <w:pStyle w:val="Normal"/>
        <w:jc w:val="center"/>
        <w:rPr>
          <w:b/>
          <w:bCs/>
          <w:sz w:val="20"/>
        </w:rPr>
      </w:pPr>
      <w:r>
        <w:rPr>
          <w:b/>
          <w:bCs/>
          <w:sz w:val="20"/>
        </w:rPr>
      </w:r>
    </w:p>
    <w:p>
      <w:pPr>
        <w:pStyle w:val="Normal"/>
        <w:jc w:val="center"/>
        <w:rPr>
          <w:b/>
          <w:bCs/>
          <w:sz w:val="20"/>
        </w:rPr>
      </w:pPr>
      <w:r>
        <w:rPr>
          <w:b/>
          <w:bCs/>
          <w:sz w:val="20"/>
        </w:rPr>
      </w:r>
    </w:p>
    <w:p>
      <w:pPr>
        <w:pStyle w:val="Normal"/>
        <w:jc w:val="center"/>
        <w:rPr>
          <w:b/>
          <w:bCs/>
          <w:sz w:val="20"/>
        </w:rPr>
      </w:pPr>
      <w:r>
        <w:rPr>
          <w:b/>
          <w:bCs/>
          <w:sz w:val="20"/>
        </w:rPr>
        <w:t>Enron North America</w:t>
      </w:r>
    </w:p>
    <w:p>
      <w:pPr>
        <w:pStyle w:val="Normal"/>
        <w:jc w:val="center"/>
        <w:rPr>
          <w:b/>
          <w:bCs/>
          <w:sz w:val="20"/>
        </w:rPr>
      </w:pPr>
      <w:r>
        <w:rPr>
          <w:b/>
          <w:bCs/>
          <w:sz w:val="20"/>
        </w:rPr>
        <w:t>Proposal to Sell to AEP on behalf of SWEPCO</w:t>
      </w:r>
    </w:p>
    <w:p>
      <w:pPr>
        <w:pStyle w:val="Heading1"/>
        <w:ind w:hanging="0" w:start="0"/>
        <w:rPr>
          <w:b w:val="false"/>
          <w:bCs w:val="false"/>
          <w:sz w:val="20"/>
        </w:rPr>
      </w:pPr>
      <w:r>
        <w:rPr>
          <w:b w:val="false"/>
          <w:bCs w:val="false"/>
          <w:sz w:val="20"/>
        </w:rPr>
      </w:r>
    </w:p>
    <w:p>
      <w:pPr>
        <w:pStyle w:val="Normal"/>
        <w:rPr>
          <w:sz w:val="20"/>
        </w:rPr>
      </w:pPr>
      <w:r>
        <w:rPr>
          <w:sz w:val="20"/>
        </w:rPr>
      </w:r>
    </w:p>
    <w:p>
      <w:pPr>
        <w:pStyle w:val="Normal"/>
        <w:rPr/>
      </w:pPr>
      <w:r>
        <w:rPr/>
      </w:r>
    </w:p>
    <w:p>
      <w:pPr>
        <w:pStyle w:val="Normal"/>
        <w:rPr/>
      </w:pPr>
      <w:r>
        <w:rPr/>
      </w:r>
    </w:p>
    <w:p>
      <w:pPr>
        <w:pStyle w:val="Normal"/>
        <w:jc w:val="both"/>
        <w:rPr>
          <w:sz w:val="20"/>
        </w:rPr>
      </w:pPr>
      <w:r>
        <w:rPr>
          <w:sz w:val="20"/>
        </w:rPr>
      </w:r>
    </w:p>
    <w:p>
      <w:pPr>
        <w:pStyle w:val="Normal"/>
        <w:jc w:val="both"/>
        <w:rPr/>
      </w:pPr>
      <w:r>
        <w:rPr>
          <w:b/>
          <w:bCs/>
          <w:sz w:val="20"/>
        </w:rPr>
        <w:t>Description:</w:t>
      </w:r>
      <w:r>
        <w:rPr>
          <w:sz w:val="20"/>
        </w:rPr>
        <w:tab/>
        <w:tab/>
        <w:t>This proposal describes a transaction in which ENA sells firm baseload</w:t>
      </w:r>
    </w:p>
    <w:p>
      <w:pPr>
        <w:pStyle w:val="Normal"/>
        <w:jc w:val="both"/>
        <w:rPr>
          <w:sz w:val="20"/>
        </w:rPr>
      </w:pPr>
      <w:r>
        <w:rPr>
          <w:sz w:val="20"/>
        </w:rPr>
        <w:tab/>
        <w:tab/>
        <w:tab/>
        <w:t>supply to AEP for November 2001</w:t>
      </w:r>
    </w:p>
    <w:p>
      <w:pPr>
        <w:pStyle w:val="Normal"/>
        <w:jc w:val="both"/>
        <w:rPr>
          <w:sz w:val="20"/>
        </w:rPr>
      </w:pPr>
      <w:r>
        <w:rPr>
          <w:sz w:val="20"/>
        </w:rPr>
      </w:r>
    </w:p>
    <w:p>
      <w:pPr>
        <w:pStyle w:val="Normal"/>
        <w:jc w:val="both"/>
        <w:rPr/>
      </w:pPr>
      <w:r>
        <w:rPr>
          <w:b/>
          <w:bCs/>
          <w:sz w:val="20"/>
        </w:rPr>
        <w:t>Buyer:</w:t>
        <w:tab/>
      </w:r>
      <w:r>
        <w:rPr>
          <w:sz w:val="20"/>
        </w:rPr>
        <w:tab/>
        <w:tab/>
        <w:t>AEP on behalf of SWEPCO</w:t>
      </w:r>
    </w:p>
    <w:p>
      <w:pPr>
        <w:pStyle w:val="Normal"/>
        <w:jc w:val="both"/>
        <w:rPr>
          <w:sz w:val="20"/>
        </w:rPr>
      </w:pPr>
      <w:r>
        <w:rPr>
          <w:sz w:val="20"/>
        </w:rPr>
      </w:r>
    </w:p>
    <w:p>
      <w:pPr>
        <w:pStyle w:val="Normal"/>
        <w:jc w:val="both"/>
        <w:rPr/>
      </w:pPr>
      <w:r>
        <w:rPr>
          <w:b/>
          <w:bCs/>
          <w:sz w:val="20"/>
        </w:rPr>
        <w:t>Seller:</w:t>
        <w:tab/>
      </w:r>
      <w:r>
        <w:rPr>
          <w:sz w:val="20"/>
        </w:rPr>
        <w:tab/>
        <w:tab/>
        <w:t>ENA</w:t>
      </w:r>
    </w:p>
    <w:p>
      <w:pPr>
        <w:pStyle w:val="Normal"/>
        <w:jc w:val="both"/>
        <w:rPr>
          <w:sz w:val="20"/>
        </w:rPr>
      </w:pPr>
      <w:r>
        <w:rPr>
          <w:sz w:val="20"/>
        </w:rPr>
      </w:r>
    </w:p>
    <w:p>
      <w:pPr>
        <w:pStyle w:val="Normal"/>
        <w:jc w:val="both"/>
        <w:rPr/>
      </w:pPr>
      <w:r>
        <w:rPr>
          <w:b/>
          <w:bCs/>
          <w:sz w:val="20"/>
        </w:rPr>
        <w:t>Term:</w:t>
        <w:tab/>
      </w:r>
      <w:r>
        <w:rPr>
          <w:sz w:val="20"/>
        </w:rPr>
        <w:tab/>
        <w:tab/>
        <w:t>November 2001</w:t>
      </w:r>
    </w:p>
    <w:p>
      <w:pPr>
        <w:pStyle w:val="Normal"/>
        <w:jc w:val="both"/>
        <w:rPr>
          <w:sz w:val="20"/>
        </w:rPr>
      </w:pPr>
      <w:r>
        <w:rPr>
          <w:sz w:val="20"/>
        </w:rPr>
      </w:r>
    </w:p>
    <w:p>
      <w:pPr>
        <w:pStyle w:val="Normal"/>
        <w:jc w:val="both"/>
        <w:rPr/>
      </w:pPr>
      <w:r>
        <w:rPr>
          <w:b/>
          <w:bCs/>
          <w:sz w:val="20"/>
        </w:rPr>
        <w:t>Transaction Type:</w:t>
      </w:r>
      <w:r>
        <w:rPr>
          <w:sz w:val="20"/>
        </w:rPr>
        <w:tab/>
        <w:t>Physical</w:t>
      </w:r>
    </w:p>
    <w:p>
      <w:pPr>
        <w:pStyle w:val="Normal"/>
        <w:jc w:val="both"/>
        <w:rPr>
          <w:sz w:val="20"/>
        </w:rPr>
      </w:pPr>
      <w:r>
        <w:rPr>
          <w:sz w:val="20"/>
        </w:rPr>
      </w:r>
    </w:p>
    <w:p>
      <w:pPr>
        <w:pStyle w:val="Normal"/>
        <w:jc w:val="both"/>
        <w:rPr/>
      </w:pPr>
      <w:r>
        <w:rPr>
          <w:b/>
          <w:bCs/>
          <w:sz w:val="20"/>
        </w:rPr>
        <w:t>Quantity:</w:t>
      </w:r>
      <w:r>
        <w:rPr>
          <w:sz w:val="20"/>
        </w:rPr>
        <w:tab/>
        <w:tab/>
        <w:t>10,000 MMBtu’s/Day</w:t>
        <w:tab/>
        <w:tab/>
        <w:tab/>
      </w:r>
    </w:p>
    <w:p>
      <w:pPr>
        <w:pStyle w:val="Normal"/>
        <w:jc w:val="both"/>
        <w:rPr>
          <w:sz w:val="20"/>
        </w:rPr>
      </w:pPr>
      <w:r>
        <w:rPr>
          <w:sz w:val="20"/>
        </w:rPr>
      </w:r>
    </w:p>
    <w:p>
      <w:pPr>
        <w:pStyle w:val="Normal"/>
        <w:jc w:val="both"/>
        <w:rPr/>
      </w:pPr>
      <w:r>
        <w:rPr>
          <w:b/>
          <w:bCs/>
          <w:sz w:val="20"/>
        </w:rPr>
        <w:t>Delivery Point:</w:t>
      </w:r>
      <w:r>
        <w:rPr>
          <w:sz w:val="20"/>
        </w:rPr>
        <w:tab/>
        <w:tab/>
        <w:t>Reliant Neutral Pool</w:t>
      </w:r>
    </w:p>
    <w:p>
      <w:pPr>
        <w:pStyle w:val="Normal"/>
        <w:jc w:val="both"/>
        <w:rPr>
          <w:sz w:val="20"/>
        </w:rPr>
      </w:pPr>
      <w:r>
        <w:rPr>
          <w:sz w:val="20"/>
        </w:rPr>
      </w:r>
    </w:p>
    <w:p>
      <w:pPr>
        <w:pStyle w:val="Normal"/>
        <w:jc w:val="both"/>
        <w:rPr/>
      </w:pPr>
      <w:r>
        <w:rPr>
          <w:b/>
          <w:bCs/>
          <w:sz w:val="20"/>
        </w:rPr>
        <w:t>Price:</w:t>
      </w:r>
      <w:r>
        <w:rPr>
          <w:sz w:val="20"/>
        </w:rPr>
        <w:tab/>
        <w:tab/>
        <w:tab/>
        <w:t>IF-Reliant East + $.02</w:t>
      </w:r>
    </w:p>
    <w:p>
      <w:pPr>
        <w:pStyle w:val="Normal"/>
        <w:jc w:val="both"/>
        <w:rPr>
          <w:sz w:val="20"/>
        </w:rPr>
      </w:pPr>
      <w:r>
        <w:rPr>
          <w:sz w:val="20"/>
        </w:rPr>
      </w:r>
    </w:p>
    <w:p>
      <w:pPr>
        <w:pStyle w:val="Normal"/>
        <w:jc w:val="both"/>
        <w:rPr>
          <w:sz w:val="20"/>
        </w:rPr>
      </w:pPr>
      <w:r>
        <w:rPr>
          <w:sz w:val="20"/>
        </w:rPr>
        <w:tab/>
        <w:tab/>
        <w:tab/>
      </w:r>
    </w:p>
    <w:p>
      <w:pPr>
        <w:pStyle w:val="Normal"/>
        <w:jc w:val="both"/>
        <w:rPr>
          <w:sz w:val="20"/>
        </w:rPr>
      </w:pPr>
      <w:r>
        <w:rPr>
          <w:sz w:val="20"/>
        </w:rPr>
      </w:r>
    </w:p>
    <w:p>
      <w:pPr>
        <w:pStyle w:val="Normal"/>
        <w:jc w:val="both"/>
        <w:rPr>
          <w:sz w:val="20"/>
        </w:rPr>
      </w:pPr>
      <w:r>
        <w:rPr>
          <w:sz w:val="20"/>
        </w:rPr>
      </w:r>
    </w:p>
    <w:p>
      <w:pPr>
        <w:pStyle w:val="Normal"/>
        <w:ind w:start="1440" w:end="0"/>
        <w:jc w:val="both"/>
        <w:rPr>
          <w:sz w:val="20"/>
        </w:rPr>
      </w:pPr>
      <w:r>
        <w:rPr>
          <w:sz w:val="20"/>
        </w:rPr>
      </w:r>
    </w:p>
    <w:p>
      <w:pPr>
        <w:pStyle w:val="Normal"/>
        <w:jc w:val="both"/>
        <w:rPr>
          <w:sz w:val="20"/>
        </w:rPr>
      </w:pPr>
      <w:r>
        <w:rPr>
          <w:sz w:val="20"/>
        </w:rPr>
      </w:r>
    </w:p>
    <w:p>
      <w:pPr>
        <w:pStyle w:val="BodyText"/>
        <w:rPr/>
      </w:pPr>
      <w:r>
        <w:rPr/>
        <w:t>This proposal is for discussion purposes only to facilitate the negotiation, preparation, and execution of a definitive agreement.  It is not intended to create a binding or enforceable contract or to be complete and all-inclusive of the terms of the related transaction.  This is not an offer or a commitment of ENA or any parent or affiliate of ENA.  The transaction described herein is subject to further review and approval of ENA and execution of definitive agreements containing all appropriate provisions, including those relating to credit and limitation of damages and remedies.</w:t>
      </w:r>
    </w:p>
    <w:p>
      <w:pPr>
        <w:pStyle w:val="BodyText"/>
        <w:rPr/>
      </w:pPr>
      <w:r>
        <w:rPr/>
      </w:r>
    </w:p>
    <w:p>
      <w:pPr>
        <w:pStyle w:val="BodyText"/>
        <w:rPr/>
      </w:pPr>
      <w:r>
        <w:rPr/>
      </w:r>
    </w:p>
    <w:p>
      <w:pPr>
        <w:pStyle w:val="BodyText"/>
        <w:rPr/>
      </w:pPr>
      <w:r>
        <w:rPr/>
        <w:t>If you have any questions or comments, please don’t hesitate to call me.  Thanks for the opportunity to be involved in the bid process for your business.</w:t>
      </w:r>
    </w:p>
    <w:p>
      <w:pPr>
        <w:pStyle w:val="BodyText"/>
        <w:rPr/>
      </w:pPr>
      <w:r>
        <w:rPr/>
      </w:r>
    </w:p>
    <w:p>
      <w:pPr>
        <w:pStyle w:val="BodyText"/>
        <w:rPr/>
      </w:pPr>
      <w:r>
        <w:rPr/>
      </w:r>
    </w:p>
    <w:p>
      <w:pPr>
        <w:pStyle w:val="BodyText"/>
        <w:rPr/>
      </w:pPr>
      <w:r>
        <w:rPr/>
      </w:r>
    </w:p>
    <w:p>
      <w:pPr>
        <w:pStyle w:val="BodyText"/>
        <w:rPr/>
      </w:pPr>
      <w:r>
        <w:rPr/>
        <w:t>Sincerely,</w:t>
      </w:r>
    </w:p>
    <w:p>
      <w:pPr>
        <w:pStyle w:val="BodyText"/>
        <w:rPr/>
      </w:pPr>
      <w:r>
        <w:rPr/>
      </w:r>
    </w:p>
    <w:p>
      <w:pPr>
        <w:pStyle w:val="BodyText"/>
        <w:rPr/>
      </w:pPr>
      <w:r>
        <w:rPr/>
        <w:t>Darron Giron</w:t>
      </w:r>
    </w:p>
    <w:p>
      <w:pPr>
        <w:pStyle w:val="BodyText"/>
        <w:rPr/>
      </w:pPr>
      <w:r>
        <w:rPr/>
        <w:t>713-853-9573</w:t>
      </w:r>
    </w:p>
    <w:p>
      <w:pPr>
        <w:pStyle w:val="Normal"/>
        <w:jc w:val="both"/>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2001-10-25T11:08:00Z</dcterms:created>
  <dc:creator>Darron Giron</dc:creator>
  <dc:description/>
  <dc:language>en-CA</dc:language>
  <cp:lastModifiedBy>Darron Giron</cp:lastModifiedBy>
  <cp:lastPrinted>2001-07-19T08:27:00Z</cp:lastPrinted>
  <dcterms:modified xsi:type="dcterms:W3CDTF">2001-10-25T11:26:00Z</dcterms:modified>
  <cp:revision>4</cp:revision>
  <dc:subject/>
  <dc:title>Enron North America (“ENA”)</dc:title>
</cp:coreProperties>
</file>