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AEP-HPL Transition Issues</w:t>
      </w:r>
    </w:p>
    <w:p>
      <w:pPr>
        <w:pStyle w:val="Normal"/>
        <w:rPr/>
      </w:pPr>
      <w:r>
        <w:rPr/>
      </w:r>
    </w:p>
    <w:p>
      <w:pPr>
        <w:pStyle w:val="Normal"/>
        <w:rPr/>
      </w:pPr>
      <w:r>
        <w:rPr/>
        <w:t>Energy Operations</w:t>
      </w:r>
    </w:p>
    <w:p>
      <w:pPr>
        <w:pStyle w:val="Normal"/>
        <w:rPr/>
      </w:pPr>
      <w:r>
        <w:rPr/>
      </w:r>
    </w:p>
    <w:p>
      <w:pPr>
        <w:pStyle w:val="Normal"/>
        <w:rPr/>
      </w:pPr>
      <w:r>
        <w:rPr>
          <w:b/>
          <w:u w:val="single"/>
        </w:rPr>
        <w:t>Global Counterparty</w:t>
      </w:r>
      <w:r>
        <w:rPr>
          <w:u w:val="single"/>
        </w:rPr>
        <w:t>:</w:t>
      </w:r>
    </w:p>
    <w:p>
      <w:pPr>
        <w:pStyle w:val="Normal"/>
        <w:rPr>
          <w:u w:val="single"/>
        </w:rPr>
      </w:pPr>
      <w:r>
        <w:rPr>
          <w:u w:val="single"/>
        </w:rPr>
      </w:r>
    </w:p>
    <w:p>
      <w:pPr>
        <w:pStyle w:val="Normal"/>
        <w:rPr/>
      </w:pPr>
      <w:r>
        <w:rPr/>
        <w:t>Due to inadequate security within global counterparty to separate AEP and Enron, Enron will continue to provide additions and maintenance for counterparties that AEP-HPL will need</w:t>
      </w:r>
      <w:r>
        <w:rPr>
          <w:i/>
        </w:rPr>
        <w:t xml:space="preserve">.  A web based application is being developed by Enron IT (?????) for requests to come from AEP.  </w:t>
      </w:r>
      <w:r>
        <w:rPr/>
        <w:t xml:space="preserve">AEP will provide all necessary data, confirm fax numbers and payment information, plus verify information with counterparties for internal control.  </w:t>
      </w:r>
    </w:p>
    <w:p>
      <w:pPr>
        <w:pStyle w:val="Normal"/>
        <w:rPr/>
      </w:pPr>
      <w:r>
        <w:rPr/>
      </w:r>
    </w:p>
    <w:p>
      <w:pPr>
        <w:pStyle w:val="Normal"/>
        <w:rPr/>
      </w:pPr>
      <w:r>
        <w:rPr/>
        <w:t xml:space="preserve">AEP will have view only for all counterparty information.  </w:t>
      </w:r>
      <w:r>
        <w:rPr>
          <w:i/>
        </w:rPr>
        <w:t>A question remains about filtering the counterparties so AEP see only their counterparties. Filter out comments/notes (Bill Hare)</w:t>
      </w:r>
    </w:p>
    <w:p>
      <w:pPr>
        <w:pStyle w:val="Normal"/>
        <w:rPr>
          <w:i/>
          <w:i/>
        </w:rPr>
      </w:pPr>
      <w:r>
        <w:rPr>
          <w:i/>
        </w:rPr>
      </w:r>
    </w:p>
    <w:p>
      <w:pPr>
        <w:pStyle w:val="Normal"/>
        <w:rPr/>
      </w:pPr>
      <w:r>
        <w:rPr/>
        <w:t xml:space="preserve">A new counterparty (AEP-HPL) has been set up for use as the master.   </w:t>
      </w:r>
      <w:r>
        <w:rPr>
          <w:i/>
        </w:rPr>
        <w:t>Will there be a new DUN’s number for this legal entity or will that keep the old number but assigned a new parent??</w:t>
      </w:r>
    </w:p>
    <w:p>
      <w:pPr>
        <w:pStyle w:val="Normal"/>
        <w:rPr>
          <w:i/>
          <w:i/>
        </w:rPr>
      </w:pPr>
      <w:r>
        <w:rPr>
          <w:i/>
        </w:rPr>
      </w:r>
    </w:p>
    <w:p>
      <w:pPr>
        <w:pStyle w:val="Normal"/>
        <w:rPr/>
      </w:pPr>
      <w:r>
        <w:rPr/>
        <w:t xml:space="preserve"> </w:t>
      </w:r>
      <w:r>
        <w:rPr/>
        <w:t xml:space="preserve">Will have to set up new counterparty to replace ENA as marketing affiliate on HPL.  </w:t>
      </w:r>
    </w:p>
    <w:p>
      <w:pPr>
        <w:pStyle w:val="Normal"/>
        <w:rPr/>
      </w:pPr>
      <w:r>
        <w:rPr/>
      </w:r>
    </w:p>
    <w:p>
      <w:pPr>
        <w:pStyle w:val="Normal"/>
        <w:rPr/>
      </w:pPr>
      <w:r>
        <w:rPr>
          <w:i/>
        </w:rPr>
        <w:t>Banking information and notification information will be added, as it becomes available from AEP</w:t>
      </w:r>
      <w:r>
        <w:rPr/>
        <w:t>.</w:t>
      </w:r>
    </w:p>
    <w:p>
      <w:pPr>
        <w:pStyle w:val="Normal"/>
        <w:rPr/>
      </w:pPr>
      <w:r>
        <w:rPr/>
      </w:r>
    </w:p>
    <w:p>
      <w:pPr>
        <w:pStyle w:val="BodyText"/>
        <w:rPr/>
      </w:pPr>
      <w:r>
        <w:rPr/>
        <w:t>AEP must create a cross-reference table with the Enron counterparty numbers and AEP counterparty numbers.  Procedures around maintenance of the table need to be determined.</w:t>
      </w:r>
    </w:p>
    <w:p>
      <w:pPr>
        <w:pStyle w:val="Normal"/>
        <w:rPr>
          <w:i/>
          <w:i/>
        </w:rPr>
      </w:pPr>
      <w:r>
        <w:rPr>
          <w:i/>
        </w:rPr>
        <w:t xml:space="preserve">  </w:t>
      </w:r>
    </w:p>
    <w:p>
      <w:pPr>
        <w:pStyle w:val="Normal"/>
        <w:rPr/>
      </w:pPr>
      <w:r>
        <w:rPr>
          <w:b/>
          <w:u w:val="single"/>
        </w:rPr>
        <w:t>Global Facilities</w:t>
      </w:r>
      <w:r>
        <w:rPr/>
        <w:t>:</w:t>
      </w:r>
    </w:p>
    <w:p>
      <w:pPr>
        <w:pStyle w:val="Normal"/>
        <w:rPr/>
      </w:pPr>
      <w:r>
        <w:rPr/>
      </w:r>
    </w:p>
    <w:p>
      <w:pPr>
        <w:pStyle w:val="Normal"/>
        <w:rPr/>
      </w:pPr>
      <w:r>
        <w:rPr>
          <w:i/>
        </w:rPr>
        <w:t>Global facilities will have to be split between HPL and Bridgeline</w:t>
      </w:r>
      <w:r>
        <w:rPr/>
        <w:t xml:space="preserve">.  Once this is done, AEP will be given access to HPL.  AEP personnel will perform additions and maintenance. </w:t>
      </w:r>
    </w:p>
    <w:p>
      <w:pPr>
        <w:pStyle w:val="Normal"/>
        <w:rPr/>
      </w:pPr>
      <w:r>
        <w:rPr/>
      </w:r>
    </w:p>
    <w:p>
      <w:pPr>
        <w:pStyle w:val="Normal"/>
        <w:rPr/>
      </w:pPr>
      <w:r>
        <w:rPr>
          <w:i/>
        </w:rPr>
        <w:t>The major issue remaining is whether a new pipeline will be recreated replacing the current HPL.</w:t>
      </w:r>
      <w:r>
        <w:rPr/>
        <w:t xml:space="preserve">  Meaning that all facilities would have to copy over and recreated in a new pipeline environment.</w:t>
      </w:r>
    </w:p>
    <w:p>
      <w:pPr>
        <w:pStyle w:val="Normal"/>
        <w:rPr/>
      </w:pPr>
      <w:r>
        <w:rPr/>
      </w:r>
    </w:p>
    <w:p>
      <w:pPr>
        <w:pStyle w:val="Normal"/>
        <w:rPr>
          <w:b/>
          <w:u w:val="single"/>
        </w:rPr>
      </w:pPr>
      <w:r>
        <w:rPr>
          <w:b/>
          <w:u w:val="single"/>
        </w:rPr>
        <w:t>Global Contract:</w:t>
      </w:r>
    </w:p>
    <w:p>
      <w:pPr>
        <w:pStyle w:val="Normal"/>
        <w:rPr>
          <w:b/>
          <w:u w:val="single"/>
        </w:rPr>
      </w:pPr>
      <w:r>
        <w:rPr>
          <w:b/>
          <w:u w:val="single"/>
        </w:rPr>
      </w:r>
    </w:p>
    <w:p>
      <w:pPr>
        <w:pStyle w:val="Normal"/>
        <w:rPr>
          <w:b/>
          <w:u w:val="single"/>
        </w:rPr>
      </w:pPr>
      <w:r>
        <w:rPr>
          <w:b/>
          <w:u w:val="single"/>
        </w:rPr>
      </w:r>
    </w:p>
    <w:p>
      <w:pPr>
        <w:pStyle w:val="Normal"/>
        <w:rPr/>
      </w:pPr>
      <w:r>
        <w:rPr/>
        <w:t>AEP will have access to global contract system for their contracts.  AEP personnel will perform additions and maintenance after the close.</w:t>
      </w:r>
    </w:p>
    <w:p>
      <w:pPr>
        <w:pStyle w:val="Normal"/>
        <w:rPr/>
      </w:pPr>
      <w:r>
        <w:rPr/>
      </w:r>
    </w:p>
    <w:p>
      <w:pPr>
        <w:pStyle w:val="Normal"/>
        <w:rPr/>
      </w:pPr>
      <w:r>
        <w:rPr/>
        <w:t>George Weissman and Melissa Graves have identify a list of approximately 2,000 contracts.  This list will be divided into contracts that are being transferred to AEP, contracts that need to be terminated before closing, contracts that can be terminated after closing.</w:t>
      </w:r>
    </w:p>
    <w:p>
      <w:pPr>
        <w:pStyle w:val="Normal"/>
        <w:rPr/>
      </w:pPr>
      <w:r>
        <w:rPr/>
      </w:r>
    </w:p>
    <w:p>
      <w:pPr>
        <w:pStyle w:val="Normal"/>
        <w:rPr/>
      </w:pPr>
      <w:r>
        <w:rPr/>
        <w:t>Cheryl Dudley has written the script to have IT copy the information for the contracts that will be transferred to AEP</w:t>
      </w:r>
      <w:r>
        <w:rPr>
          <w:i/>
        </w:rPr>
        <w:t>.  This will also generate new contract numbers in the system.</w:t>
      </w:r>
    </w:p>
    <w:p>
      <w:pPr>
        <w:pStyle w:val="Normal"/>
        <w:rPr>
          <w:i/>
          <w:i/>
        </w:rPr>
      </w:pPr>
      <w:r>
        <w:rPr>
          <w:i/>
        </w:rPr>
      </w:r>
    </w:p>
    <w:p>
      <w:pPr>
        <w:pStyle w:val="Normal"/>
        <w:rPr>
          <w:i/>
          <w:i/>
        </w:rPr>
      </w:pPr>
      <w:r>
        <w:rPr>
          <w:i/>
        </w:rPr>
        <w:t>A cross reference table must be setup and maintained by AEP (??????)</w:t>
      </w:r>
    </w:p>
    <w:p>
      <w:pPr>
        <w:pStyle w:val="Normal"/>
        <w:rPr>
          <w:i/>
          <w:i/>
        </w:rPr>
      </w:pPr>
      <w:r>
        <w:rPr>
          <w:i/>
        </w:rPr>
      </w:r>
    </w:p>
    <w:p>
      <w:pPr>
        <w:pStyle w:val="Normal"/>
        <w:rPr>
          <w:i/>
          <w:i/>
        </w:rPr>
      </w:pPr>
      <w:r>
        <w:rPr>
          <w:i/>
        </w:rPr>
      </w:r>
    </w:p>
    <w:p>
      <w:pPr>
        <w:pStyle w:val="Heading1"/>
        <w:ind w:hanging="0" w:start="0"/>
        <w:rPr/>
      </w:pPr>
      <w:r>
        <w:rPr/>
        <w:t xml:space="preserve">Global Rates </w:t>
      </w:r>
    </w:p>
    <w:p>
      <w:pPr>
        <w:pStyle w:val="Normal"/>
        <w:rPr/>
      </w:pPr>
      <w:r>
        <w:rPr/>
      </w:r>
    </w:p>
    <w:p>
      <w:pPr>
        <w:pStyle w:val="Normal"/>
        <w:rPr/>
      </w:pPr>
      <w:r>
        <w:rPr/>
        <w:t xml:space="preserve">AEP will use Enron’s global rates (PHOENIX) to supply rates to Sitara and Unify.  </w:t>
      </w:r>
    </w:p>
    <w:p>
      <w:pPr>
        <w:pStyle w:val="Normal"/>
        <w:rPr/>
      </w:pPr>
      <w:r>
        <w:rPr/>
      </w:r>
    </w:p>
    <w:p>
      <w:pPr>
        <w:pStyle w:val="BodyText"/>
        <w:rPr/>
      </w:pPr>
      <w:r>
        <w:rPr/>
        <w:t>AEP must create a cross-reference table with rates in their risk system to assure Unify will settle with the same rate used for risk analysis..</w:t>
      </w:r>
    </w:p>
    <w:p>
      <w:pPr>
        <w:pStyle w:val="Normal"/>
        <w:rPr/>
      </w:pPr>
      <w:r>
        <w:rPr/>
      </w:r>
    </w:p>
    <w:p>
      <w:pPr>
        <w:pStyle w:val="Normal"/>
        <w:rPr>
          <w:b/>
          <w:u w:val="single"/>
        </w:rPr>
      </w:pPr>
      <w:r>
        <w:rPr>
          <w:b/>
          <w:u w:val="single"/>
        </w:rPr>
        <w:t>Common Codes:</w:t>
      </w:r>
    </w:p>
    <w:p>
      <w:pPr>
        <w:pStyle w:val="Normal"/>
        <w:rPr>
          <w:b/>
          <w:u w:val="single"/>
        </w:rPr>
      </w:pPr>
      <w:r>
        <w:rPr>
          <w:b/>
          <w:u w:val="single"/>
        </w:rPr>
      </w:r>
    </w:p>
    <w:p>
      <w:pPr>
        <w:pStyle w:val="Normal"/>
        <w:rPr>
          <w:b/>
          <w:u w:val="single"/>
        </w:rPr>
      </w:pPr>
      <w:r>
        <w:rPr>
          <w:b/>
          <w:u w:val="single"/>
        </w:rPr>
        <w:t>??????????????????</w:t>
      </w:r>
    </w:p>
    <w:p>
      <w:pPr>
        <w:pStyle w:val="Normal"/>
        <w:rPr>
          <w:b/>
          <w:u w:val="single"/>
        </w:rPr>
      </w:pPr>
      <w:r>
        <w:rPr>
          <w:b/>
          <w:u w:val="single"/>
        </w:rPr>
      </w:r>
    </w:p>
    <w:p>
      <w:pPr>
        <w:pStyle w:val="Normal"/>
        <w:rPr>
          <w:b/>
          <w:u w:val="single"/>
        </w:rPr>
      </w:pPr>
      <w:r>
        <w:rPr>
          <w:b/>
          <w:u w:val="single"/>
        </w:rPr>
        <w:t xml:space="preserve">Deal Entry: </w:t>
      </w:r>
    </w:p>
    <w:p>
      <w:pPr>
        <w:pStyle w:val="Normal"/>
        <w:rPr>
          <w:b/>
          <w:u w:val="single"/>
        </w:rPr>
      </w:pPr>
      <w:r>
        <w:rPr>
          <w:b/>
          <w:u w:val="single"/>
        </w:rPr>
      </w:r>
    </w:p>
    <w:p>
      <w:pPr>
        <w:pStyle w:val="Normal"/>
        <w:rPr/>
      </w:pPr>
      <w:r>
        <w:rPr/>
        <w:t xml:space="preserve">AEP has elected to enter deals into their existing systems (ZAINET) and bridge the information to Sitara.  </w:t>
      </w:r>
      <w:r>
        <w:rPr>
          <w:i/>
        </w:rPr>
        <w:t>The bridge is in development by AEP’s and Enron’s IT department.</w:t>
      </w:r>
      <w:r>
        <w:rPr/>
        <w:t xml:space="preserve">  Once the bridge is in operation, deals will be entered in ZAINET, a deal number assigned, and then feed to Sitara where a Sitara deal number will be assigned.  This provides a cross-reference to be used later when settlement and accrual data will be feed back to AEP’s general ledger system.  Also this will facilitate liquidations being matched with the settled deals.  A bridge error report needs to be developed and monitored by AEP.</w:t>
      </w:r>
    </w:p>
    <w:p>
      <w:pPr>
        <w:pStyle w:val="Normal"/>
        <w:rPr/>
      </w:pPr>
      <w:r>
        <w:rPr/>
      </w:r>
    </w:p>
    <w:p>
      <w:pPr>
        <w:pStyle w:val="BodyText"/>
        <w:rPr/>
      </w:pPr>
      <w:r>
        <w:rPr/>
        <w:t>New desks will have to be created in Sitara for HPLC and AEP marketing on HPL.</w:t>
      </w:r>
    </w:p>
    <w:p>
      <w:pPr>
        <w:pStyle w:val="Normal"/>
        <w:rPr/>
      </w:pPr>
      <w:r>
        <w:rPr/>
      </w:r>
    </w:p>
    <w:p>
      <w:pPr>
        <w:pStyle w:val="Normal"/>
        <w:rPr/>
      </w:pPr>
      <w:r>
        <w:rPr/>
        <w:t>Transportation deal tickets will only be entered into Sitara.  ZAINET currently will not handle these types of deals.  (</w:t>
      </w:r>
      <w:r>
        <w:rPr>
          <w:i/>
        </w:rPr>
        <w:t>What about physical storage, synthetic storage and cash-out deals.????????)</w:t>
      </w:r>
    </w:p>
    <w:p>
      <w:pPr>
        <w:pStyle w:val="Normal"/>
        <w:rPr>
          <w:i/>
          <w:i/>
        </w:rPr>
      </w:pPr>
      <w:r>
        <w:rPr>
          <w:i/>
        </w:rPr>
      </w:r>
    </w:p>
    <w:p>
      <w:pPr>
        <w:pStyle w:val="Normal"/>
        <w:rPr/>
      </w:pPr>
      <w:r>
        <w:rPr/>
        <w:t>All deals relating to third party pipelines will be managed by AEP through their ALTRA system.</w:t>
      </w:r>
    </w:p>
    <w:p>
      <w:pPr>
        <w:pStyle w:val="Normal"/>
        <w:rPr/>
      </w:pPr>
      <w:r>
        <w:rPr/>
      </w:r>
    </w:p>
    <w:p>
      <w:pPr>
        <w:pStyle w:val="Normal"/>
        <w:rPr/>
      </w:pPr>
      <w:r>
        <w:rPr/>
        <w:t xml:space="preserve">The BASE-GAS process in Sitara will be run and will bridge the volumes back to ZAINET.  </w:t>
      </w:r>
      <w:r>
        <w:rPr>
          <w:i/>
        </w:rPr>
        <w:t>The bridge back must to built and tested.</w:t>
      </w:r>
      <w:r>
        <w:rPr/>
        <w:t xml:space="preserve">  Also, the deals must to entered in ZAINET first, bridged to Sitara, then the base-gas process run to keep the contract information aligned. </w:t>
      </w:r>
    </w:p>
    <w:p>
      <w:pPr>
        <w:pStyle w:val="Normal"/>
        <w:rPr/>
      </w:pPr>
      <w:r>
        <w:rPr/>
      </w:r>
    </w:p>
    <w:p>
      <w:pPr>
        <w:pStyle w:val="Normal"/>
        <w:rPr/>
      </w:pPr>
      <w:r>
        <w:rPr/>
        <w:t>Once the deals are in Sitara, contracts will be auto-attached or manually attached by deal validation.</w:t>
      </w:r>
    </w:p>
    <w:p>
      <w:pPr>
        <w:pStyle w:val="Normal"/>
        <w:rPr/>
      </w:pPr>
      <w:r>
        <w:rPr/>
      </w:r>
    </w:p>
    <w:p>
      <w:pPr>
        <w:pStyle w:val="Normal"/>
        <w:rPr/>
      </w:pPr>
      <w:r>
        <w:rPr/>
        <w:t>Facilities will be attached by logistics and the deal bridged into Unify (current process).</w:t>
      </w:r>
    </w:p>
    <w:p>
      <w:pPr>
        <w:pStyle w:val="Normal"/>
        <w:rPr/>
      </w:pPr>
      <w:r>
        <w:rPr/>
      </w:r>
    </w:p>
    <w:p>
      <w:pPr>
        <w:pStyle w:val="Normal"/>
        <w:rPr/>
      </w:pPr>
      <w:r>
        <w:rPr/>
        <w:t>Positions will be available in Sitara and Unify (current process)</w:t>
      </w:r>
    </w:p>
    <w:p>
      <w:pPr>
        <w:pStyle w:val="Normal"/>
        <w:rPr/>
      </w:pPr>
      <w:r>
        <w:rPr/>
      </w:r>
    </w:p>
    <w:p>
      <w:pPr>
        <w:pStyle w:val="Normal"/>
        <w:rPr/>
      </w:pPr>
      <w:r>
        <w:rPr/>
        <w:t>Sitara Bridge (SU Bridge &amp; Bridge error report) will have to be monitored for AEP deals. (</w:t>
      </w:r>
      <w:r>
        <w:rPr>
          <w:i/>
        </w:rPr>
        <w:t>Can we segregate by company?????????)</w:t>
      </w:r>
    </w:p>
    <w:p>
      <w:pPr>
        <w:pStyle w:val="Normal"/>
        <w:rPr>
          <w:i/>
          <w:i/>
        </w:rPr>
      </w:pPr>
      <w:r>
        <w:rPr>
          <w:i/>
        </w:rPr>
      </w:r>
    </w:p>
    <w:p>
      <w:pPr>
        <w:pStyle w:val="Normal"/>
        <w:rPr/>
      </w:pPr>
      <w:r>
        <w:rPr/>
        <w:t>Counterparty drop down list in Sitara  includes Enron information about credit.  (</w:t>
      </w:r>
      <w:r>
        <w:rPr>
          <w:i/>
        </w:rPr>
        <w:t>Can we segregate?????????)</w:t>
      </w:r>
    </w:p>
    <w:p>
      <w:pPr>
        <w:pStyle w:val="Normal"/>
        <w:rPr/>
      </w:pPr>
      <w:r>
        <w:rPr/>
      </w:r>
    </w:p>
    <w:p>
      <w:pPr>
        <w:pStyle w:val="Normal"/>
        <w:rPr/>
      </w:pPr>
      <w:r>
        <w:rPr/>
        <w:t>AEP will use their credit aggregation system.</w:t>
      </w:r>
    </w:p>
    <w:p>
      <w:pPr>
        <w:pStyle w:val="Normal"/>
        <w:rPr/>
      </w:pPr>
      <w:r>
        <w:rPr/>
      </w:r>
    </w:p>
    <w:p>
      <w:pPr>
        <w:pStyle w:val="Normal"/>
        <w:rPr/>
      </w:pPr>
      <w:r>
        <w:rPr/>
      </w:r>
    </w:p>
    <w:p>
      <w:pPr>
        <w:pStyle w:val="Normal"/>
        <w:rPr/>
      </w:pPr>
      <w:r>
        <w:rPr/>
        <w:t xml:space="preserve">Once in Sitara, the deals will also bridge into CPR and then into ERMS.  A separate instance of CPR and ERMS will be created just for AEP.  This will solve the security problems around these applications.  Currently AEP is not planning on using ERMS.  AEP may want to run reports from CRP and Sitara, which will be driven by security clearance.  </w:t>
      </w:r>
    </w:p>
    <w:p>
      <w:pPr>
        <w:pStyle w:val="Normal"/>
        <w:rPr/>
      </w:pPr>
      <w:r>
        <w:rPr/>
      </w:r>
    </w:p>
    <w:p>
      <w:pPr>
        <w:pStyle w:val="Normal"/>
        <w:rPr>
          <w:b/>
          <w:u w:val="single"/>
        </w:rPr>
      </w:pPr>
      <w:r>
        <w:rPr>
          <w:b/>
          <w:u w:val="single"/>
        </w:rPr>
        <w:t>Confirmations:</w:t>
      </w:r>
    </w:p>
    <w:p>
      <w:pPr>
        <w:pStyle w:val="Normal"/>
        <w:rPr>
          <w:b/>
          <w:u w:val="single"/>
        </w:rPr>
      </w:pPr>
      <w:r>
        <w:rPr>
          <w:b/>
          <w:u w:val="single"/>
        </w:rPr>
      </w:r>
    </w:p>
    <w:p>
      <w:pPr>
        <w:pStyle w:val="Normal"/>
        <w:rPr/>
      </w:pPr>
      <w:r>
        <w:rPr/>
        <w:t>Currently waiting on a decision by AEP about confirmations.  Since AEP will be using ZAINET for risk, the assumption is that they will use their existing confirmation process also.  This means that the Enron confirmation process will not be used</w:t>
      </w:r>
      <w:r>
        <w:rPr>
          <w:i/>
        </w:rPr>
        <w:t>.  Enron will turn off the feed to DECAF.(confirmation systerm)</w:t>
      </w:r>
    </w:p>
    <w:p>
      <w:pPr>
        <w:pStyle w:val="Normal"/>
        <w:rPr>
          <w:i/>
          <w:i/>
        </w:rPr>
      </w:pPr>
      <w:r>
        <w:rPr>
          <w:i/>
        </w:rPr>
      </w:r>
    </w:p>
    <w:p>
      <w:pPr>
        <w:pStyle w:val="Normal"/>
        <w:rPr>
          <w:i/>
          <w:i/>
        </w:rPr>
      </w:pPr>
      <w:r>
        <w:rPr>
          <w:i/>
        </w:rPr>
      </w:r>
    </w:p>
    <w:p>
      <w:pPr>
        <w:pStyle w:val="Normal"/>
        <w:rPr>
          <w:b/>
          <w:u w:val="single"/>
        </w:rPr>
      </w:pPr>
      <w:r>
        <w:rPr>
          <w:b/>
          <w:u w:val="single"/>
        </w:rPr>
        <w:t>Scheduling/Allocations/Settlements:</w:t>
      </w:r>
    </w:p>
    <w:p>
      <w:pPr>
        <w:pStyle w:val="Normal"/>
        <w:rPr>
          <w:b/>
          <w:u w:val="single"/>
        </w:rPr>
      </w:pPr>
      <w:r>
        <w:rPr>
          <w:b/>
          <w:u w:val="single"/>
        </w:rPr>
      </w:r>
    </w:p>
    <w:p>
      <w:pPr>
        <w:pStyle w:val="Normal"/>
        <w:rPr/>
      </w:pPr>
      <w:r>
        <w:rPr/>
        <w:t>These processes will remain unchanged except for the following:</w:t>
      </w:r>
    </w:p>
    <w:p>
      <w:pPr>
        <w:pStyle w:val="Normal"/>
        <w:rPr/>
      </w:pPr>
      <w:r>
        <w:rPr/>
      </w:r>
    </w:p>
    <w:p>
      <w:pPr>
        <w:pStyle w:val="Normal"/>
        <w:rPr/>
      </w:pPr>
      <w:r>
        <w:rPr/>
      </w:r>
    </w:p>
    <w:p>
      <w:pPr>
        <w:pStyle w:val="Normal"/>
        <w:rPr/>
      </w:pPr>
      <w:r>
        <w:rPr/>
        <w:t>Scheduled quantities and actual quantities received during the month will bridge back to Sitara as currently performed</w:t>
      </w:r>
      <w:r>
        <w:rPr>
          <w:i/>
        </w:rPr>
        <w:t>. Bridge error – Feedback monitor needs to monitored by AEP</w:t>
      </w:r>
      <w:r>
        <w:rPr/>
        <w:t>. However, they will not bridge back to ZAINET to update the volumes during the month.</w:t>
      </w:r>
    </w:p>
    <w:p>
      <w:pPr>
        <w:pStyle w:val="Normal"/>
        <w:rPr/>
      </w:pPr>
      <w:r>
        <w:rPr/>
      </w:r>
    </w:p>
    <w:p>
      <w:pPr>
        <w:pStyle w:val="Normal"/>
        <w:rPr/>
      </w:pPr>
      <w:r>
        <w:rPr/>
        <w:t xml:space="preserve">The accrual will be run in Unify and will be bridged to AEP’s general ledger (PeopleSOFT) rather than to SAP.  </w:t>
      </w:r>
      <w:r>
        <w:rPr>
          <w:i/>
        </w:rPr>
        <w:t>This bridge must to build by Enron and AEP it groups.</w:t>
      </w:r>
    </w:p>
    <w:p>
      <w:pPr>
        <w:pStyle w:val="Normal"/>
        <w:rPr/>
      </w:pPr>
      <w:r>
        <w:rPr/>
        <w:t xml:space="preserve"> </w:t>
      </w:r>
    </w:p>
    <w:p>
      <w:pPr>
        <w:pStyle w:val="Normal"/>
        <w:rPr/>
      </w:pPr>
      <w:r>
        <w:rPr/>
        <w:t>AEP will use their general ledger to do cash applications and A/R and A/P tracking.  Cash forecasting will be done by AEP systems.</w:t>
      </w:r>
    </w:p>
    <w:p>
      <w:pPr>
        <w:pStyle w:val="Normal"/>
        <w:rPr/>
      </w:pPr>
      <w:r>
        <w:rPr/>
      </w:r>
    </w:p>
    <w:p>
      <w:pPr>
        <w:pStyle w:val="Normal"/>
        <w:rPr/>
      </w:pPr>
      <w:r>
        <w:rPr/>
        <w:t xml:space="preserve">Enron will keep the current bank accounts of HPL.  Any moneys received by either party will be forwarded to the other party ASAP. </w:t>
      </w:r>
    </w:p>
    <w:p>
      <w:pPr>
        <w:pStyle w:val="Normal"/>
        <w:rPr/>
      </w:pPr>
      <w:r>
        <w:rPr/>
      </w:r>
    </w:p>
    <w:p>
      <w:pPr>
        <w:pStyle w:val="Normal"/>
        <w:rPr/>
      </w:pPr>
      <w:r>
        <w:rPr/>
        <w:t>Hard coding of name on invoices from AEP-HPL to HPL  (Chris Schomer – settlements IT)</w:t>
      </w:r>
    </w:p>
    <w:p>
      <w:pPr>
        <w:pStyle w:val="Normal"/>
        <w:rPr/>
      </w:pPr>
      <w:r>
        <w:rPr/>
      </w:r>
    </w:p>
    <w:p>
      <w:pPr>
        <w:pStyle w:val="Normal"/>
        <w:rPr/>
      </w:pPr>
      <w:r>
        <w:rPr/>
        <w:t xml:space="preserve">A/R, A/P and Imbalances relating to production before the close date will remain with Enron.  All activity after the close date belongs to AEP.  </w:t>
      </w:r>
    </w:p>
    <w:p>
      <w:pPr>
        <w:pStyle w:val="Normal"/>
        <w:rPr/>
      </w:pPr>
      <w:r>
        <w:rPr/>
      </w:r>
    </w:p>
    <w:p>
      <w:pPr>
        <w:pStyle w:val="Normal"/>
        <w:rPr/>
      </w:pPr>
      <w:r>
        <w:rPr/>
        <w:t>Third party pipelines (all pipelines except HPL, Mid-Texas) for AEP will be scheduled through AEP’s Altra system.</w:t>
      </w:r>
    </w:p>
    <w:p>
      <w:pPr>
        <w:pStyle w:val="Normal"/>
        <w:rPr/>
      </w:pPr>
      <w:r>
        <w:rPr/>
      </w:r>
    </w:p>
    <w:p>
      <w:pPr>
        <w:pStyle w:val="Normal"/>
        <w:rPr/>
      </w:pPr>
      <w:r>
        <w:rPr/>
        <w:t>POPS (Pipeline Operations System) will continue to be used to schedule HPL and Mid Texas.  Nominations from third parties will continue to be entered manually.</w:t>
      </w:r>
    </w:p>
    <w:p>
      <w:pPr>
        <w:pStyle w:val="Normal"/>
        <w:rPr/>
      </w:pPr>
      <w:r>
        <w:rPr/>
      </w:r>
    </w:p>
    <w:p>
      <w:pPr>
        <w:pStyle w:val="Normal"/>
        <w:rPr/>
      </w:pPr>
      <w:r>
        <w:rPr/>
        <w:t>Processing of information from MOPS (Marketing Operations system) to POPS will continue through the Enron EDI Hub.  (</w:t>
      </w:r>
      <w:r>
        <w:rPr>
          <w:i/>
        </w:rPr>
        <w:t>Will AEP need a new agreement with the Hub to process their data or will it go through as Enron and AEP reimburse Enron for the charges????????)</w:t>
      </w:r>
    </w:p>
    <w:p>
      <w:pPr>
        <w:pStyle w:val="Normal"/>
        <w:rPr>
          <w:i/>
          <w:i/>
        </w:rPr>
      </w:pPr>
      <w:r>
        <w:rPr>
          <w:i/>
        </w:rPr>
      </w:r>
    </w:p>
    <w:p>
      <w:pPr>
        <w:pStyle w:val="Normal"/>
        <w:rPr/>
      </w:pPr>
      <w:r>
        <w:rPr/>
        <w:t>MIPS/PGAS will continue to process information to TARP.</w:t>
      </w:r>
    </w:p>
    <w:p>
      <w:pPr>
        <w:pStyle w:val="Normal"/>
        <w:rPr/>
      </w:pPr>
      <w:r>
        <w:rPr/>
      </w:r>
    </w:p>
    <w:p>
      <w:pPr>
        <w:pStyle w:val="Normal"/>
        <w:rPr/>
      </w:pPr>
      <w:r>
        <w:rPr/>
        <w:t>POPS will continue to process information to IRIS.</w:t>
      </w:r>
    </w:p>
    <w:p>
      <w:pPr>
        <w:pStyle w:val="Normal"/>
        <w:rPr/>
      </w:pPr>
      <w:r>
        <w:rPr/>
      </w:r>
    </w:p>
    <w:p>
      <w:pPr>
        <w:pStyle w:val="Normal"/>
        <w:rPr>
          <w:b/>
          <w:u w:val="single"/>
        </w:rPr>
      </w:pPr>
      <w:r>
        <w:rPr>
          <w:b/>
          <w:u w:val="single"/>
        </w:rPr>
        <w:t>TRANSPORT RATE TABLES:</w:t>
      </w:r>
    </w:p>
    <w:p>
      <w:pPr>
        <w:pStyle w:val="Normal"/>
        <w:rPr>
          <w:b/>
          <w:u w:val="single"/>
        </w:rPr>
      </w:pPr>
      <w:r>
        <w:rPr>
          <w:b/>
          <w:u w:val="single"/>
        </w:rPr>
      </w:r>
    </w:p>
    <w:p>
      <w:pPr>
        <w:pStyle w:val="BodyText"/>
        <w:rPr/>
      </w:pPr>
      <w:r>
        <w:rPr/>
        <w:t>These tables will have to have security placed into system.  IT currently reviewing.  Will be in place before close date.  (Kim Olinger &amp; Matt Pena ???????)</w:t>
      </w:r>
    </w:p>
    <w:p>
      <w:pPr>
        <w:pStyle w:val="BodyText"/>
        <w:rPr/>
      </w:pPr>
      <w:r>
        <w:rPr/>
      </w:r>
    </w:p>
    <w:p>
      <w:pPr>
        <w:pStyle w:val="BodyText"/>
        <w:rPr/>
      </w:pPr>
      <w:r>
        <w:rPr/>
        <w:t>All transport deals on HPL currently go through Sitara.  If security around Sitara is adequate then we may be okay.</w:t>
      </w:r>
    </w:p>
    <w:p>
      <w:pPr>
        <w:pStyle w:val="Normal"/>
        <w:rPr/>
      </w:pPr>
      <w:r>
        <w:rPr/>
      </w:r>
    </w:p>
    <w:p>
      <w:pPr>
        <w:pStyle w:val="Normal"/>
        <w:rPr/>
      </w:pPr>
      <w:r>
        <w:rPr/>
      </w:r>
    </w:p>
    <w:p>
      <w:pPr>
        <w:pStyle w:val="Normal"/>
        <w:rPr>
          <w:b/>
          <w:u w:val="single"/>
        </w:rPr>
      </w:pPr>
      <w:r>
        <w:rPr>
          <w:b/>
          <w:u w:val="single"/>
        </w:rPr>
        <w:t>WEB Site:</w:t>
      </w:r>
    </w:p>
    <w:p>
      <w:pPr>
        <w:pStyle w:val="Normal"/>
        <w:rPr>
          <w:b/>
          <w:u w:val="single"/>
        </w:rPr>
      </w:pPr>
      <w:r>
        <w:rPr>
          <w:b/>
          <w:u w:val="single"/>
        </w:rPr>
      </w:r>
    </w:p>
    <w:p>
      <w:pPr>
        <w:pStyle w:val="Normal"/>
        <w:rPr/>
      </w:pPr>
      <w:r>
        <w:rPr/>
        <w:t xml:space="preserve">The web site that was developed for HPL customer information will go to HPL and continue to work as current.  </w:t>
      </w:r>
      <w:r>
        <w:rPr>
          <w:i/>
        </w:rPr>
        <w:t>(MIKE EIBEN - Will the web site address change and do the security access need to be updated)</w:t>
      </w:r>
    </w:p>
    <w:p>
      <w:pPr>
        <w:pStyle w:val="Normal"/>
        <w:rPr>
          <w:i/>
          <w:i/>
        </w:rPr>
      </w:pPr>
      <w:r>
        <w:rPr>
          <w:i/>
        </w:rPr>
      </w:r>
    </w:p>
    <w:p>
      <w:pPr>
        <w:pStyle w:val="Normal"/>
        <w:rPr>
          <w:b/>
          <w:u w:val="single"/>
        </w:rPr>
      </w:pPr>
      <w:r>
        <w:rPr>
          <w:b/>
          <w:u w:val="single"/>
        </w:rPr>
        <w:t>SCADA:</w:t>
      </w:r>
    </w:p>
    <w:p>
      <w:pPr>
        <w:pStyle w:val="Normal"/>
        <w:rPr>
          <w:b/>
          <w:u w:val="single"/>
        </w:rPr>
      </w:pPr>
      <w:r>
        <w:rPr>
          <w:b/>
          <w:u w:val="single"/>
        </w:rPr>
      </w:r>
    </w:p>
    <w:p>
      <w:pPr>
        <w:pStyle w:val="Normal"/>
        <w:rPr/>
      </w:pPr>
      <w:r>
        <w:rPr/>
        <w:t xml:space="preserve">No changes the SCADA functionality.  POPS, MIPS/PGAS will continue to feed data.  </w:t>
      </w:r>
      <w:r>
        <w:rPr>
          <w:i/>
        </w:rPr>
        <w:t>(Mike Eiben – Please check with the PGAS people about time lines.</w:t>
      </w:r>
    </w:p>
    <w:p>
      <w:pPr>
        <w:pStyle w:val="Normal"/>
        <w:rPr>
          <w:i/>
          <w:i/>
        </w:rPr>
      </w:pPr>
      <w:r>
        <w:rPr>
          <w:i/>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2001-03-22T15:11:00Z</dcterms:created>
  <dc:creator>rhall3</dc:creator>
  <dc:description/>
  <dc:language>en-CA</dc:language>
  <cp:lastModifiedBy>rhall3</cp:lastModifiedBy>
  <cp:lastPrinted>2001-03-23T10:26:00Z</cp:lastPrinted>
  <dcterms:modified xsi:type="dcterms:W3CDTF">2001-03-23T17:19:00Z</dcterms:modified>
  <cp:revision>5</cp:revision>
  <dc:subject/>
  <dc:title>AEP-HPL Transition Issues</dc:title>
</cp:coreProperties>
</file>