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METHODOLOGY for the AEP HUB HOURLY INDEX</w:t>
      </w:r>
    </w:p>
    <w:p>
      <w:pPr>
        <w:pStyle w:val="Heading"/>
        <w:rPr/>
      </w:pPr>
      <w:r>
        <w:rPr/>
        <w:t>(updated 11/01/00)</w:t>
      </w:r>
    </w:p>
    <w:p>
      <w:pPr>
        <w:pStyle w:val="Heading"/>
        <w:rPr/>
      </w:pPr>
      <w:r>
        <w:rPr/>
      </w:r>
    </w:p>
    <w:p>
      <w:pPr>
        <w:pStyle w:val="Normal"/>
        <w:rPr/>
      </w:pPr>
      <w:r>
        <w:rPr>
          <w:rFonts w:cs="Tahoma" w:ascii="Tahoma" w:hAnsi="Tahoma"/>
        </w:rPr>
        <w:t>Participants in the TradersNews AEP Hub Hourly Index are wholesale power trading entities providing prices and volumes by telephone, fax or e-mail.</w:t>
      </w:r>
      <w:r>
        <w:rPr>
          <w:b/>
          <w:bCs/>
        </w:rPr>
        <w:t xml:space="preserve"> </w:t>
      </w:r>
      <w:r>
        <w:rPr>
          <w:rFonts w:cs="Tahoma" w:ascii="Tahoma" w:hAnsi="Tahoma"/>
        </w:rPr>
        <w:t xml:space="preserve">The table lists the range and weighted average price of trading done for each hour. </w:t>
      </w:r>
    </w:p>
    <w:p>
      <w:pPr>
        <w:pStyle w:val="Normal"/>
        <w:rPr>
          <w:rFonts w:ascii="Tahoma" w:hAnsi="Tahoma" w:cs="Tahoma"/>
        </w:rPr>
      </w:pPr>
      <w:r>
        <w:rPr>
          <w:rFonts w:cs="Tahoma" w:ascii="Tahoma" w:hAnsi="Tahoma"/>
        </w:rPr>
      </w:r>
    </w:p>
    <w:p>
      <w:pPr>
        <w:pStyle w:val="Normal"/>
        <w:rPr/>
      </w:pPr>
      <w:r>
        <w:rPr>
          <w:rFonts w:cs="Tahoma" w:ascii="Tahoma" w:hAnsi="Tahoma"/>
          <w:b/>
          <w:bCs/>
        </w:rPr>
        <w:t xml:space="preserve">Definition of the AEP hub — </w:t>
      </w:r>
      <w:r>
        <w:rPr>
          <w:rFonts w:cs="Tahoma" w:ascii="Tahoma" w:hAnsi="Tahoma"/>
          <w:szCs w:val="20"/>
        </w:rPr>
        <w:t xml:space="preserve">The American Electric Power hub is defined as hourly power moving into the AEP hub and through the hub, with a sink in northern ECAR. </w:t>
      </w:r>
      <w:r>
        <w:rPr>
          <w:rFonts w:cs="Courier New" w:ascii="Tahoma" w:hAnsi="Tahoma"/>
        </w:rPr>
        <w:t xml:space="preserve">These prices reflect deliveries to the AEP hub and all direct ties to that hub in northern ECAR, including: Allegheny Power Systems; </w:t>
      </w:r>
      <w:r>
        <w:rPr>
          <w:rFonts w:cs="Tahoma" w:ascii="Tahoma" w:hAnsi="Tahoma"/>
        </w:rPr>
        <w:t xml:space="preserve">Dayton Power &amp; Light; Duquesne Light; East Kentucky Co-op; First Energy; Hoosier Energy; Michigan Electric Coordinated Systems; Northern Indiana Public Service, and Indianapolis Power &amp; Light. </w:t>
      </w:r>
    </w:p>
    <w:p>
      <w:pPr>
        <w:pStyle w:val="Normal"/>
        <w:rPr>
          <w:rFonts w:ascii="Tahoma" w:hAnsi="Tahoma" w:cs="Tahoma"/>
          <w:b/>
          <w:bCs/>
        </w:rPr>
      </w:pPr>
      <w:r>
        <w:rPr>
          <w:rFonts w:cs="Tahoma" w:ascii="Tahoma" w:hAnsi="Tahoma"/>
          <w:b/>
          <w:bCs/>
        </w:rPr>
      </w:r>
    </w:p>
    <w:p>
      <w:pPr>
        <w:pStyle w:val="Heading1"/>
        <w:ind w:hanging="0" w:start="0"/>
        <w:rPr/>
      </w:pPr>
      <w:r>
        <w:rPr/>
        <w:t xml:space="preserve">Hours used — </w:t>
      </w:r>
      <w:r>
        <w:rPr>
          <w:b w:val="false"/>
          <w:bCs w:val="false"/>
        </w:rPr>
        <w:t xml:space="preserve">Hours ending 7 through 22. </w:t>
      </w:r>
      <w:r>
        <w:rPr>
          <w:rFonts w:cs="Courier New"/>
          <w:b w:val="false"/>
          <w:bCs w:val="false"/>
        </w:rPr>
        <w:t>All times are Central Prevailing Time (CPT). Neither balance-of-the-day schedules nor hourly pre-schedules will be used for the index.</w:t>
      </w:r>
    </w:p>
    <w:p>
      <w:pPr>
        <w:pStyle w:val="Normal"/>
        <w:rPr>
          <w:rFonts w:ascii="Tahoma" w:hAnsi="Tahoma" w:cs="Tahoma"/>
          <w:b/>
          <w:bCs/>
        </w:rPr>
      </w:pPr>
      <w:r>
        <w:rPr>
          <w:rFonts w:cs="Tahoma" w:ascii="Tahoma" w:hAnsi="Tahoma"/>
          <w:b/>
          <w:bCs/>
        </w:rPr>
      </w:r>
    </w:p>
    <w:p>
      <w:pPr>
        <w:pStyle w:val="Heading1"/>
        <w:ind w:hanging="0" w:start="0"/>
        <w:rPr/>
      </w:pPr>
      <w:r>
        <w:rPr/>
        <w:t xml:space="preserve">Prices used — </w:t>
      </w:r>
      <w:r>
        <w:rPr>
          <w:b w:val="false"/>
          <w:bCs w:val="false"/>
        </w:rPr>
        <w:t>Trades may be either purchases or sales, as long as they fit into the AEP hub definition above. Participants who aggregate their trades for each hour should provide at least a weighted average, volume and absolute range for each hour. A TradersNews template is available for participants’ convenience and accuracy.</w:t>
      </w:r>
    </w:p>
    <w:p>
      <w:pPr>
        <w:pStyle w:val="Normal"/>
        <w:rPr>
          <w:rFonts w:ascii="Tahoma" w:hAnsi="Tahoma" w:cs="Tahoma"/>
        </w:rPr>
      </w:pPr>
      <w:r>
        <w:rPr>
          <w:rFonts w:cs="Tahoma" w:ascii="Tahoma" w:hAnsi="Tahoma"/>
        </w:rPr>
        <w:tab/>
      </w:r>
    </w:p>
    <w:p>
      <w:pPr>
        <w:pStyle w:val="Normal"/>
        <w:rPr/>
      </w:pPr>
      <w:r>
        <w:rPr>
          <w:rFonts w:cs="Tahoma" w:ascii="Tahoma" w:hAnsi="Tahoma"/>
          <w:b/>
          <w:bCs/>
        </w:rPr>
        <w:t xml:space="preserve">Volumes used </w:t>
      </w:r>
      <w:r>
        <w:rPr>
          <w:b/>
          <w:bCs/>
        </w:rPr>
        <w:t xml:space="preserve">— </w:t>
      </w:r>
      <w:r>
        <w:rPr>
          <w:rFonts w:cs="Tahoma" w:ascii="Tahoma" w:hAnsi="Tahoma"/>
        </w:rPr>
        <w:t>We require volumes for deals done to ensure an accurate weighted-average price.</w:t>
      </w:r>
      <w:r>
        <w:rPr>
          <w:b/>
          <w:bCs/>
        </w:rPr>
        <w:t xml:space="preserve"> </w:t>
      </w:r>
      <w:r>
        <w:rPr>
          <w:rFonts w:cs="Tahoma" w:ascii="Tahoma" w:hAnsi="Tahoma"/>
        </w:rPr>
        <w:t>The weighted average index for the day factors in the volume done for each on-peak hour that actually traded; no weight is given to hours that reflect indicative prices.</w:t>
      </w:r>
    </w:p>
    <w:p>
      <w:pPr>
        <w:pStyle w:val="Normal"/>
        <w:rPr>
          <w:rFonts w:ascii="Tahoma" w:hAnsi="Tahoma" w:cs="Tahoma"/>
        </w:rPr>
      </w:pPr>
      <w:r>
        <w:rPr>
          <w:rFonts w:cs="Tahoma" w:ascii="Tahoma" w:hAnsi="Tahoma"/>
        </w:rPr>
      </w:r>
    </w:p>
    <w:p>
      <w:pPr>
        <w:pStyle w:val="Heading1"/>
        <w:ind w:hanging="0" w:start="0"/>
        <w:rPr/>
      </w:pPr>
      <w:r>
        <w:rPr/>
        <w:t xml:space="preserve">Indicative pricing — </w:t>
      </w:r>
      <w:r>
        <w:rPr>
          <w:b w:val="false"/>
          <w:bCs w:val="false"/>
        </w:rPr>
        <w:t>If there are no trades reported for any given hour, indicative pricing is provided (in orange). Indicative pricing for this index is derived from the tightest bid/ask spreads for each hour, with both the bids and the offers coming from separate counterparties. The weighted average for an hour denoted by indicative pricing is the average of the bid/ask spread.</w:t>
      </w:r>
    </w:p>
    <w:p>
      <w:pPr>
        <w:pStyle w:val="Normal"/>
        <w:rPr>
          <w:rFonts w:ascii="Tahoma" w:hAnsi="Tahoma" w:cs="Courier New"/>
        </w:rPr>
      </w:pPr>
      <w:r>
        <w:rPr/>
        <w:tab/>
      </w:r>
    </w:p>
    <w:p>
      <w:pPr>
        <w:pStyle w:val="Heading1"/>
        <w:ind w:hanging="0" w:start="0"/>
        <w:rPr/>
      </w:pPr>
      <w:r>
        <w:rPr/>
        <w:t xml:space="preserve">Outlying prices — </w:t>
      </w:r>
      <w:r>
        <w:rPr>
          <w:b w:val="false"/>
          <w:bCs w:val="false"/>
        </w:rPr>
        <w:t>Outlying prices will be verified.</w:t>
      </w:r>
      <w:r>
        <w:rPr/>
        <w:t xml:space="preserve"> </w:t>
      </w:r>
      <w:r>
        <w:rPr>
          <w:b w:val="false"/>
          <w:bCs w:val="false"/>
        </w:rPr>
        <w:t xml:space="preserve">While we keep positions and counterparties confidential, we may request proof a trade was done by checking sinks, transmission paths and/or obtaining the counterparty’s name. We reserve the right to exclude outlying prices from the index. </w:t>
      </w:r>
    </w:p>
    <w:p>
      <w:pPr>
        <w:pStyle w:val="Normal"/>
        <w:rPr/>
      </w:pPr>
      <w:r>
        <w:rPr/>
        <w:tab/>
      </w:r>
    </w:p>
    <w:p>
      <w:pPr>
        <w:pStyle w:val="Heading1"/>
        <w:ind w:hanging="0" w:start="0"/>
        <w:rPr/>
      </w:pPr>
      <w:r>
        <w:rPr>
          <w:rFonts w:cs="Arial"/>
          <w:color w:val="000000"/>
          <w:szCs w:val="20"/>
        </w:rPr>
        <w:t>Weighted average for the day’s total of on-peak hours</w:t>
      </w:r>
      <w:r>
        <w:rPr/>
        <w:t xml:space="preserve">— </w:t>
      </w:r>
      <w:r>
        <w:rPr>
          <w:b w:val="false"/>
          <w:bCs w:val="false"/>
        </w:rPr>
        <w:t>The weighted average price is a straight average of the 16 weighted-average hourly prices.</w:t>
      </w:r>
    </w:p>
    <w:p>
      <w:pPr>
        <w:pStyle w:val="Normal"/>
        <w:rPr>
          <w:rFonts w:ascii="Tahoma" w:hAnsi="Tahoma" w:cs="Tahoma"/>
          <w:b/>
          <w:bCs/>
        </w:rPr>
      </w:pPr>
      <w:r>
        <w:rPr>
          <w:rFonts w:cs="Tahoma" w:ascii="Tahoma" w:hAnsi="Tahoma"/>
          <w:b/>
          <w:bCs/>
        </w:rPr>
      </w:r>
    </w:p>
    <w:p>
      <w:pPr>
        <w:pStyle w:val="Normal"/>
        <w:rPr/>
      </w:pPr>
      <w:r>
        <w:rPr>
          <w:rFonts w:cs="Tahoma" w:ascii="Tahoma" w:hAnsi="Tahoma"/>
        </w:rPr>
        <w:t xml:space="preserve">For feedback or questions, contact Bobette Riner, director, TradersNews Indexes, at 713/647-8690, or </w:t>
      </w:r>
      <w:hyperlink r:id="rId2">
        <w:r>
          <w:rPr>
            <w:rStyle w:val="Hyperlink"/>
            <w:rFonts w:cs="Tahoma" w:ascii="Tahoma" w:hAnsi="Tahoma"/>
          </w:rPr>
          <w:t>bobette.riner@ipgdirect.com</w:t>
        </w:r>
      </w:hyperlink>
      <w:r>
        <w:rPr>
          <w:rFonts w:cs="Tahoma" w:ascii="Tahoma" w:hAnsi="Tahoma"/>
        </w:rPr>
        <w:t>.</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Tahoma" w:hAnsi="Tahoma" w:cs="Tahoma"/>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bette.riner@ipgdirect.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2001-01-08T16:00:00Z</dcterms:created>
  <dc:creator>bobette riner</dc:creator>
  <dc:description/>
  <dc:language>en-CA</dc:language>
  <cp:lastModifiedBy>bobette riner</cp:lastModifiedBy>
  <cp:lastPrinted>2000-10-11T10:27:00Z</cp:lastPrinted>
  <dcterms:modified xsi:type="dcterms:W3CDTF">2001-04-10T18:08:00Z</dcterms:modified>
  <cp:revision>8</cp:revision>
  <dc:subject/>
  <dc:title>Sent URL to:</dc:title>
</cp:coreProperties>
</file>