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Normal"/>
        <w:rPr/>
      </w:pPr>
      <w:r>
        <w:rPr/>
      </w:r>
    </w:p>
    <w:p>
      <w:pPr>
        <w:pStyle w:val="Normal"/>
        <w:rPr/>
      </w:pPr>
      <w:r>
        <w:rPr/>
      </w:r>
    </w:p>
    <w:p>
      <w:pPr>
        <w:pStyle w:val="Normal"/>
        <w:rPr/>
      </w:pPr>
      <w:r>
        <w:rPr/>
      </w:r>
    </w:p>
    <w:p>
      <w:pPr>
        <w:pStyle w:val="Heading1"/>
        <w:ind w:hanging="0" w:start="0"/>
        <w:rPr/>
      </w:pPr>
      <w:r>
        <w:rPr/>
        <w:t>December ____, 1999</w:t>
      </w:r>
    </w:p>
    <w:p>
      <w:pPr>
        <w:pStyle w:val="Heading1"/>
        <w:ind w:hanging="0" w:start="0"/>
        <w:rPr/>
      </w:pPr>
      <w:r>
        <w:rPr/>
      </w:r>
    </w:p>
    <w:p>
      <w:pPr>
        <w:pStyle w:val="Heading1"/>
        <w:ind w:hanging="0" w:start="0"/>
        <w:rPr/>
      </w:pPr>
      <w:r>
        <w:rPr/>
      </w:r>
    </w:p>
    <w:p>
      <w:pPr>
        <w:pStyle w:val="Normal"/>
        <w:rPr/>
      </w:pPr>
      <w:r>
        <w:rPr/>
      </w:r>
    </w:p>
    <w:p>
      <w:pPr>
        <w:pStyle w:val="Heading1"/>
        <w:ind w:hanging="0" w:start="0"/>
        <w:rPr/>
      </w:pPr>
      <w:r>
        <w:rPr/>
      </w:r>
    </w:p>
    <w:p>
      <w:pPr>
        <w:pStyle w:val="BodyText2"/>
        <w:rPr/>
      </w:pPr>
      <w:r>
        <w:rPr/>
        <w:t>AEP Energy Services, Inc.</w:t>
      </w:r>
    </w:p>
    <w:p>
      <w:pPr>
        <w:pStyle w:val="Normal"/>
        <w:rPr>
          <w:sz w:val="24"/>
        </w:rPr>
      </w:pPr>
      <w:r>
        <w:rPr>
          <w:sz w:val="24"/>
        </w:rPr>
        <w:t>1 Riverside Plaza</w:t>
      </w:r>
    </w:p>
    <w:p>
      <w:pPr>
        <w:pStyle w:val="Normal"/>
        <w:rPr>
          <w:sz w:val="24"/>
        </w:rPr>
      </w:pPr>
      <w:r>
        <w:rPr>
          <w:sz w:val="24"/>
        </w:rPr>
        <w:t>Columbus, Ohio 43215</w:t>
      </w:r>
    </w:p>
    <w:p>
      <w:pPr>
        <w:pStyle w:val="Normal"/>
        <w:rPr>
          <w:sz w:val="24"/>
        </w:rPr>
      </w:pPr>
      <w:r>
        <w:rPr>
          <w:sz w:val="24"/>
        </w:rPr>
        <w:t>Attention: F. Mitchell Dutton</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Mitch:</w:t>
      </w:r>
    </w:p>
    <w:p>
      <w:pPr>
        <w:pStyle w:val="Normal"/>
        <w:rPr>
          <w:sz w:val="24"/>
        </w:rPr>
      </w:pPr>
      <w:r>
        <w:rPr>
          <w:sz w:val="24"/>
        </w:rPr>
      </w:r>
    </w:p>
    <w:p>
      <w:pPr>
        <w:pStyle w:val="BodyText2"/>
        <w:rPr/>
      </w:pPr>
      <w:r>
        <w:rPr/>
        <w:t>This letter will serve as our agreement to the following changes to the Electronic Trading Agreement (the “ETA”) which must be accepted AEP Energy Services, Inc. on the EnronOnline web site before using the site for trading:</w:t>
      </w:r>
    </w:p>
    <w:p>
      <w:pPr>
        <w:pStyle w:val="Normal"/>
        <w:rPr>
          <w:sz w:val="24"/>
        </w:rPr>
      </w:pPr>
      <w:r>
        <w:rPr>
          <w:sz w:val="24"/>
        </w:rPr>
      </w:r>
    </w:p>
    <w:p>
      <w:pPr>
        <w:pStyle w:val="Normal"/>
        <w:rPr>
          <w:sz w:val="24"/>
        </w:rPr>
      </w:pPr>
      <w:r>
        <w:rPr>
          <w:sz w:val="24"/>
        </w:rPr>
        <w:t>Section 3(e) of the ETA is hereby amended by inserting the words “Unless there is a master agreement in place,” at the beginning of such section.</w:t>
      </w:r>
    </w:p>
    <w:p>
      <w:pPr>
        <w:pStyle w:val="Normal"/>
        <w:rPr>
          <w:sz w:val="24"/>
        </w:rPr>
      </w:pPr>
      <w:r>
        <w:rPr>
          <w:sz w:val="24"/>
        </w:rPr>
      </w:r>
    </w:p>
    <w:p>
      <w:pPr>
        <w:pStyle w:val="Normal"/>
        <w:rPr>
          <w:sz w:val="24"/>
        </w:rPr>
      </w:pPr>
      <w:r>
        <w:rPr>
          <w:sz w:val="24"/>
        </w:rPr>
        <w:t>Section 4(b) of the ETA is hereby amended by inserting the words “unless such access, entry, act, omission or action arises from acts or omissions of Enron and its directors, officers, employees, agents or contractors” at the end of such Section.</w:t>
      </w:r>
    </w:p>
    <w:p>
      <w:pPr>
        <w:pStyle w:val="Normal"/>
        <w:rPr>
          <w:sz w:val="24"/>
        </w:rPr>
      </w:pPr>
      <w:r>
        <w:rPr>
          <w:sz w:val="24"/>
        </w:rPr>
      </w:r>
    </w:p>
    <w:p>
      <w:pPr>
        <w:pStyle w:val="Normal"/>
        <w:rPr>
          <w:sz w:val="24"/>
        </w:rPr>
      </w:pPr>
      <w:r>
        <w:rPr>
          <w:sz w:val="24"/>
        </w:rPr>
        <w:t>Section 5(a) of the ETA is hereby amended by inserting the words “which is not available to the public” after the word “Website” therein.</w:t>
      </w:r>
    </w:p>
    <w:p>
      <w:pPr>
        <w:pStyle w:val="Normal"/>
        <w:rPr>
          <w:sz w:val="24"/>
        </w:rPr>
      </w:pPr>
      <w:r>
        <w:rPr>
          <w:sz w:val="24"/>
        </w:rPr>
      </w:r>
    </w:p>
    <w:p>
      <w:pPr>
        <w:pStyle w:val="Normal"/>
        <w:rPr>
          <w:sz w:val="24"/>
        </w:rPr>
      </w:pPr>
      <w:r>
        <w:rPr>
          <w:sz w:val="24"/>
        </w:rPr>
        <w:t>Section 6(a) of the ETA is hereby amended by inserting the following sentence at the end thereof: “Enron will use all reasonable efforts to cancel Counterparty’s Master User password and/or user IDs upon receipt of notice from Counterparty requesting same.”</w:t>
      </w:r>
    </w:p>
    <w:p>
      <w:pPr>
        <w:pStyle w:val="Normal"/>
        <w:rPr>
          <w:sz w:val="24"/>
        </w:rPr>
      </w:pPr>
      <w:r>
        <w:rPr>
          <w:sz w:val="24"/>
        </w:rPr>
      </w:r>
    </w:p>
    <w:p>
      <w:pPr>
        <w:pStyle w:val="BodyText2"/>
        <w:rPr/>
      </w:pPr>
      <w:r>
        <w:rPr/>
        <w:t>Notwithstanding any provision of the Password Application to the contrary, American Electric Power Service Corporation will have no liability for any use of its passwords by Enron or any of its employees, contractors or agents.</w:t>
      </w:r>
      <w:r>
        <w:br w:type="page"/>
      </w:r>
    </w:p>
    <w:p>
      <w:pPr>
        <w:pStyle w:val="BodyText2"/>
        <w:rPr/>
      </w:pPr>
      <w:r>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Heading1"/>
        <w:ind w:hanging="0" w:start="0"/>
        <w:rPr/>
      </w:pPr>
      <w:r>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BodyText2"/>
        <w:rPr/>
      </w:pPr>
      <w:r>
        <w:rPr/>
        <w:t>AEP Energy Services, Inc.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sectPr>
      <w:headerReference w:type="default" r:id="rId2"/>
      <w:headerReference w:type="first" r:id="rId3"/>
      <w:type w:val="nextPage"/>
      <w:pgSz w:w="12240" w:h="15840"/>
      <w:pgMar w:left="1800" w:right="1800" w:gutter="0" w:header="1152"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December __, 1999</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1999-12-20T16:44:00Z</dcterms:created>
  <dc:creator>mtaylo1</dc:creator>
  <dc:description/>
  <dc:language>en-CA</dc:language>
  <cp:lastModifiedBy>tjones</cp:lastModifiedBy>
  <cp:lastPrinted>1999-12-20T13:28:00Z</cp:lastPrinted>
  <dcterms:modified xsi:type="dcterms:W3CDTF">1999-12-20T16:59:00Z</dcterms:modified>
  <cp:revision>3</cp:revision>
  <dc:subject/>
  <dc:title>J</dc:title>
</cp:coreProperties>
</file>