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March 15,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AEP Energy Services, Inc.</w:t>
      </w:r>
      <w:r>
        <w:rPr>
          <w:sz w:val="22"/>
        </w:rPr>
        <w:fldChar w:fldCharType="end"/>
      </w:r>
      <w:r>
        <w:rPr>
          <w:sz w:val="22"/>
        </w:rPr>
        <w:t xml:space="preserve"> ("AEPENESER")</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(614) 324-6898</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QX3527.1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1004200</w:t>
      </w:r>
      <w:r>
        <w:rPr>
          <w:sz w:val="22"/>
          <w:b/>
        </w:rPr>
        <w:fldChar w:fldCharType="end"/>
      </w:r>
    </w:p>
    <w:p>
      <w:pPr>
        <w:pStyle w:val="Normal"/>
        <w:rPr>
          <w:b/>
          <w:sz w:val="22"/>
        </w:rPr>
      </w:pPr>
      <w:r>
        <w:rPr>
          <w:b/>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February 11,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5,000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March 15,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April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April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FixedPayerWCode </w:instrText>
            </w:r>
            <w:r>
              <w:rPr>
                <w:sz w:val="22"/>
              </w:rPr>
              <w:fldChar w:fldCharType="separate"/>
            </w:r>
            <w:r>
              <w:rPr>
                <w:sz w:val="22"/>
              </w:rPr>
              <w:t>ENA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The settlement price for the last scheduled Trading Day of the NYMEX Henry Hub Natural Gas Futures Contract for the applicable Calculation Period plus US Dollars $3.76000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FloatPayerWCode </w:instrText>
            </w:r>
            <w:r>
              <w:rPr>
                <w:sz w:val="22"/>
              </w:rPr>
              <w:fldChar w:fldCharType="separate"/>
            </w:r>
            <w:r>
              <w:rPr>
                <w:sz w:val="22"/>
              </w:rPr>
              <w:t>AEPENESER</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applicable Calculation Period Bidweek Average Price in the row entitled “Southern Cal Border Avg” located in the “California” section of the table entitled “Spot Gas Prices” in the first issue of Natural Gas Intelligence Weekly Gas Price Index during the Calculation 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For the purposes of calculating “Exposure” under the Credit Support Annex dated as of February 11, 1998 between ENA and AEPENESER, as amended and supplemented from time to time, the Transaction to which this Confirmation relates will not constitute a “Transaction” or a “Swap Transaction”.</w:t>
      </w:r>
    </w:p>
    <w:p>
      <w:pPr>
        <w:pStyle w:val="Normal"/>
        <w:jc w:val="both"/>
        <w:rPr>
          <w:sz w:val="22"/>
        </w:rPr>
      </w:pPr>
      <w:r>
        <w:rPr>
          <w:sz w:val="22"/>
        </w:rPr>
      </w:r>
    </w:p>
    <w:p>
      <w:pPr>
        <w:pStyle w:val="Normal"/>
        <w:rPr/>
      </w:pPr>
      <w:r>
        <w:rPr>
          <w:sz w:val="22"/>
        </w:rPr>
        <w:tab/>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tab/>
              <w:tab/>
              <w:tab/>
              <w:tab/>
              <w:tab/>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QX3527.1</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AEP Energy Services, Inc.</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QX3527.1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2001-03-19T15:04:00Z</dcterms:created>
  <dc:creator>ECT</dc:creator>
  <dc:description/>
  <dc:language>en-CA</dc:language>
  <cp:lastModifiedBy>cstclai</cp:lastModifiedBy>
  <cp:lastPrinted>2001-03-19T13:10:00Z</cp:lastPrinted>
  <dcterms:modified xsi:type="dcterms:W3CDTF">2001-03-19T16:40:00Z</dcterms:modified>
  <cp:revision>3</cp:revision>
  <dc:subject>AEP Energy Services, Inc.</dc:subject>
  <dc:title>QX3527.1</dc:title>
</cp:coreProperties>
</file>