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Dwayne Hart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Brian Redmond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HPL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Transition Items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17, 2001</w:t>
            </w:r>
          </w:p>
        </w:tc>
      </w:tr>
    </w:tbl>
    <w:p>
      <w:pPr>
        <w:pStyle w:val="Body"/>
        <w:rPr/>
      </w:pPr>
      <w:r>
        <w:rPr/>
      </w:r>
      <w:bookmarkStart w:id="1" w:name="StartOfMemo"/>
      <w:bookmarkStart w:id="2" w:name="StartOfMemo"/>
      <w:bookmarkEnd w:id="2"/>
    </w:p>
    <w:p>
      <w:pPr>
        <w:pStyle w:val="Body"/>
        <w:jc w:val="both"/>
        <w:rPr/>
      </w:pPr>
      <w:r>
        <w:rPr/>
        <w:t>The following summarizes outstanding action items to be completed by AEP and Enron prior to Close.  I would appreciate your help in moving these along in AEP and I will do the same in Enron.  Give me a call if you have any questions.</w:t>
      </w:r>
    </w:p>
    <w:p>
      <w:pPr>
        <w:pStyle w:val="Body"/>
        <w:rPr>
          <w:b/>
        </w:rPr>
      </w:pPr>
      <w:r>
        <w:rPr>
          <w:b/>
        </w:rPr>
      </w:r>
    </w:p>
    <w:p>
      <w:pPr>
        <w:pStyle w:val="Body"/>
        <w:numPr>
          <w:ilvl w:val="0"/>
          <w:numId w:val="3"/>
        </w:numPr>
        <w:rPr/>
      </w:pPr>
      <w:r>
        <w:rPr>
          <w:b/>
        </w:rPr>
        <w:t>Hart Scott Rodino:</w:t>
        <w:tab/>
      </w:r>
      <w:r>
        <w:rPr/>
        <w:t>DoJ has raised concerns over market control and has requested more time.  Set up meeting to understand DoJ concerns, ensure that the information already provided is understood, provide additional information specifically addressing DoJ’s concerns, press for DoJ to make a decision by mid-May, and offer the full resources of Enron and AEP to provide needed information for DoJ’s decision.</w:t>
      </w:r>
    </w:p>
    <w:p>
      <w:pPr>
        <w:pStyle w:val="Body"/>
        <w:ind w:hanging="1443" w:start="2160" w:end="0"/>
        <w:jc w:val="both"/>
        <w:rPr/>
      </w:pPr>
      <w:r>
        <w:rPr/>
      </w:r>
    </w:p>
    <w:p>
      <w:pPr>
        <w:pStyle w:val="Body"/>
        <w:ind w:hanging="1443" w:start="2160" w:end="0"/>
        <w:jc w:val="both"/>
        <w:rPr/>
      </w:pPr>
      <w:r>
        <w:rPr/>
        <w:t>ENA Actions:</w:t>
        <w:tab/>
        <w:t xml:space="preserve">Meet with DoJ (with AEP), gather the information required to address DoJ’s concerns (B. Gray, A. Ballard, G. Brazatis, J. Ducote) </w:t>
      </w:r>
    </w:p>
    <w:p>
      <w:pPr>
        <w:pStyle w:val="Body"/>
        <w:ind w:hanging="723" w:start="1440" w:end="0"/>
        <w:rPr>
          <w:rFonts w:eastAsia="Arial"/>
        </w:rPr>
      </w:pPr>
      <w:r>
        <w:rPr>
          <w:rFonts w:eastAsia="Arial"/>
        </w:rPr>
        <w:t xml:space="preserve"> </w:t>
      </w:r>
    </w:p>
    <w:p>
      <w:pPr>
        <w:pStyle w:val="Body"/>
        <w:ind w:hanging="1443" w:start="2160" w:end="0"/>
        <w:jc w:val="both"/>
        <w:rPr>
          <w:b/>
        </w:rPr>
      </w:pPr>
      <w:r>
        <w:rPr/>
        <w:t>AEP Actions:</w:t>
        <w:tab/>
        <w:t xml:space="preserve">Meet with DoJ (with Enron), gather the information required to address DoJ’s concerns [D. Penrod, M. Morris] </w:t>
      </w:r>
    </w:p>
    <w:p>
      <w:pPr>
        <w:pStyle w:val="Body"/>
        <w:rPr>
          <w:b/>
        </w:rPr>
      </w:pPr>
      <w:r>
        <w:rPr>
          <w:b/>
        </w:rPr>
      </w:r>
    </w:p>
    <w:p>
      <w:pPr>
        <w:pStyle w:val="Body"/>
        <w:rPr>
          <w:b/>
        </w:rPr>
      </w:pPr>
      <w:r>
        <w:rPr>
          <w:b/>
        </w:rPr>
      </w:r>
    </w:p>
    <w:p>
      <w:pPr>
        <w:pStyle w:val="Body"/>
        <w:ind w:hanging="648" w:start="720" w:end="0"/>
        <w:rPr/>
      </w:pPr>
      <w:r>
        <w:rPr>
          <w:b/>
        </w:rPr>
        <w:t>2.</w:t>
        <w:tab/>
        <w:t>IT Systems:</w:t>
        <w:tab/>
      </w:r>
      <w:r>
        <w:rPr/>
        <w:t>Enron moving to space on the 15th floor of 1201 Louisiana on 20 April.  AEP will have data center ready by 1 June.  Enron (T. Yanowski) has submitted protocol to AEP (B. Simpson) describing systems interfaces.  Enron (B. Gray) revising plan to floor space/equipment rental/purchase terms.</w:t>
      </w:r>
    </w:p>
    <w:p>
      <w:pPr>
        <w:pStyle w:val="Body"/>
        <w:ind w:hanging="1443" w:start="2160" w:end="0"/>
        <w:jc w:val="both"/>
        <w:rPr>
          <w:rFonts w:eastAsia="Arial"/>
        </w:rPr>
      </w:pPr>
      <w:r>
        <w:rPr>
          <w:rFonts w:eastAsia="Arial"/>
        </w:rPr>
        <w:t xml:space="preserve"> </w:t>
      </w:r>
    </w:p>
    <w:p>
      <w:pPr>
        <w:pStyle w:val="Body"/>
        <w:ind w:hanging="1443" w:start="2160" w:end="0"/>
        <w:jc w:val="both"/>
        <w:rPr/>
      </w:pPr>
      <w:r>
        <w:rPr/>
        <w:t>ENA Actions:</w:t>
        <w:tab/>
        <w:t>Enron (T. Yanowski/B. Gray) submit final protocol to AEP.</w:t>
      </w:r>
    </w:p>
    <w:p>
      <w:pPr>
        <w:pStyle w:val="Body"/>
        <w:ind w:hanging="1443" w:start="2160" w:end="0"/>
        <w:jc w:val="both"/>
        <w:rPr/>
      </w:pPr>
      <w:r>
        <w:rPr/>
      </w:r>
    </w:p>
    <w:p>
      <w:pPr>
        <w:pStyle w:val="Body"/>
        <w:ind w:hanging="1443" w:start="2160" w:end="0"/>
        <w:jc w:val="both"/>
        <w:rPr/>
      </w:pPr>
      <w:r>
        <w:rPr/>
        <w:t>AEP Actions:</w:t>
        <w:tab/>
        <w:t>AEP (B. Simpson) review and comment on protocol.</w:t>
      </w:r>
    </w:p>
    <w:p>
      <w:pPr>
        <w:pStyle w:val="Body"/>
        <w:rPr>
          <w:b/>
        </w:rPr>
      </w:pPr>
      <w:r>
        <w:rPr>
          <w:b/>
        </w:rPr>
      </w:r>
    </w:p>
    <w:p>
      <w:pPr>
        <w:pStyle w:val="Body"/>
        <w:rPr>
          <w:b/>
        </w:rPr>
      </w:pPr>
      <w:r>
        <w:rPr>
          <w:b/>
        </w:rPr>
      </w:r>
    </w:p>
    <w:p>
      <w:pPr>
        <w:pStyle w:val="Body"/>
        <w:ind w:hanging="648" w:start="720" w:end="0"/>
        <w:rPr/>
      </w:pPr>
      <w:r>
        <w:rPr>
          <w:b/>
        </w:rPr>
        <w:t>3.</w:t>
        <w:tab/>
        <w:t>Designation of Proceeds:</w:t>
        <w:tab/>
      </w:r>
      <w:r>
        <w:rPr/>
        <w:t>Amendment sent to AEP adjusting of proceeds from asset purchase to pre-paid lease amounts.</w:t>
      </w:r>
    </w:p>
    <w:p>
      <w:pPr>
        <w:pStyle w:val="Body"/>
        <w:ind w:hanging="1443" w:start="2160" w:end="0"/>
        <w:jc w:val="both"/>
        <w:rPr/>
      </w:pPr>
      <w:r>
        <w:rPr/>
      </w:r>
    </w:p>
    <w:p>
      <w:pPr>
        <w:pStyle w:val="Body"/>
        <w:ind w:hanging="1443" w:start="2160" w:end="0"/>
        <w:jc w:val="both"/>
        <w:rPr/>
      </w:pPr>
      <w:r>
        <w:rPr/>
        <w:t>ENA Actions:</w:t>
        <w:tab/>
        <w:t>None (B. Redmond/A. Koehler)</w:t>
      </w:r>
    </w:p>
    <w:p>
      <w:pPr>
        <w:pStyle w:val="Body"/>
        <w:ind w:hanging="1443" w:start="2160" w:end="0"/>
        <w:jc w:val="both"/>
        <w:rPr/>
      </w:pPr>
      <w:r>
        <w:rPr/>
      </w:r>
    </w:p>
    <w:p>
      <w:pPr>
        <w:pStyle w:val="Body"/>
        <w:ind w:hanging="1443" w:start="2160" w:end="0"/>
        <w:jc w:val="both"/>
        <w:rPr/>
      </w:pPr>
      <w:r>
        <w:rPr/>
        <w:t>AEP Actions:</w:t>
        <w:tab/>
        <w:t>Respond with comments or signify agreement (D. Hart/G. Prescott)</w:t>
      </w:r>
    </w:p>
    <w:p>
      <w:pPr>
        <w:pStyle w:val="Body"/>
        <w:ind w:hanging="1443" w:start="2160" w:end="0"/>
        <w:jc w:val="both"/>
        <w:rPr>
          <w:b/>
        </w:rPr>
      </w:pPr>
      <w:r>
        <w:rPr>
          <w:rFonts w:eastAsia="Arial"/>
        </w:rPr>
        <w:t xml:space="preserve">  </w:t>
      </w:r>
    </w:p>
    <w:p>
      <w:pPr>
        <w:pStyle w:val="Body"/>
        <w:rPr>
          <w:b/>
        </w:rPr>
      </w:pPr>
      <w:r>
        <w:rPr>
          <w:b/>
        </w:rPr>
      </w:r>
    </w:p>
    <w:p>
      <w:pPr>
        <w:pStyle w:val="Body"/>
        <w:numPr>
          <w:ilvl w:val="0"/>
          <w:numId w:val="2"/>
        </w:numPr>
        <w:tabs>
          <w:tab w:val="left" w:pos="720" w:leader="none"/>
        </w:tabs>
        <w:ind w:hanging="648" w:start="720" w:end="0"/>
        <w:rPr/>
      </w:pPr>
      <w:r>
        <w:rPr>
          <w:b/>
        </w:rPr>
        <w:t>Bank accounts after Close:</w:t>
        <w:tab/>
      </w:r>
      <w:r>
        <w:rPr/>
        <w:t>Amendment sent to AEP covering how A/P and A/R bank accounts will be handled after Closing.</w:t>
      </w:r>
    </w:p>
    <w:p>
      <w:pPr>
        <w:pStyle w:val="Body"/>
        <w:ind w:hanging="1443" w:start="2160" w:end="0"/>
        <w:jc w:val="both"/>
        <w:rPr/>
      </w:pPr>
      <w:r>
        <w:rPr/>
      </w:r>
    </w:p>
    <w:p>
      <w:pPr>
        <w:pStyle w:val="Body"/>
        <w:ind w:hanging="1443" w:start="2160" w:end="0"/>
        <w:jc w:val="both"/>
        <w:rPr/>
      </w:pPr>
      <w:r>
        <w:rPr/>
        <w:t>ENA Actions:</w:t>
        <w:tab/>
        <w:t>None (M. Perkins/A. Koehler)</w:t>
      </w:r>
    </w:p>
    <w:p>
      <w:pPr>
        <w:pStyle w:val="Body"/>
        <w:ind w:hanging="1443" w:start="2160" w:end="0"/>
        <w:jc w:val="both"/>
        <w:rPr/>
      </w:pPr>
      <w:r>
        <w:rPr/>
      </w:r>
    </w:p>
    <w:p>
      <w:pPr>
        <w:pStyle w:val="Body"/>
        <w:ind w:hanging="1443" w:start="2160" w:end="0"/>
        <w:jc w:val="both"/>
        <w:rPr/>
      </w:pPr>
      <w:r>
        <w:rPr/>
        <w:t>AEP Actions:</w:t>
        <w:tab/>
        <w:t>Respond with comments or signify agreement (J. Soward/G. Prescott)</w:t>
      </w:r>
    </w:p>
    <w:p>
      <w:pPr>
        <w:pStyle w:val="Body"/>
        <w:rPr>
          <w:b/>
        </w:rPr>
      </w:pPr>
      <w:r>
        <w:rPr>
          <w:b/>
        </w:rPr>
      </w:r>
    </w:p>
    <w:p>
      <w:pPr>
        <w:pStyle w:val="Body"/>
        <w:rPr>
          <w:b/>
        </w:rPr>
      </w:pPr>
      <w:r>
        <w:rPr>
          <w:b/>
        </w:rPr>
      </w:r>
    </w:p>
    <w:p>
      <w:pPr>
        <w:pStyle w:val="Body"/>
        <w:numPr>
          <w:ilvl w:val="0"/>
          <w:numId w:val="2"/>
        </w:numPr>
        <w:tabs>
          <w:tab w:val="left" w:pos="720" w:leader="none"/>
        </w:tabs>
        <w:ind w:hanging="648" w:start="720" w:end="0"/>
        <w:rPr/>
      </w:pPr>
      <w:r>
        <w:rPr>
          <w:b/>
        </w:rPr>
        <w:t>Swaps for Fixed Price Deals:</w:t>
        <w:tab/>
      </w:r>
      <w:r>
        <w:rPr/>
        <w:t>Agreement reached on how swaps will be handled.  Enron (T. Rohauer/A. Koehler) has sent agreement and “Form of Confirms” for AEP’s review.</w:t>
      </w:r>
    </w:p>
    <w:p>
      <w:pPr>
        <w:pStyle w:val="Body"/>
        <w:ind w:hanging="1443" w:start="2160" w:end="0"/>
        <w:jc w:val="both"/>
        <w:rPr/>
      </w:pPr>
      <w:r>
        <w:rPr/>
      </w:r>
    </w:p>
    <w:p>
      <w:pPr>
        <w:pStyle w:val="Body"/>
        <w:ind w:hanging="1443" w:start="2160" w:end="0"/>
        <w:jc w:val="both"/>
        <w:rPr/>
      </w:pPr>
      <w:r>
        <w:rPr/>
        <w:t>ENA Actions:</w:t>
        <w:tab/>
        <w:t xml:space="preserve">None (T. Rohauer/A. Koehler)   </w:t>
      </w:r>
    </w:p>
    <w:p>
      <w:pPr>
        <w:pStyle w:val="Body"/>
        <w:ind w:hanging="1443" w:start="2160" w:end="0"/>
        <w:jc w:val="both"/>
        <w:rPr/>
      </w:pPr>
      <w:r>
        <w:rPr/>
      </w:r>
    </w:p>
    <w:p>
      <w:pPr>
        <w:pStyle w:val="Body"/>
        <w:ind w:hanging="1443" w:start="2160" w:end="0"/>
        <w:jc w:val="both"/>
        <w:rPr/>
      </w:pPr>
      <w:r>
        <w:rPr/>
        <w:t>AEP Actions:</w:t>
        <w:tab/>
        <w:t>Respond with comments or signify agreement (F. Hilton/G. Prescott)</w:t>
      </w:r>
    </w:p>
    <w:p>
      <w:pPr>
        <w:pStyle w:val="Body"/>
        <w:rPr>
          <w:b/>
        </w:rPr>
      </w:pPr>
      <w:r>
        <w:rPr>
          <w:b/>
        </w:rPr>
      </w:r>
    </w:p>
    <w:p>
      <w:pPr>
        <w:pStyle w:val="Body"/>
        <w:rPr>
          <w:b/>
        </w:rPr>
      </w:pPr>
      <w:r>
        <w:rPr>
          <w:b/>
        </w:rPr>
      </w:r>
    </w:p>
    <w:p>
      <w:pPr>
        <w:pStyle w:val="Body"/>
        <w:numPr>
          <w:ilvl w:val="0"/>
          <w:numId w:val="2"/>
        </w:numPr>
        <w:tabs>
          <w:tab w:val="left" w:pos="720" w:leader="none"/>
        </w:tabs>
        <w:ind w:hanging="648" w:start="720" w:end="0"/>
        <w:rPr/>
      </w:pPr>
      <w:r>
        <w:rPr>
          <w:b/>
        </w:rPr>
        <w:t>CWIP/PP&amp;E Protocol:</w:t>
        <w:tab/>
      </w:r>
      <w:r>
        <w:rPr>
          <w:bCs/>
        </w:rPr>
        <w:t>Revised protocol sent to AEP setting forth treatment of PP&amp;E and Construction Work in Process.</w:t>
      </w:r>
      <w:r>
        <w:rPr>
          <w:b/>
        </w:rPr>
        <w:t xml:space="preserve">  </w:t>
      </w:r>
      <w:r>
        <w:rPr>
          <w:bCs/>
        </w:rPr>
        <w:t>Meeting held on Houston on 17 April to discuss and resolve.</w:t>
      </w:r>
    </w:p>
    <w:p>
      <w:pPr>
        <w:pStyle w:val="Body"/>
        <w:ind w:hanging="1443" w:start="2160" w:end="0"/>
        <w:jc w:val="both"/>
        <w:rPr/>
      </w:pPr>
      <w:r>
        <w:rPr/>
      </w:r>
    </w:p>
    <w:p>
      <w:pPr>
        <w:pStyle w:val="Body"/>
        <w:ind w:hanging="1443" w:start="2160" w:end="0"/>
        <w:jc w:val="both"/>
        <w:rPr/>
      </w:pPr>
      <w:r>
        <w:rPr/>
        <w:t>ENA Actions:</w:t>
        <w:tab/>
        <w:t>None (J. Coffey/A. Koehler)</w:t>
      </w:r>
    </w:p>
    <w:p>
      <w:pPr>
        <w:pStyle w:val="Body"/>
        <w:ind w:hanging="1443" w:start="2160" w:end="0"/>
        <w:jc w:val="both"/>
        <w:rPr/>
      </w:pPr>
      <w:r>
        <w:rPr/>
      </w:r>
    </w:p>
    <w:p>
      <w:pPr>
        <w:pStyle w:val="Body"/>
        <w:ind w:hanging="1443" w:start="2160" w:end="0"/>
        <w:jc w:val="both"/>
        <w:rPr/>
      </w:pPr>
      <w:r>
        <w:rPr/>
        <w:t>AEP Actions:</w:t>
        <w:tab/>
        <w:t>Respond with comments or signify agreement</w:t>
      </w:r>
    </w:p>
    <w:p>
      <w:pPr>
        <w:pStyle w:val="Body"/>
        <w:ind w:start="0" w:end="0"/>
        <w:rPr>
          <w:b/>
        </w:rPr>
      </w:pPr>
      <w:r>
        <w:rPr>
          <w:b/>
        </w:rPr>
      </w:r>
    </w:p>
    <w:p>
      <w:pPr>
        <w:pStyle w:val="Body"/>
        <w:rPr>
          <w:b/>
        </w:rPr>
      </w:pPr>
      <w:r>
        <w:rPr>
          <w:b/>
        </w:rPr>
      </w:r>
    </w:p>
    <w:p>
      <w:pPr>
        <w:pStyle w:val="Body"/>
        <w:numPr>
          <w:ilvl w:val="0"/>
          <w:numId w:val="2"/>
        </w:numPr>
        <w:tabs>
          <w:tab w:val="left" w:pos="720" w:leader="none"/>
        </w:tabs>
        <w:ind w:hanging="648" w:start="720" w:end="0"/>
        <w:rPr/>
      </w:pPr>
      <w:r>
        <w:rPr>
          <w:b/>
        </w:rPr>
        <w:t>Procurement and Materials Management Protocol:</w:t>
        <w:tab/>
      </w:r>
      <w:r>
        <w:rPr>
          <w:bCs/>
        </w:rPr>
        <w:t>Revised protocol sent to AEP setting forth guidelines for Procurement and Materials Mgmt.</w:t>
      </w:r>
      <w:r>
        <w:rPr>
          <w:b/>
        </w:rPr>
        <w:t xml:space="preserve">  </w:t>
      </w:r>
      <w:r>
        <w:rPr>
          <w:bCs/>
        </w:rPr>
        <w:t>Meeting held on Houston on 17 April to discuss and resolve.</w:t>
      </w:r>
    </w:p>
    <w:p>
      <w:pPr>
        <w:pStyle w:val="Body"/>
        <w:rPr/>
      </w:pPr>
      <w:r>
        <w:rPr/>
      </w:r>
    </w:p>
    <w:p>
      <w:pPr>
        <w:pStyle w:val="Body"/>
        <w:ind w:hanging="1443" w:start="2160" w:end="0"/>
        <w:jc w:val="both"/>
        <w:rPr/>
      </w:pPr>
      <w:r>
        <w:rPr/>
        <w:t>ENA Actions:</w:t>
        <w:tab/>
        <w:t>None (J. Coffey/A. Koehler)</w:t>
      </w:r>
    </w:p>
    <w:p>
      <w:pPr>
        <w:pStyle w:val="Body"/>
        <w:ind w:hanging="1443" w:start="2160" w:end="0"/>
        <w:jc w:val="both"/>
        <w:rPr/>
      </w:pPr>
      <w:r>
        <w:rPr/>
      </w:r>
    </w:p>
    <w:p>
      <w:pPr>
        <w:pStyle w:val="Body"/>
        <w:ind w:hanging="1443" w:start="2160" w:end="0"/>
        <w:jc w:val="both"/>
        <w:rPr>
          <w:b/>
        </w:rPr>
      </w:pPr>
      <w:r>
        <w:rPr/>
        <w:t>AEP Actions:</w:t>
        <w:tab/>
        <w:t>Respond with comments or signify agreement</w:t>
      </w:r>
    </w:p>
    <w:p>
      <w:pPr>
        <w:pStyle w:val="Body"/>
        <w:ind w:start="0" w:end="0"/>
        <w:rPr>
          <w:b/>
        </w:rPr>
      </w:pPr>
      <w:r>
        <w:rPr>
          <w:b/>
        </w:rPr>
      </w:r>
    </w:p>
    <w:p>
      <w:pPr>
        <w:pStyle w:val="Body"/>
        <w:ind w:start="0" w:end="0"/>
        <w:rPr>
          <w:b/>
        </w:rPr>
      </w:pPr>
      <w:r>
        <w:rPr>
          <w:b/>
        </w:rPr>
      </w:r>
    </w:p>
    <w:p>
      <w:pPr>
        <w:pStyle w:val="Body"/>
        <w:numPr>
          <w:ilvl w:val="0"/>
          <w:numId w:val="2"/>
        </w:numPr>
        <w:tabs>
          <w:tab w:val="left" w:pos="720" w:leader="none"/>
        </w:tabs>
        <w:ind w:hanging="648" w:start="720" w:end="0"/>
        <w:rPr>
          <w:b/>
        </w:rPr>
      </w:pPr>
      <w:r>
        <w:rPr>
          <w:b/>
        </w:rPr>
        <w:t>HR Issues:</w:t>
        <w:tab/>
        <w:t xml:space="preserve">Finalize arrangements for employees transferring to AEP. </w:t>
      </w:r>
    </w:p>
    <w:p>
      <w:pPr>
        <w:pStyle w:val="Body"/>
        <w:ind w:start="0" w:end="0"/>
        <w:rPr>
          <w:b/>
        </w:rPr>
      </w:pPr>
      <w:r>
        <w:rPr>
          <w:b/>
        </w:rPr>
      </w:r>
    </w:p>
    <w:p>
      <w:pPr>
        <w:pStyle w:val="Body"/>
        <w:ind w:hanging="1443" w:start="2160" w:end="0"/>
        <w:jc w:val="both"/>
        <w:rPr/>
      </w:pPr>
      <w:r>
        <w:rPr/>
        <w:t>ENA Actions:</w:t>
        <w:tab/>
        <w:t xml:space="preserve">None (F. Mayes/M. Cash).  </w:t>
      </w:r>
    </w:p>
    <w:p>
      <w:pPr>
        <w:pStyle w:val="Body"/>
        <w:ind w:hanging="1443" w:start="2160" w:end="0"/>
        <w:jc w:val="both"/>
        <w:rPr/>
      </w:pPr>
      <w:r>
        <w:rPr/>
      </w:r>
    </w:p>
    <w:p>
      <w:pPr>
        <w:pStyle w:val="Body"/>
        <w:ind w:hanging="1443" w:start="2160" w:end="0"/>
        <w:jc w:val="both"/>
        <w:rPr/>
      </w:pPr>
      <w:r>
        <w:rPr/>
        <w:t>AEP Actions:</w:t>
        <w:tab/>
        <w:t xml:space="preserve">Resolve vacations carryover questions and cash balance questions. Finalize arrangements with respect to legal/regulatory resources supporting HPL.  Send letters sent to individuals who will not have a position with AEP after Close.  </w:t>
      </w:r>
    </w:p>
    <w:p>
      <w:pPr>
        <w:pStyle w:val="Body"/>
        <w:ind w:start="0" w:end="0"/>
        <w:rPr/>
      </w:pPr>
      <w:r>
        <w:rPr/>
      </w:r>
    </w:p>
    <w:p>
      <w:pPr>
        <w:pStyle w:val="Body"/>
        <w:ind w:start="0" w:end="0"/>
        <w:rPr>
          <w:b/>
        </w:rPr>
      </w:pPr>
      <w:r>
        <w:rPr>
          <w:b/>
        </w:rPr>
      </w:r>
    </w:p>
    <w:p>
      <w:pPr>
        <w:pStyle w:val="Body"/>
        <w:numPr>
          <w:ilvl w:val="0"/>
          <w:numId w:val="2"/>
        </w:numPr>
        <w:tabs>
          <w:tab w:val="left" w:pos="720" w:leader="none"/>
        </w:tabs>
        <w:ind w:hanging="648" w:start="720" w:end="0"/>
        <w:rPr>
          <w:b/>
        </w:rPr>
      </w:pPr>
      <w:r>
        <w:rPr>
          <w:b/>
        </w:rPr>
        <w:t>Replacement of Enron Guarantees:</w:t>
        <w:tab/>
        <w:t>Guarantee transfer letters sent to AEP for review.</w:t>
      </w:r>
    </w:p>
    <w:p>
      <w:pPr>
        <w:pStyle w:val="Body"/>
        <w:ind w:start="0" w:end="0"/>
        <w:rPr>
          <w:b/>
        </w:rPr>
      </w:pPr>
      <w:r>
        <w:rPr>
          <w:b/>
        </w:rPr>
      </w:r>
    </w:p>
    <w:p>
      <w:pPr>
        <w:pStyle w:val="Body"/>
        <w:ind w:hanging="1443" w:start="2160" w:end="0"/>
        <w:jc w:val="both"/>
        <w:rPr/>
      </w:pPr>
      <w:r>
        <w:rPr/>
        <w:t>ENA Actions:</w:t>
        <w:tab/>
        <w:t>Finalize current HPL net obligations under guarantees and send to AEP (T. Rohauer/A. Koehler)</w:t>
      </w:r>
    </w:p>
    <w:p>
      <w:pPr>
        <w:pStyle w:val="Body"/>
        <w:ind w:hanging="1443" w:start="2160" w:end="0"/>
        <w:jc w:val="both"/>
        <w:rPr/>
      </w:pPr>
      <w:r>
        <w:rPr/>
      </w:r>
    </w:p>
    <w:p>
      <w:pPr>
        <w:pStyle w:val="Body"/>
        <w:ind w:hanging="1443" w:start="2160" w:end="0"/>
        <w:jc w:val="both"/>
        <w:rPr/>
      </w:pPr>
      <w:r>
        <w:rPr/>
        <w:t>AEP Actions:</w:t>
        <w:tab/>
        <w:t>Review and comment or signify agreement (F. Hilton/G. Prescott).</w:t>
      </w:r>
    </w:p>
    <w:p>
      <w:pPr>
        <w:pStyle w:val="Body"/>
        <w:ind w:hanging="1443" w:start="2160" w:end="0"/>
        <w:jc w:val="both"/>
        <w:rPr/>
      </w:pPr>
      <w:r>
        <w:rPr/>
      </w:r>
    </w:p>
    <w:p>
      <w:pPr>
        <w:pStyle w:val="Body"/>
        <w:ind w:hanging="1443" w:start="2160" w:end="0"/>
        <w:jc w:val="both"/>
        <w:rPr>
          <w:b/>
        </w:rPr>
      </w:pPr>
      <w:r>
        <w:rPr>
          <w:b/>
        </w:rPr>
      </w:r>
    </w:p>
    <w:p>
      <w:pPr>
        <w:pStyle w:val="Body"/>
        <w:numPr>
          <w:ilvl w:val="0"/>
          <w:numId w:val="2"/>
        </w:numPr>
        <w:tabs>
          <w:tab w:val="left" w:pos="720" w:leader="none"/>
        </w:tabs>
        <w:ind w:hanging="648" w:start="720" w:end="0"/>
        <w:rPr>
          <w:b/>
        </w:rPr>
      </w:pPr>
      <w:r>
        <w:rPr>
          <w:b/>
        </w:rPr>
        <w:t>Business Operations:</w:t>
        <w:tab/>
        <w:t>Discussions ongoing regarding back-office functions and resources before, during, and after the Closing Date.</w:t>
      </w:r>
    </w:p>
    <w:p>
      <w:pPr>
        <w:pStyle w:val="Body"/>
        <w:rPr>
          <w:b/>
        </w:rPr>
      </w:pPr>
      <w:r>
        <w:rPr>
          <w:b/>
        </w:rPr>
      </w:r>
    </w:p>
    <w:p>
      <w:pPr>
        <w:pStyle w:val="Body"/>
        <w:ind w:hanging="1443" w:start="2160" w:end="0"/>
        <w:jc w:val="both"/>
        <w:rPr/>
      </w:pPr>
      <w:r>
        <w:rPr/>
        <w:t>ENA Actions:</w:t>
        <w:tab/>
        <w:t>Discussions ongoing as to who and how business ops functions will be carried out before, during and after the Closing Date.</w:t>
      </w:r>
    </w:p>
    <w:p>
      <w:pPr>
        <w:pStyle w:val="Body"/>
        <w:ind w:hanging="1443" w:start="2160" w:end="0"/>
        <w:jc w:val="both"/>
        <w:rPr/>
      </w:pPr>
      <w:r>
        <w:rPr/>
      </w:r>
    </w:p>
    <w:p>
      <w:pPr>
        <w:pStyle w:val="Body"/>
        <w:ind w:hanging="1443" w:start="2160" w:end="0"/>
        <w:jc w:val="both"/>
        <w:rPr>
          <w:b/>
        </w:rPr>
      </w:pPr>
      <w:r>
        <w:rPr/>
        <w:t>AEP Actions:</w:t>
        <w:tab/>
        <w:t>ENA (B. Hall) developing a written responsibility sheet to submit to AEP.</w:t>
      </w:r>
    </w:p>
    <w:p>
      <w:pPr>
        <w:pStyle w:val="Body"/>
        <w:rPr>
          <w:b/>
        </w:rPr>
      </w:pPr>
      <w:r>
        <w:rPr>
          <w:b/>
        </w:rPr>
      </w:r>
    </w:p>
    <w:p>
      <w:pPr>
        <w:pStyle w:val="Body"/>
        <w:rPr>
          <w:b/>
        </w:rPr>
      </w:pPr>
      <w:r>
        <w:rPr>
          <w:b/>
        </w:rPr>
      </w:r>
    </w:p>
    <w:p>
      <w:pPr>
        <w:pStyle w:val="Body"/>
        <w:numPr>
          <w:ilvl w:val="0"/>
          <w:numId w:val="2"/>
        </w:numPr>
        <w:tabs>
          <w:tab w:val="left" w:pos="720" w:leader="none"/>
        </w:tabs>
        <w:ind w:hanging="648" w:start="720" w:end="0"/>
        <w:rPr>
          <w:b/>
        </w:rPr>
      </w:pPr>
      <w:r>
        <w:rPr>
          <w:b/>
        </w:rPr>
        <w:t>Books &amp; Records:</w:t>
        <w:tab/>
        <w:t xml:space="preserve">Enron (A. Koehler) has sent data retention procedures sent to AEP for review. </w:t>
      </w:r>
    </w:p>
    <w:p>
      <w:pPr>
        <w:pStyle w:val="Body"/>
        <w:ind w:start="0" w:end="0"/>
        <w:rPr>
          <w:b/>
        </w:rPr>
      </w:pPr>
      <w:r>
        <w:rPr>
          <w:b/>
        </w:rPr>
      </w:r>
    </w:p>
    <w:p>
      <w:pPr>
        <w:pStyle w:val="Body"/>
        <w:ind w:hanging="1443" w:start="2160" w:end="0"/>
        <w:jc w:val="both"/>
        <w:rPr/>
      </w:pPr>
      <w:r>
        <w:rPr/>
        <w:t>ENA Actions:</w:t>
        <w:tab/>
        <w:t>No actions.</w:t>
      </w:r>
    </w:p>
    <w:p>
      <w:pPr>
        <w:pStyle w:val="Body"/>
        <w:ind w:hanging="1443" w:start="2160" w:end="0"/>
        <w:jc w:val="both"/>
        <w:rPr/>
      </w:pPr>
      <w:r>
        <w:rPr/>
      </w:r>
    </w:p>
    <w:p>
      <w:pPr>
        <w:pStyle w:val="Body"/>
        <w:ind w:start="720" w:end="0"/>
        <w:rPr/>
      </w:pPr>
      <w:r>
        <w:rPr/>
        <w:t>AEP Actions:</w:t>
        <w:tab/>
        <w:t>AEP (G. Prescott) to review and comment or signify agreement.</w:t>
      </w:r>
    </w:p>
    <w:p>
      <w:pPr>
        <w:pStyle w:val="Body"/>
        <w:rPr>
          <w:b/>
        </w:rPr>
      </w:pPr>
      <w:r>
        <w:rPr>
          <w:b/>
        </w:rPr>
      </w:r>
    </w:p>
    <w:p>
      <w:pPr>
        <w:pStyle w:val="Body"/>
        <w:rPr>
          <w:b/>
        </w:rPr>
      </w:pPr>
      <w:r>
        <w:rPr>
          <w:b/>
        </w:rPr>
      </w:r>
    </w:p>
    <w:p>
      <w:pPr>
        <w:pStyle w:val="Body"/>
        <w:numPr>
          <w:ilvl w:val="0"/>
          <w:numId w:val="2"/>
        </w:numPr>
        <w:tabs>
          <w:tab w:val="left" w:pos="720" w:leader="none"/>
        </w:tabs>
        <w:ind w:hanging="648" w:start="720" w:end="0"/>
        <w:rPr>
          <w:b/>
        </w:rPr>
      </w:pPr>
      <w:r>
        <w:rPr>
          <w:b/>
        </w:rPr>
        <w:t>Amendments to Schedules:</w:t>
        <w:tab/>
        <w:t xml:space="preserve">Enron (A. Koehler) has sent amended schedules to AEP to reflect changes in contracts and retained liabilities. </w:t>
      </w:r>
    </w:p>
    <w:p>
      <w:pPr>
        <w:pStyle w:val="Body"/>
        <w:ind w:start="0" w:end="0"/>
        <w:rPr>
          <w:b/>
        </w:rPr>
      </w:pPr>
      <w:r>
        <w:rPr>
          <w:b/>
        </w:rPr>
      </w:r>
    </w:p>
    <w:p>
      <w:pPr>
        <w:pStyle w:val="Body"/>
        <w:ind w:hanging="1443" w:start="2160" w:end="0"/>
        <w:jc w:val="both"/>
        <w:rPr/>
      </w:pPr>
      <w:r>
        <w:rPr/>
        <w:t>ENA Actions:</w:t>
        <w:tab/>
        <w:t>Continue to monitor HPL and adjust schedules as required.</w:t>
      </w:r>
    </w:p>
    <w:p>
      <w:pPr>
        <w:pStyle w:val="Body"/>
        <w:ind w:hanging="1443" w:start="2160" w:end="0"/>
        <w:jc w:val="both"/>
        <w:rPr/>
      </w:pPr>
      <w:r>
        <w:rPr/>
      </w:r>
    </w:p>
    <w:p>
      <w:pPr>
        <w:pStyle w:val="Body"/>
        <w:ind w:hanging="1443" w:start="2160" w:end="0"/>
        <w:jc w:val="both"/>
        <w:rPr/>
      </w:pPr>
      <w:r>
        <w:rPr/>
        <w:t>AEP Actions:</w:t>
        <w:tab/>
        <w:t>AEP (G. Prescott) to review and comment or signify agreement.</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780" w:leader="none"/>
        <w:tab w:val="left" w:pos="4770" w:leader="none"/>
        <w:tab w:val="left" w:pos="765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432"/>
        </w:tabs>
        <w:ind w:start="432" w:hanging="360"/>
      </w:pPr>
      <w:rPr>
        <w:b/>
      </w:rPr>
    </w:lvl>
  </w:abstractNum>
  <w:abstractNum w:abstractNumId="3">
    <w:lvl w:ilvl="0">
      <w:start w:val="1"/>
      <w:numFmt w:val="decimal"/>
      <w:lvlText w:val="%1."/>
      <w:lvlJc w:val="start"/>
      <w:pPr>
        <w:tabs>
          <w:tab w:val="num" w:pos="717"/>
        </w:tabs>
        <w:ind w:start="717" w:hanging="64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b/>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2001-04-18T22:42:00Z</dcterms:created>
  <dc:creator>bredmon</dc:creator>
  <dc:description/>
  <dc:language>en-CA</dc:language>
  <cp:lastModifiedBy>bredmon</cp:lastModifiedBy>
  <cp:lastPrinted>2001-04-18T20:16:00Z</cp:lastPrinted>
  <dcterms:modified xsi:type="dcterms:W3CDTF">2001-04-18T22:46:00Z</dcterms:modified>
  <cp:revision>3</cp:revision>
  <dc:subject/>
  <dc:title>Better, Faster, Simpler Memo </dc:title>
</cp:coreProperties>
</file>