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120"/>
        <w:jc w:val="start"/>
        <w:rPr/>
      </w:pPr>
      <w:r>
        <w:rPr/>
      </w:r>
    </w:p>
    <w:p>
      <w:pPr>
        <w:pStyle w:val="Heading"/>
        <w:spacing w:before="0" w:after="120"/>
        <w:rPr/>
      </w:pPr>
      <w:r>
        <w:rPr/>
        <w:t>ATTACHMENT A</w:t>
      </w:r>
    </w:p>
    <w:p>
      <w:pPr>
        <w:pStyle w:val="Heading"/>
        <w:spacing w:before="0" w:after="120"/>
        <w:rPr/>
      </w:pPr>
      <w:r>
        <w:rPr/>
        <w:t xml:space="preserve"> </w:t>
      </w:r>
      <w:r>
        <w:rPr/>
        <w:t>TO SUPPLEMENTAL AGREEMENT</w:t>
      </w:r>
    </w:p>
    <w:p>
      <w:pPr>
        <w:pStyle w:val="Heading"/>
        <w:spacing w:before="0" w:after="120"/>
        <w:rPr/>
      </w:pPr>
      <w:r>
        <w:rPr/>
        <w:t xml:space="preserve"> </w:t>
      </w:r>
      <w:r>
        <w:rPr/>
        <w:t>To The MASTER POWER PURCHASE AND SALE AGREEMENT</w:t>
      </w:r>
    </w:p>
    <w:p>
      <w:pPr>
        <w:pStyle w:val="Heading"/>
        <w:spacing w:before="0" w:after="120"/>
        <w:rPr/>
      </w:pPr>
      <w:r>
        <w:rPr/>
        <w:t>COVER SHEET</w:t>
      </w:r>
    </w:p>
    <w:tbl>
      <w:tblPr>
        <w:tblW w:w="110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3600"/>
        <w:gridCol w:w="1620"/>
        <w:gridCol w:w="1350"/>
        <w:gridCol w:w="4410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522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4320" w:leader="none"/>
              </w:tabs>
              <w:spacing w:before="0" w:after="120"/>
              <w:rPr/>
            </w:pPr>
            <w:r>
              <w:rPr>
                <w:b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Enron Power Marketing, Inc. </w:t>
            </w: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>"Party A")</w:t>
            </w:r>
          </w:p>
        </w:tc>
        <w:tc>
          <w:tcPr>
            <w:tcW w:w="576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4475" w:leader="none"/>
              </w:tabs>
              <w:spacing w:before="0" w:after="120"/>
              <w:ind w:start="245" w:end="0"/>
              <w:rPr>
                <w:sz w:val="20"/>
              </w:rPr>
            </w:pPr>
            <w:r>
              <w:rPr>
                <w:b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  <w:r>
              <w:rPr>
                <w:b/>
                <w:caps/>
                <w:sz w:val="18"/>
                <w:lang w:val="en-CA" w:eastAsia="en-CA"/>
              </w:rPr>
              <w:t>American Electric Power Service Corporation as agent for the AEP Operating Companies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>"Party B")  "AEP Operating Companies" means the electric utility subsidiaries of American Electric Power Company, Inc., consisting of Appalachian Power Company, Central Power &amp; Light Company, Columbus Southern Power Company, Indiana Michigan Power Company, Kentucky Power Company, Ohio Power Company, Public Service Company of Oklahoma, Southwestern Electric Power Company and West Texas Utilities Company</w:t>
            </w:r>
            <w:r>
              <w:rPr>
                <w:sz w:val="22"/>
              </w:rPr>
              <w:t xml:space="preserve">.  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Fi</w:t>
            </w:r>
            <w:r>
              <w:rPr>
                <w:b/>
                <w:sz w:val="20"/>
                <w:u w:val="single"/>
              </w:rPr>
              <w:t>ve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252" w:leader="none"/>
              </w:tabs>
              <w:spacing w:before="120" w:after="120"/>
              <w:rPr/>
            </w:pPr>
            <w:r>
              <w:rPr/>
              <w:t>■</w:t>
            </w: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Cross Default for Party A: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</w:rPr>
              <w:t>Events of Default; Remedies</w:t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  </w:t>
            </w:r>
            <w:r>
              <w:rPr>
                <w:sz w:val="20"/>
              </w:rPr>
              <w:t>Party A: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/>
            </w:pPr>
            <w:r>
              <w:rPr>
                <w:sz w:val="20"/>
              </w:rPr>
              <w:t xml:space="preserve">■  </w:t>
            </w:r>
            <w:r>
              <w:rPr>
                <w:sz w:val="20"/>
              </w:rPr>
              <w:t>Other Entity: Enron Corp.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$100,000,000.00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■  </w:t>
            </w:r>
            <w:r>
              <w:rPr>
                <w:sz w:val="20"/>
              </w:rPr>
              <w:t>Cross Default for Party B: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napToGrid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  </w:t>
            </w:r>
            <w:r>
              <w:rPr>
                <w:sz w:val="20"/>
              </w:rPr>
              <w:t>Party B: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right" w:pos="2673" w:leader="none"/>
              </w:tabs>
              <w:spacing w:before="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■  </w:t>
            </w:r>
            <w:r>
              <w:rPr>
                <w:rFonts w:cs="Times New Roman" w:ascii="Times New Roman" w:hAnsi="Times New Roman"/>
                <w:szCs w:val="24"/>
              </w:rPr>
              <w:t>Other Entities: each of the AEP Operating Companies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/>
            </w:pPr>
            <w:r>
              <w:rPr>
                <w:sz w:val="20"/>
              </w:rPr>
              <w:t>Cross Default Amount $50,000,000.00 as to Party B</w:t>
              <w:br/>
              <w:t>and each of the AEP Operating Companies, respectively.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rStyle w:val="ParaNum"/>
                <w:sz w:val="20"/>
              </w:rPr>
              <w:t>5.6</w:t>
            </w:r>
            <w:r>
              <w:rPr>
                <w:sz w:val="20"/>
              </w:rPr>
              <w:t xml:space="preserve">  Closeout Setoff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Option A (Applicable if no other selection is made.)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B - Affiliates shall have the meaning set forth in the Agreement unless otherwise specified as follows: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C (No Setoff)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8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sz w:val="20"/>
              </w:rPr>
              <w:t xml:space="preserve">8.1  </w:t>
            </w:r>
            <w:r>
              <w:rPr>
                <w:sz w:val="20"/>
                <w:u w:val="single"/>
              </w:rPr>
              <w:t>Party A Credit Protection</w:t>
            </w:r>
            <w:r>
              <w:rPr>
                <w:sz w:val="20"/>
              </w:rPr>
              <w:t>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</w:rPr>
              <w:t>Credit and Collateral Requirements</w:t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(a)</w:t>
            </w:r>
            <w:r>
              <w:rPr>
                <w:sz w:val="20"/>
              </w:rPr>
              <w:t xml:space="preserve">  Financial Information: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A</w:t>
              <w:br/>
            </w:r>
            <w:r>
              <w:rPr/>
              <w:t>■</w:t>
            </w:r>
            <w:r>
              <w:rPr>
                <w:sz w:val="20"/>
              </w:rPr>
              <w:tab/>
              <w:t xml:space="preserve">Option B   Specify: Each of the AEP Operating Companies </w:t>
              <w:br/>
              <w:t></w:t>
              <w:tab/>
              <w:t xml:space="preserve">Option C   Specify: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(b)</w:t>
            </w:r>
            <w:r>
              <w:rPr>
                <w:sz w:val="20"/>
              </w:rPr>
              <w:t xml:space="preserve">  Credit Assurances: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Not Applicable</w:t>
              <w:br/>
              <w:t></w:t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(c)</w:t>
            </w:r>
            <w:r>
              <w:rPr>
                <w:sz w:val="20"/>
              </w:rPr>
              <w:t xml:space="preserve">  Collateral Threshold: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>Party B Collateral Threshold: $75,000,000.00; provided, however, that Party B’s Collateral Threshold shall be zero if an Event of Default or Potential Event of Default with respect to Party B has occurred and is continuing.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B Independent Amount: $0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B Rounding Amount: $250,000.00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rStyle w:val="ParaNum"/>
                <w:sz w:val="20"/>
              </w:rPr>
              <w:t>(d)</w:t>
            </w:r>
            <w:r>
              <w:rPr>
                <w:sz w:val="20"/>
              </w:rPr>
              <w:t xml:space="preserve">  Downgrade Event: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702" w:leader="none"/>
              </w:tabs>
              <w:spacing w:before="0" w:after="120"/>
              <w:ind w:start="36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 xml:space="preserve">It shall be a Downgrade Event for Party B if [Party B’s][Party B's Guarantor] Credit Rating falls below __________ from S&amp;P or  __________ from Moody’s or if  [Party B][Party B's Guarantor] is not rated by either S&amp;P or Moody’s 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 xml:space="preserve">Other: </w:t>
              <w:br/>
              <w:t>Specify: It shall be a Downgrade Event for Party B if any of the AEP Operating Companies’ Credit Ratings falls below BBB- from S&amp;P or Baa3 from Moody’s or if any of the AEP Operating Companies are not rated by either S&amp;P or Moody’s or if no senior, unsecured debt rating exists.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rPr/>
            </w:pPr>
            <w:r>
              <w:rPr>
                <w:rStyle w:val="ParaNum"/>
                <w:sz w:val="20"/>
              </w:rPr>
              <w:t>(e)</w:t>
            </w:r>
            <w:r>
              <w:rPr>
                <w:sz w:val="20"/>
              </w:rPr>
              <w:t xml:space="preserve">  Guarantor for Party B: N/A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start="702" w:end="0"/>
              <w:rPr>
                <w:rStyle w:val="ParaNum"/>
                <w:sz w:val="20"/>
              </w:rPr>
            </w:pPr>
            <w:r>
              <w:rPr>
                <w:sz w:val="20"/>
              </w:rPr>
              <w:t>Guarantee Amount: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rStyle w:val="ParaNum"/>
                <w:sz w:val="20"/>
                <w:u w:val="single"/>
              </w:rPr>
            </w:pPr>
            <w:r>
              <w:rPr/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 xml:space="preserve">8.2  </w:t>
            </w:r>
            <w:r>
              <w:rPr>
                <w:sz w:val="20"/>
                <w:u w:val="single"/>
              </w:rPr>
              <w:t>Party B Credit Protection</w:t>
            </w:r>
            <w:r>
              <w:rPr>
                <w:sz w:val="20"/>
              </w:rPr>
              <w:t>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(a)</w:t>
            </w:r>
            <w:r>
              <w:rPr>
                <w:sz w:val="20"/>
              </w:rPr>
              <w:t xml:space="preserve">  Financial Information: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A</w:t>
              <w:br/>
              <w:t>■</w:t>
              <w:tab/>
              <w:t>Option B   Specify: Enron Corp.</w:t>
            </w:r>
            <w:r>
              <w:rPr>
                <w:sz w:val="20"/>
                <w:u w:val="single"/>
              </w:rPr>
              <w:t xml:space="preserve"> </w:t>
              <w:br/>
            </w:r>
            <w:r>
              <w:rPr>
                <w:sz w:val="20"/>
              </w:rPr>
              <w:t></w:t>
              <w:tab/>
              <w:t xml:space="preserve">Option C   Specify: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(b)</w:t>
            </w:r>
            <w:r>
              <w:rPr>
                <w:sz w:val="20"/>
              </w:rPr>
              <w:t xml:space="preserve">  Credit Assurances: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Not Applicable</w:t>
              <w:br/>
              <w:t></w:t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(c)</w:t>
            </w:r>
            <w:r>
              <w:rPr>
                <w:sz w:val="20"/>
              </w:rPr>
              <w:t xml:space="preserve">  Collateral Threshold: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>Party A Collateral Threshold: $75,000,000.00 provided, however, that Party A’s Collateral Threshold shall be zero if an Event of Default or Potential Event of Default with respect to Party A has occurred and is continuing.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MacroText"/>
              <w:keepNext w:val="true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right" w:pos="3852" w:leader="none"/>
              </w:tabs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Party A Independent Amount: $0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cs="Times New Roman"/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A Rounding Amount: $250,000.00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pacing w:before="0" w:after="120"/>
              <w:rPr/>
            </w:pPr>
            <w:r>
              <w:rPr>
                <w:rStyle w:val="ParaNum"/>
                <w:sz w:val="20"/>
              </w:rPr>
              <w:t>(d)</w:t>
            </w:r>
            <w:r>
              <w:rPr>
                <w:sz w:val="20"/>
              </w:rPr>
              <w:t xml:space="preserve">  Downgrade Event: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702" w:leader="none"/>
              </w:tabs>
              <w:spacing w:before="0" w:after="120"/>
              <w:ind w:start="36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It shall be a Downgrade Event for Party A if Enron Corp.’s Credit Rating falls below BBB- from S&amp;P or Baa3 from Moody’s or if Enron Corp. is not rated by either S&amp;P or Moody’s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 xml:space="preserve">Other: </w:t>
              <w:br/>
              <w:t>Specify: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rPr/>
            </w:pPr>
            <w:r>
              <w:rPr>
                <w:rStyle w:val="ParaNum"/>
                <w:sz w:val="20"/>
              </w:rPr>
              <w:t>(e)</w:t>
            </w:r>
            <w:r>
              <w:rPr>
                <w:sz w:val="20"/>
              </w:rPr>
              <w:t xml:space="preserve">  Guarantor for Party A: Enron Corp.</w:t>
            </w:r>
          </w:p>
        </w:tc>
      </w:tr>
      <w:tr>
        <w:trPr/>
        <w:tc>
          <w:tcPr>
            <w:tcW w:w="3708" w:type="dxa"/>
            <w:gridSpan w:val="2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start="702" w:end="0"/>
              <w:rPr>
                <w:rStyle w:val="ParaNum"/>
                <w:sz w:val="20"/>
              </w:rPr>
            </w:pPr>
            <w:r>
              <w:rPr>
                <w:sz w:val="20"/>
              </w:rPr>
              <w:t>Guarantee Amount: $20,000,000.00</w:t>
            </w:r>
          </w:p>
        </w:tc>
      </w:tr>
    </w:tbl>
    <w:p>
      <w:pPr>
        <w:pStyle w:val="PlainText"/>
        <w:spacing w:before="0" w:after="120"/>
        <w:rPr>
          <w:rStyle w:val="ParaNum"/>
          <w:sz w:val="22"/>
        </w:rPr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  <w:rPr/>
    </w:pPr>
    <w:r>
      <w:rPr>
        <w:rStyle w:val="PageNumber"/>
        <w:rFonts w:cs="Arial" w:ascii="Arial" w:hAnsi="Arial"/>
        <w:i/>
        <w:sz w:val="16"/>
      </w:rPr>
      <w:t>Doc #22310.v4  Date: 09/28/2000   6:20 PM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cardinalText"/>
      <w:suff w:val="nothing"/>
      <w:lvlText w:val="ARTICLE %1:     "/>
      <w:lvlJc w:val="start"/>
      <w:pPr>
        <w:tabs>
          <w:tab w:val="num" w:pos="0"/>
        </w:tabs>
        <w:ind w:start="0" w:hanging="0"/>
      </w:pPr>
      <w:rPr>
        <w:caps/>
        <w:sz w:val="24"/>
        <w:i w:val="false"/>
        <w:b/>
        <w:rFonts w:ascii="Times New Roman" w:hAnsi="Times New Roman" w:cs="Times New Roman"/>
      </w:r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1080"/>
        </w:tabs>
        <w:ind w:start="0" w:firstLine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2">
      <w:start w:val="1"/>
      <w:pStyle w:val="Heading3"/>
      <w:numFmt w:val="lowerLetter"/>
      <w:lvlText w:val="(%3)"/>
      <w:lvlJc w:val="start"/>
      <w:pPr>
        <w:tabs>
          <w:tab w:val="num" w:pos="2160"/>
        </w:tabs>
        <w:ind w:start="2160" w:hanging="720"/>
      </w:pPr>
      <w:rPr>
        <w:sz w:val="24"/>
        <w:i w:val="false"/>
        <w:b w:val="false"/>
        <w:rFonts w:ascii="Times New Roman" w:hAnsi="Times New Roman" w:cs="Times New Roman"/>
      </w:rPr>
    </w:lvl>
    <w:lvl w:ilvl="3">
      <w:start w:val="1"/>
      <w:pStyle w:val="Heading4"/>
      <w:numFmt w:val="lowerRoman"/>
      <w:lvlText w:val="(%4)"/>
      <w:lvlJc w:val="start"/>
      <w:pPr>
        <w:tabs>
          <w:tab w:val="num" w:pos="2880"/>
        </w:tabs>
        <w:ind w:start="2880" w:hanging="720"/>
      </w:pPr>
      <w:rPr>
        <w:sz w:val="24"/>
        <w:i w:val="false"/>
        <w:b w:val="false"/>
        <w:rFonts w:ascii="Times New Roman" w:hAnsi="Times New Roman" w:cs="Times New Roman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2160"/>
        </w:tabs>
        <w:ind w:start="2160" w:hanging="720"/>
      </w:pPr>
      <w:rPr>
        <w:sz w:val="24"/>
        <w:i w:val="false"/>
        <w:b w:val="false"/>
        <w:rFonts w:ascii="Times New Roman" w:hAnsi="Times New Roman" w:cs="Times New Roman"/>
      </w:rPr>
    </w:lvl>
    <w:lvl w:ilvl="5">
      <w:start w:val="1"/>
      <w:pStyle w:val="Heading6"/>
      <w:numFmt w:val="upperRoman"/>
      <w:suff w:val="space"/>
      <w:lvlText w:val="%6."/>
      <w:lvlJc w:val="start"/>
      <w:pPr>
        <w:tabs>
          <w:tab w:val="num" w:pos="0"/>
        </w:tabs>
        <w:ind w:start="2736" w:hanging="936"/>
      </w:pPr>
      <w:rPr>
        <w:sz w:val="24"/>
        <w:i w:val="false"/>
        <w:u w:val="none"/>
        <w:b/>
        <w:rFonts w:ascii="Times New Roman" w:hAnsi="Times New Roman" w:cs="Times New Roman"/>
      </w:rPr>
    </w:lvl>
    <w:lvl w:ilvl="6">
      <w:start w:val="1"/>
      <w:pStyle w:val="Heading7"/>
      <w:isLgl/>
      <w:numFmt w:val="decimal"/>
      <w:lvlText w:val="%7.01."/>
      <w:lvlJc w:val="start"/>
      <w:pPr>
        <w:tabs>
          <w:tab w:val="num" w:pos="2160"/>
        </w:tabs>
        <w:ind w:start="0" w:firstLine="144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kern w:val="2"/>
      <w:szCs w:val="20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</w:tabs>
      <w:spacing w:before="0"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00"/>
      <w:outlineLvl w:val="6"/>
    </w:pPr>
    <w:rPr>
      <w:sz w:val="20"/>
      <w:szCs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  <w:sz w:val="22"/>
    </w:rPr>
  </w:style>
  <w:style w:type="character" w:styleId="WW8Num17z0">
    <w:name w:val="WW8Num17z0"/>
    <w:qFormat/>
    <w:rPr>
      <w:b/>
      <w:sz w:val="22"/>
    </w:rPr>
  </w:style>
  <w:style w:type="character" w:styleId="WW8Num18z0">
    <w:name w:val="WW8Num18z0"/>
    <w:qFormat/>
    <w:rPr>
      <w:b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4z2">
    <w:name w:val="WW8Num24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24z5">
    <w:name w:val="WW8Num24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5z2">
    <w:name w:val="WW8Num35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35z5">
    <w:name w:val="WW8Num35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38z1">
    <w:name w:val="WW8Num38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8z2">
    <w:name w:val="WW8Num38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38z5">
    <w:name w:val="WW8Num38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b w:val="false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DefaultParagraphFont">
    <w:name w:val="Default Paragraph Font"/>
    <w:qFormat/>
    <w:rPr/>
  </w:style>
  <w:style w:type="character" w:styleId="ParaNum">
    <w:name w:val="ParaNum"/>
    <w:basedOn w:val="DefaultParagraphFont"/>
    <w:qFormat/>
    <w:rPr>
      <w:b w:val="false"/>
      <w:i w:val="false"/>
      <w:vanish w:val="false"/>
      <w:u w:val="none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before="0" w:after="280"/>
      <w:jc w:val="center"/>
      <w:outlineLvl w:val="0"/>
    </w:pPr>
    <w:rPr>
      <w:b/>
      <w:kern w:val="2"/>
      <w:szCs w:val="20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>
      <w:szCs w:val="20"/>
    </w:rPr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  <w:ind w:hanging="0" w:start="720" w:end="0"/>
    </w:pPr>
    <w:rPr>
      <w:szCs w:val="20"/>
    </w:rPr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  <w:ind w:hanging="0" w:start="1080" w:end="0"/>
    </w:pPr>
    <w:rPr>
      <w:szCs w:val="20"/>
    </w:rPr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  <w:ind w:hanging="0" w:start="1440" w:end="0"/>
    </w:pPr>
    <w:rPr>
      <w:szCs w:val="20"/>
    </w:rPr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  <w:ind w:hanging="0" w:start="1800" w:end="0"/>
    </w:pPr>
    <w:rPr>
      <w:szCs w:val="20"/>
    </w:rPr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>
      <w:szCs w:val="20"/>
    </w:rPr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  <w:ind w:hanging="0" w:start="720" w:end="0"/>
    </w:pPr>
    <w:rPr>
      <w:szCs w:val="20"/>
    </w:rPr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  <w:ind w:hanging="0" w:start="1080" w:end="0"/>
    </w:pPr>
    <w:rPr>
      <w:szCs w:val="20"/>
    </w:rPr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  <w:ind w:hanging="0" w:start="1440" w:end="0"/>
    </w:pPr>
    <w:rPr>
      <w:szCs w:val="20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  <w:ind w:hanging="0" w:start="1800" w:end="0"/>
    </w:pPr>
    <w:rPr>
      <w:szCs w:val="20"/>
    </w:rPr>
  </w:style>
  <w:style w:type="paragraph" w:styleId="coverbody">
    <w:name w:val="coverbody"/>
    <w:basedOn w:val="Normal"/>
    <w:qFormat/>
    <w:pPr>
      <w:spacing w:before="0" w:after="200"/>
      <w:jc w:val="both"/>
    </w:pPr>
    <w:rPr>
      <w:sz w:val="20"/>
      <w:szCs w:val="20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PlainText">
    <w:name w:val="Plain Text"/>
    <w:basedOn w:val="Normal"/>
    <w:qFormat/>
    <w:pPr/>
    <w:rPr>
      <w:sz w:val="20"/>
      <w:szCs w:val="20"/>
    </w:rPr>
  </w:style>
  <w:style w:type="paragraph" w:styleId="Signature-dbl">
    <w:name w:val="Signature-dbl"/>
    <w:basedOn w:val="Normal"/>
    <w:qFormat/>
    <w:pPr>
      <w:tabs>
        <w:tab w:val="clear" w:pos="720"/>
        <w:tab w:val="right" w:pos="4320" w:leader="none"/>
        <w:tab w:val="left" w:pos="5040" w:leader="none"/>
        <w:tab w:val="right" w:pos="9360" w:leader="none"/>
      </w:tabs>
      <w:spacing w:before="0" w:after="120"/>
    </w:pPr>
    <w:rPr>
      <w:szCs w:val="20"/>
    </w:rPr>
  </w:style>
  <w:style w:type="paragraph" w:styleId="BlockTextBold">
    <w:name w:val="BlockTextBold"/>
    <w:basedOn w:val="Normal"/>
    <w:qFormat/>
    <w:pPr>
      <w:spacing w:before="0" w:after="240"/>
      <w:jc w:val="both"/>
    </w:pPr>
    <w:rPr>
      <w:b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right" w:pos="4320" w:leader="none"/>
      </w:tabs>
    </w:pPr>
    <w:rPr>
      <w:b/>
      <w:bCs/>
      <w:sz w:val="20"/>
    </w:rPr>
  </w:style>
  <w:style w:type="paragraph" w:styleId="BodyTextIndent">
    <w:name w:val="Body Text Indent"/>
    <w:basedOn w:val="Normal"/>
    <w:pPr>
      <w:tabs>
        <w:tab w:val="clear" w:pos="720"/>
        <w:tab w:val="right" w:pos="4475" w:leader="none"/>
      </w:tabs>
      <w:ind w:hanging="0" w:start="245" w:end="0"/>
    </w:pPr>
    <w:rPr>
      <w:b/>
      <w:bCs/>
      <w:sz w:val="20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2000-12-08T17:02:00Z</dcterms:created>
  <dc:creator>jmoore2</dc:creator>
  <dc:description/>
  <dc:language>en-CA</dc:language>
  <cp:lastModifiedBy>dportz</cp:lastModifiedBy>
  <cp:lastPrinted>2000-12-08T13:37:00Z</cp:lastPrinted>
  <dcterms:modified xsi:type="dcterms:W3CDTF">2000-12-08T19:43:00Z</dcterms:modified>
  <cp:revision>4</cp:revision>
  <dc:subject/>
  <dc:title>MASTER POWER PURCHASE AND SALE AGREEMENT</dc:title>
</cp:coreProperties>
</file>