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instrText xml:space="preserve"> FORMTEXT </w:instrText>
            </w:r>
            <w:r>
              <w:rPr/>
            </w:r>
            <w:r>
              <w:rPr/>
              <w:fldChar w:fldCharType="separate"/>
            </w:r>
            <w:r>
              <w:rPr/>
              <w:t>AMERICAN ELECTRIC POWER COMPANY INC</w:t>
            </w:r>
            <w:r>
              <w:rPr/>
            </w:r>
            <w:r>
              <w:rPr/>
              <w:fldChar w:fldCharType="end"/>
            </w:r>
            <w:r>
              <w:rPr/>
              <w:t xml:space="preserve"> (</w:t>
            </w:r>
            <w:r>
              <w:fldChar w:fldCharType="begin">
                <w:ffData>
                  <w:name w:val="TRC_TICKER"/>
                  <w:enabled/>
                  <w:calcOnExit w:val="0"/>
                  <w:textInput/>
                </w:ffData>
              </w:fldChar>
            </w:r>
            <w:r>
              <w:rPr/>
              <w:instrText xml:space="preserve"> FORMTEXT </w:instrText>
            </w:r>
            <w:r>
              <w:rPr/>
            </w:r>
            <w:r>
              <w:rPr/>
              <w:fldChar w:fldCharType="separate"/>
            </w:r>
            <w:r>
              <w:rPr/>
              <w:t>AEP</w:t>
            </w:r>
            <w:r>
              <w:rPr/>
            </w:r>
            <w:r>
              <w:rPr/>
              <w:fldChar w:fldCharType="end"/>
            </w:r>
            <w:r>
              <w:rPr/>
              <w:t>)</w:t>
            </w:r>
            <w:r>
              <w:fldChar w:fldCharType="begin">
                <w:ffData>
                  <w:name w:val="trc_IB_Relation"/>
                  <w:enabled/>
                  <w:calcOnExit w:val="0"/>
                  <w:textInput/>
                </w:ffData>
              </w:fldChar>
            </w:r>
            <w:r>
              <w:rPr/>
              <w:instrText xml:space="preserve"> FORMTEXT </w:instrText>
            </w:r>
            <w:r>
              <w:rPr/>
            </w:r>
            <w:r>
              <w:rPr/>
              <w:fldChar w:fldCharType="separate"/>
            </w:r>
            <w:r>
              <w:rPr/>
              <w:t>#</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AEP: Strong 3Q; Merchant Business Continues to Gain Traction</w:t>
            </w:r>
            <w:r/>
            <w:r>
              <w:rPr/>
              <w:fldChar w:fldCharType="end"/>
            </w:r>
            <w:r>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instrText xml:space="preserve"> FORMTEXT </w:instrText>
            </w:r>
            <w:r>
              <w:rPr/>
            </w:r>
            <w:r>
              <w:rPr/>
              <w:fldChar w:fldCharType="separate"/>
            </w:r>
            <w:r>
              <w:rPr/>
              <w:t>2</w:t>
            </w:r>
            <w:r>
              <w:rPr/>
            </w:r>
            <w:r>
              <w:rPr/>
              <w:fldChar w:fldCharType="end"/>
            </w:r>
            <w:r>
              <w:fldChar w:fldCharType="begin">
                <w:ffData>
                  <w:name w:val="TRC_RISK"/>
                  <w:enabled/>
                  <w:calcOnExit w:val="0"/>
                  <w:textInput/>
                </w:ffData>
              </w:fldChar>
            </w:r>
            <w:r>
              <w:rPr/>
              <w:instrText xml:space="preserve"> FORMTEXT </w:instrText>
            </w:r>
            <w:r>
              <w:rPr/>
            </w:r>
            <w:r>
              <w:rPr/>
              <w:fldChar w:fldCharType="separate"/>
            </w:r>
            <w:r>
              <w:rPr/>
              <w:t>M</w:t>
            </w:r>
            <w:r>
              <w:rPr/>
            </w:r>
            <w:r>
              <w:rPr/>
              <w:fldChar w:fldCharType="end"/>
            </w:r>
            <w:r>
              <w:rPr>
                <w:rStyle w:val="SSBRatingDescription"/>
              </w:rPr>
              <w:t xml:space="preserve"> (</w:t>
            </w:r>
            <w:r>
              <w:fldChar w:fldCharType="begin">
                <w:ffData>
                  <w:name w:val="TRC_RATING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Outperform</w:t>
            </w:r>
            <w:r>
              <w:rPr>
                <w:rStyle w:val="SSBRatingDescription"/>
              </w:rPr>
            </w:r>
            <w:r>
              <w:rPr>
                <w:rStyle w:val="SSBRatingDescription"/>
              </w:rPr>
              <w:fldChar w:fldCharType="end"/>
            </w:r>
            <w:r>
              <w:rPr>
                <w:rStyle w:val="SSBRatingDescription"/>
              </w:rPr>
              <w:t xml:space="preserve">, </w:t>
            </w:r>
            <w:r>
              <w:fldChar w:fldCharType="begin">
                <w:ffData>
                  <w:name w:val="TRC_RISK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Medium Risk</w:t>
            </w:r>
            <w:r>
              <w:rPr>
                <w:rStyle w:val="SSBRatingDescription"/>
              </w:rPr>
            </w:r>
            <w:r>
              <w:rPr>
                <w:rStyle w:val="SSBRatingDescription"/>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$14,012.8</w:t>
            </w:r>
            <w:r>
              <w:rPr>
                <w:rStyle w:val="SSBMarketCapNumber"/>
              </w:rPr>
            </w:r>
            <w:r>
              <w:rPr>
                <w:rStyle w:val="SSBMarketCapNumber"/>
              </w:rPr>
              <w:fldChar w:fldCharType="end"/>
            </w:r>
            <w:r>
              <w:rPr>
                <w:rStyle w:val="SSBMarketCapNumber"/>
              </w:rPr>
              <w:t xml:space="preserve"> </w:t>
            </w:r>
            <w:r>
              <w:fldChar w:fldCharType="begin">
                <w:ffData>
                  <w:name w:val="TRC_MKTCAP_U"/>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mil.</w:t>
            </w:r>
            <w:r/>
            <w:r>
              <w:rPr>
                <w:rStyle w:val="SSBMarketCapNumber"/>
              </w:rPr>
              <w:fldChar w:fldCharType="end"/>
            </w:r>
            <w:r>
              <w:rPr>
                <w:rStyle w:val="SSBMarketCapNumber"/>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October 24, 2001</w:t>
            </w:r>
            <w:r/>
            <w:r>
              <w:rPr/>
              <w:fldChar w:fldCharType="end"/>
            </w:r>
            <w:r>
              <w:rPr/>
            </w:r>
          </w:p>
          <w:p>
            <w:pPr>
              <w:pStyle w:val="SSBBlackLine"/>
              <w:ind w:end="1890"/>
              <w:rPr/>
            </w:pPr>
            <w:r>
              <w:rPr/>
            </w:r>
          </w:p>
          <w:p>
            <w:pPr>
              <w:pStyle w:val="SSBHeading"/>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Daniele Seitz</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+1-212-816-6547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daniele.seitz@ssmb.com</w:t>
            </w:r>
            <w:r/>
            <w:r>
              <w:rPr/>
              <w:fldChar w:fldCharType="end"/>
            </w:r>
            <w:r>
              <w:rPr/>
            </w:r>
          </w:p>
          <w:p>
            <w:pPr>
              <w:pStyle w:val="SSBAnalystName"/>
              <w:rPr/>
            </w:pPr>
            <w:r>
              <w:fldChar w:fldCharType="begin">
                <w:ffData>
                  <w:name w:val="TRC_ANALYSTNAME2"/>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+1-212-816-2807</w:t>
            </w:r>
            <w:r/>
            <w:r>
              <w:rPr/>
              <w:fldChar w:fldCharType="end"/>
            </w:r>
            <w:r>
              <w:rPr/>
            </w:r>
          </w:p>
          <w:p>
            <w:pPr>
              <w:pStyle w:val="SSBAnalystEmail"/>
              <w:rPr/>
            </w:pPr>
            <w:r>
              <w:fldChar w:fldCharType="begin">
                <w:ffData>
                  <w:name w:val="TRC_ANALYSTEMAIL2"/>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tc>
        <w:tc>
          <w:tcPr>
            <w:tcW w:w="6957" w:type="dxa"/>
            <w:gridSpan w:val="3"/>
            <w:tcBorders/>
          </w:tcPr>
          <w:p>
            <w:pPr>
              <w:pStyle w:val="SSBSummaryHeading"/>
              <w:rPr/>
            </w:pPr>
            <w:r>
              <w:rPr/>
              <w:t>SUMMARY</w:t>
            </w:r>
          </w:p>
          <w:p>
            <w:pPr>
              <w:pStyle w:val="SSBSummary"/>
              <w:numPr>
                <w:ilvl w:val="0"/>
                <w:numId w:val="3"/>
              </w:numPr>
              <w:ind w:hanging="0" w:start="0"/>
              <w:rPr/>
            </w:pPr>
            <w:r>
              <w:fldChar w:fldCharType="begin">
                <w:ffData>
                  <w:name w:val="Summary"/>
                  <w:enabled/>
                  <w:calcOnExit w:val="0"/>
                  <w:textInput/>
                </w:ffData>
              </w:fldChar>
            </w:r>
            <w:r>
              <w:rPr/>
              <w:instrText xml:space="preserve"> FORMTEXT </w:instrText>
            </w:r>
            <w:r>
              <w:rPr/>
            </w:r>
            <w:r>
              <w:rPr/>
              <w:fldChar w:fldCharType="separate"/>
            </w:r>
            <w:r>
              <w:t>AEP reported 3Q:01 operating EPS of 1.43, up 13% from EPS of $1.27 reported in 3Q00.  YTD earnings were $3.00 vs. $2.23 in 2000. Excluding the positive effect of Cook nuclear restart ($0.48), 9 mo. EPS are up 11%.</w:t>
            </w:r>
            <w:r>
              <w:rPr/>
            </w:r>
          </w:p>
          <w:p>
            <w:pPr>
              <w:pStyle w:val="SSBSummary"/>
              <w:numPr>
                <w:ilvl w:val="0"/>
                <w:numId w:val="3"/>
              </w:numPr>
              <w:ind w:hanging="0" w:start="0"/>
              <w:rPr/>
            </w:pPr>
            <w:r>
              <w:rPr/>
              <w:t>We feel that their recent growth in gas marketing activities has moved AEP towards achieving the Scale &amp; Scope necessary to succeed as an Energy Merchant.</w:t>
            </w:r>
          </w:p>
          <w:p>
            <w:pPr>
              <w:pStyle w:val="SSBSummary"/>
              <w:numPr>
                <w:ilvl w:val="0"/>
                <w:numId w:val="3"/>
              </w:numPr>
              <w:ind w:hanging="0" w:start="0"/>
              <w:rPr/>
            </w:pPr>
            <w:r>
              <w:rPr/>
              <w:t xml:space="preserve">We are maintaining our 2001 estimate of $3.60, although it is at the high end of the range of the company guidance. Our 2002 estimate of $3.80 is at the low end of the range and reflects a likely weakening of the economy. </w:t>
            </w:r>
          </w:p>
          <w:p>
            <w:pPr>
              <w:pStyle w:val="SSBSummary"/>
              <w:numPr>
                <w:ilvl w:val="0"/>
                <w:numId w:val="3"/>
              </w:numPr>
              <w:ind w:hanging="0" w:start="0"/>
              <w:rPr/>
            </w:pPr>
            <w:r>
              <w:rPr/>
              <w:t>Strong results appear to be helping separation plans gain momentum, which we feel would be a catalyst for AEP shares.</w:t>
            </w:r>
          </w:p>
          <w:p>
            <w:pPr>
              <w:pStyle w:val="SSBSummary"/>
              <w:numPr>
                <w:ilvl w:val="0"/>
                <w:numId w:val="3"/>
              </w:numPr>
              <w:spacing w:before="0" w:after="60"/>
              <w:ind w:hanging="0" w:start="0"/>
              <w:rPr/>
            </w:pPr>
            <w:r>
              <w:rPr/>
              <w:t>We believe that AEP's growing strength as an Energy Merchant is not reflected in its current share price and maintain our $55 target.</w:t>
            </w:r>
            <w:r/>
            <w:r>
              <w:rPr/>
              <w:fldChar w:fldCharType="end"/>
            </w:r>
            <w:r>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PE"/>
                  <w:enabled/>
                  <w:calcOnExit w:val="0"/>
                  <w:textInput/>
                </w:ffData>
              </w:fldChar>
            </w:r>
            <w:r>
              <w:rPr/>
              <w:instrText xml:space="preserve"> FORMTEXT </w:instrText>
            </w:r>
            <w:r>
              <w:rPr/>
            </w:r>
            <w:r>
              <w:rPr/>
              <w:fldChar w:fldCharType="separate"/>
            </w:r>
            <w:r>
              <w:rPr/>
              <w:t>12.2x</w:t>
            </w:r>
            <w:r/>
            <w:r>
              <w:rPr/>
              <w:fldChar w:fldCharType="end"/>
            </w:r>
            <w:r>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PE"/>
                  <w:enabled/>
                  <w:calcOnExit w:val="0"/>
                  <w:textInput/>
                </w:ffData>
              </w:fldChar>
            </w:r>
            <w:r>
              <w:rPr/>
              <w:instrText xml:space="preserve"> FORMTEXT </w:instrText>
            </w:r>
            <w:r>
              <w:rPr/>
            </w:r>
            <w:r>
              <w:rPr/>
              <w:fldChar w:fldCharType="separate"/>
            </w:r>
            <w:r>
              <w:rPr/>
              <w:t>11.5x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EVTOEBITDA"/>
                  <w:enabled/>
                  <w:calcOnExit w:val="0"/>
                  <w:textInput/>
                </w:ffData>
              </w:fldChar>
            </w:r>
            <w:r>
              <w:rPr/>
              <w:instrText xml:space="preserve"> FORMTEXT </w:instrText>
            </w:r>
            <w:r>
              <w:rPr/>
            </w:r>
            <w:r>
              <w:rPr/>
              <w:fldChar w:fldCharType="separate"/>
            </w:r>
            <w:r>
              <w:rPr/>
              <w:t>7.0x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EVTOEBITDA"/>
                  <w:enabled/>
                  <w:calcOnExit w:val="0"/>
                  <w:textInput/>
                </w:ffData>
              </w:fldChar>
            </w:r>
            <w:r>
              <w:rPr/>
              <w:instrText xml:space="preserve"> FORMTEXT </w:instrText>
            </w:r>
            <w:r>
              <w:rPr/>
            </w:r>
            <w:r>
              <w:rPr/>
              <w:fldChar w:fldCharType="separate"/>
            </w:r>
            <w:r>
              <w:rPr/>
              <w:t>6.6x</w:t>
            </w:r>
            <w:r/>
            <w:r>
              <w:rPr/>
              <w:fldChar w:fldCharType="end"/>
            </w:r>
            <w:r>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BVPS"/>
                  <w:enabled/>
                  <w:calcOnExit w:val="0"/>
                  <w:textInput/>
                </w:ffData>
              </w:fldChar>
            </w:r>
            <w:r>
              <w:rPr/>
              <w:instrText xml:space="preserve"> FORMTEXT </w:instrText>
            </w:r>
            <w:r>
              <w:rPr/>
            </w:r>
            <w:r>
              <w:rPr/>
              <w:fldChar w:fldCharType="separate"/>
            </w:r>
            <w:r>
              <w:rPr/>
              <w:t>$16.15</w:t>
            </w:r>
            <w:r/>
            <w:r>
              <w:rPr/>
              <w:fldChar w:fldCharType="end"/>
            </w:r>
            <w:r>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jc w:val="end"/>
              <w:rPr/>
            </w:pPr>
            <w:r>
              <w:fldChar w:fldCharType="begin">
                <w:ffData>
                  <w:name w:val="TRC_Y2PRICETOBOOK"/>
                  <w:enabled/>
                  <w:calcOnExit w:val="0"/>
                  <w:textInput/>
                </w:ffData>
              </w:fldChar>
            </w:r>
            <w:r>
              <w:rPr/>
              <w:instrText xml:space="preserve"> FORMTEXT </w:instrText>
            </w:r>
            <w:r>
              <w:rPr/>
            </w:r>
            <w:r>
              <w:rPr/>
              <w:fldChar w:fldCharType="separate"/>
            </w:r>
            <w:r>
              <w:rPr/>
              <w:t>2.7x</w:t>
            </w:r>
            <w:r/>
            <w:r>
              <w:rPr/>
              <w:fldChar w:fldCharType="end"/>
            </w:r>
            <w:r>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instrText xml:space="preserve"> FORMTEXT </w:instrText>
            </w:r>
            <w:r>
              <w:rPr/>
            </w:r>
            <w:r>
              <w:rPr/>
              <w:fldChar w:fldCharType="separate"/>
            </w:r>
            <w:r>
              <w:rPr/>
              <w:t>$2.40</w:t>
            </w:r>
            <w:r>
              <w:rPr/>
            </w:r>
            <w:r>
              <w:rPr/>
              <w:fldChar w:fldCharType="end"/>
            </w:r>
            <w:r>
              <w:rPr/>
              <w:t>/</w:t>
            </w:r>
            <w:r>
              <w:fldChar w:fldCharType="begin">
                <w:ffData>
                  <w:name w:val="TRC_Y2DIVYIELD"/>
                  <w:enabled/>
                  <w:calcOnExit w:val="0"/>
                  <w:textInput/>
                </w:ffData>
              </w:fldChar>
            </w:r>
            <w:r>
              <w:rPr/>
              <w:instrText xml:space="preserve"> FORMTEXT </w:instrText>
            </w:r>
            <w:r>
              <w:rPr/>
            </w:r>
            <w:r>
              <w:rPr/>
              <w:fldChar w:fldCharType="separate"/>
            </w:r>
            <w:r>
              <w:rPr/>
              <w:t>5.5%</w:t>
            </w:r>
            <w:r/>
            <w:r>
              <w:rPr/>
              <w:fldChar w:fldCharType="end"/>
            </w:r>
            <w:r>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instrText xml:space="preserve"> FORMTEXT </w:instrText>
            </w:r>
            <w:r>
              <w:rPr/>
            </w:r>
            <w:r>
              <w:rPr/>
              <w:fldChar w:fldCharType="separate"/>
            </w:r>
            <w:r>
              <w:rPr/>
              <w:t>$11,368.4</w:t>
            </w:r>
            <w:r>
              <w:rPr/>
            </w:r>
            <w:r>
              <w:rPr/>
              <w:fldChar w:fldCharType="end"/>
            </w:r>
            <w:r>
              <w:rPr/>
              <w:t xml:space="preserve"> </w:t>
            </w:r>
            <w:r>
              <w:fldChar w:fldCharType="begin">
                <w:ffData>
                  <w:name w:val="trc_y2REVENUE_U"/>
                  <w:enabled/>
                  <w:calcOnExit w:val="0"/>
                  <w:textInput/>
                </w:ffData>
              </w:fldChar>
            </w:r>
            <w:r>
              <w:rPr/>
              <w:instrText xml:space="preserve"> FORMTEXT </w:instrText>
            </w:r>
            <w:r>
              <w:rPr/>
            </w:r>
            <w:r>
              <w:rPr/>
              <w:fldChar w:fldCharType="separate"/>
            </w:r>
            <w:r>
              <w:rPr/>
              <w:t>mil.</w:t>
            </w:r>
            <w:r/>
            <w:r>
              <w:rPr/>
              <w:fldChar w:fldCharType="end"/>
            </w:r>
            <w:r>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jc w:val="end"/>
              <w:rPr/>
            </w:pPr>
            <w:r>
              <w:fldChar w:fldCharType="begin">
                <w:ffData>
                  <w:name w:val="TRC_EPSGR"/>
                  <w:enabled/>
                  <w:calcOnExit w:val="0"/>
                  <w:textInput/>
                </w:ffData>
              </w:fldChar>
            </w:r>
            <w:r>
              <w:rPr/>
              <w:instrText xml:space="preserve"> FORMTEXT </w:instrText>
            </w:r>
            <w:r>
              <w:rPr/>
            </w:r>
            <w:r>
              <w:rPr/>
              <w:fldChar w:fldCharType="separate"/>
            </w:r>
            <w:r>
              <w:rPr/>
              <w:t>7%</w:t>
            </w:r>
            <w:r/>
            <w:r>
              <w:rPr/>
              <w:fldChar w:fldCharType="end"/>
            </w:r>
            <w:r>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ROE"/>
                  <w:enabled/>
                  <w:calcOnExit w:val="0"/>
                  <w:textInput/>
                </w:ffData>
              </w:fldChar>
            </w:r>
            <w:r>
              <w:rPr/>
              <w:instrText xml:space="preserve"> FORMTEXT </w:instrText>
            </w:r>
            <w:r>
              <w:rPr/>
            </w:r>
            <w:r>
              <w:rPr/>
              <w:fldChar w:fldCharType="separate"/>
            </w:r>
            <w:r>
              <w:rPr/>
              <w:t>18.9%</w:t>
            </w:r>
            <w:r/>
            <w:r>
              <w:rPr/>
              <w:fldChar w:fldCharType="end"/>
            </w:r>
            <w:r>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jc w:val="end"/>
              <w:rPr/>
            </w:pPr>
            <w:r>
              <w:fldChar w:fldCharType="begin">
                <w:ffData>
                  <w:name w:val="TRC_Y2LTDCAP"/>
                  <w:enabled/>
                  <w:calcOnExit w:val="0"/>
                  <w:textInput/>
                </w:ffData>
              </w:fldChar>
            </w:r>
            <w:r>
              <w:rPr/>
              <w:instrText xml:space="preserve"> FORMTEXT </w:instrText>
            </w:r>
            <w:r>
              <w:rPr/>
            </w:r>
            <w:r>
              <w:rPr/>
              <w:fldChar w:fldCharType="separate"/>
            </w:r>
            <w:r>
              <w:rPr/>
              <w:t>73.6%</w:t>
            </w:r>
            <w:r/>
            <w:r>
              <w:rPr/>
              <w:fldChar w:fldCharType="end"/>
            </w:r>
            <w:r>
              <w:rPr/>
            </w:r>
          </w:p>
        </w:tc>
      </w:tr>
      <w:tr>
        <w:trPr>
          <w:trHeight w:val="460" w:hRule="atLeast"/>
        </w:trPr>
        <w:tc>
          <w:tcPr>
            <w:tcW w:w="2880" w:type="dxa"/>
            <w:gridSpan w:val="3"/>
            <w:tcBorders>
              <w:bottom w:val="single" w:sz="12" w:space="0" w:color="808080"/>
            </w:tcBorders>
          </w:tcPr>
          <w:p>
            <w:pPr>
              <w:pStyle w:val="SSBData"/>
              <w:spacing w:lineRule="exact" w:line="220" w:before="0" w:after="60"/>
              <w:rPr/>
            </w:pPr>
            <w:r>
              <w:fldChar w:fldCharType="begin">
                <w:ffData>
                  <w:name w:val="trc_indexgroup"/>
                  <w:enabled/>
                  <w:calcOnExit w:val="0"/>
                  <w:textInput/>
                </w:ffData>
              </w:fldChar>
            </w:r>
            <w:r>
              <w:rPr/>
              <w:instrText xml:space="preserve"> FORMTEXT </w:instrText>
            </w:r>
            <w:r>
              <w:rPr/>
            </w:r>
            <w:r>
              <w:rPr/>
              <w:fldChar w:fldCharType="separate"/>
            </w:r>
            <w:r>
              <w:rPr/>
              <w:t>AEP is in the S&amp;P 500® Index.</w:t>
            </w:r>
            <w:r/>
            <w:r>
              <w:rPr/>
              <w:fldChar w:fldCharType="end"/>
            </w:r>
            <w:r>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instrText xml:space="preserve"> FORMTEXT </w:instrText>
            </w:r>
            <w:r>
              <w:rPr/>
            </w:r>
            <w:r>
              <w:rPr/>
              <w:fldChar w:fldCharType="separate"/>
            </w:r>
            <w:r>
              <w:rPr/>
              <w:t>10/22/01</w:t>
            </w:r>
            <w:r>
              <w:rPr/>
            </w:r>
            <w:r>
              <w:rPr/>
              <w:fldChar w:fldCharType="end"/>
            </w:r>
            <w:r>
              <w:rPr/>
              <w:t>)</w:t>
              <w:tab/>
            </w:r>
          </w:p>
        </w:tc>
        <w:tc>
          <w:tcPr>
            <w:tcW w:w="917" w:type="dxa"/>
            <w:gridSpan w:val="2"/>
            <w:tcBorders/>
          </w:tcPr>
          <w:p>
            <w:pPr>
              <w:pStyle w:val="SSBDataRight"/>
              <w:spacing w:before="0" w:after="60"/>
              <w:jc w:val="end"/>
              <w:rPr/>
            </w:pPr>
            <w:r>
              <w:fldChar w:fldCharType="begin">
                <w:ffData>
                  <w:name w:val="TRC_CURRENTPRICE"/>
                  <w:enabled/>
                  <w:calcOnExit w:val="0"/>
                  <w:textInput/>
                </w:ffData>
              </w:fldChar>
            </w:r>
            <w:r>
              <w:rPr/>
              <w:instrText xml:space="preserve"> FORMTEXT </w:instrText>
            </w:r>
            <w:r>
              <w:rPr/>
            </w:r>
            <w:r>
              <w:rPr/>
              <w:fldChar w:fldCharType="separate"/>
            </w:r>
            <w:r>
              <w:rPr/>
              <w:t>$43.79</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rPr>
              <w:instrText xml:space="preserve"> FORMTEXT </w:instrText>
            </w:r>
            <w:r>
              <w:rPr>
                <w:b/>
              </w:rPr>
            </w:r>
            <w:r>
              <w:rPr>
                <w:b/>
              </w:rPr>
              <w:fldChar w:fldCharType="separate"/>
            </w:r>
            <w:r>
              <w:rPr>
                <w:b/>
              </w:rPr>
              <w:t>2</w:t>
            </w:r>
            <w:r>
              <w:rPr>
                <w:b/>
              </w:rPr>
            </w:r>
            <w:r>
              <w:rPr>
                <w:b/>
              </w:rPr>
              <w:fldChar w:fldCharType="end"/>
            </w:r>
            <w:r>
              <w:fldChar w:fldCharType="begin">
                <w:ffData>
                  <w:name w:val="TRC_RISK_A1"/>
                  <w:enabled/>
                  <w:calcOnExit w:val="0"/>
                  <w:textInput/>
                </w:ffData>
              </w:fldChar>
            </w:r>
            <w:r>
              <w:rPr>
                <w:b/>
              </w:rPr>
              <w:instrText xml:space="preserve"> FORMTEXT </w:instrText>
            </w:r>
            <w:r>
              <w:rPr>
                <w:b/>
              </w:rPr>
            </w:r>
            <w:r>
              <w:rPr>
                <w:b/>
              </w:rPr>
              <w:fldChar w:fldCharType="separate"/>
            </w:r>
            <w:r>
              <w:rPr>
                <w:b/>
              </w:rPr>
              <w:t>M</w:t>
            </w:r>
            <w:r/>
            <w:r>
              <w:rPr>
                <w:b/>
              </w:rPr>
              <w:fldChar w:fldCharType="end"/>
            </w:r>
            <w:r>
              <w:rPr>
                <w:b/>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instrText xml:space="preserve"> FORMTEXT </w:instrText>
            </w:r>
            <w:r>
              <w:rPr/>
            </w:r>
            <w:r>
              <w:rPr/>
              <w:fldChar w:fldCharType="separate"/>
            </w:r>
            <w:r>
              <w:rPr/>
              <w:t>$51.11</w:t>
            </w:r>
            <w:r>
              <w:rPr/>
            </w:r>
            <w:r>
              <w:rPr/>
              <w:fldChar w:fldCharType="end"/>
            </w:r>
            <w:r>
              <w:rPr/>
              <w:t>-</w:t>
            </w:r>
            <w:r>
              <w:fldChar w:fldCharType="begin">
                <w:ffData>
                  <w:name w:val="TRC_WKRNG52LOW"/>
                  <w:enabled/>
                  <w:calcOnExit w:val="0"/>
                  <w:textInput/>
                </w:ffData>
              </w:fldChar>
            </w:r>
            <w:r>
              <w:rPr/>
              <w:instrText xml:space="preserve"> FORMTEXT </w:instrText>
            </w:r>
            <w:r>
              <w:rPr/>
            </w:r>
            <w:r>
              <w:rPr/>
              <w:fldChar w:fldCharType="separate"/>
            </w:r>
            <w:r>
              <w:rPr/>
              <w:t>$38.19</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instrText xml:space="preserve"> FORMTEXT </w:instrText>
            </w:r>
            <w:r>
              <w:rPr/>
            </w:r>
            <w:r>
              <w:rPr/>
              <w:fldChar w:fldCharType="separate"/>
            </w:r>
            <w:r>
              <w:rPr/>
              <w:t>2</w:t>
            </w:r>
            <w:r>
              <w:rPr/>
            </w:r>
            <w:r>
              <w:rPr/>
              <w:fldChar w:fldCharType="end"/>
            </w:r>
            <w:r>
              <w:fldChar w:fldCharType="begin">
                <w:ffData>
                  <w:name w:val="TRC_RISK_P"/>
                  <w:enabled/>
                  <w:calcOnExit w:val="0"/>
                  <w:textInput/>
                </w:ffData>
              </w:fldChar>
            </w:r>
            <w:r>
              <w:rPr/>
              <w:instrText xml:space="preserve"> FORMTEXT </w:instrText>
            </w:r>
            <w:r>
              <w:rPr/>
            </w:r>
            <w:r>
              <w:rPr/>
              <w:fldChar w:fldCharType="separate"/>
            </w:r>
            <w:r>
              <w:rPr/>
              <w:t>M</w:t>
            </w:r>
            <w:r/>
            <w:r>
              <w:rPr/>
              <w:fldChar w:fldCharType="end"/>
            </w:r>
            <w:r>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instrText xml:space="preserve"> FORMTEXT </w:instrText>
            </w:r>
            <w:r>
              <w:rPr/>
            </w:r>
            <w:r>
              <w:rPr/>
              <w:fldChar w:fldCharType="separate"/>
            </w:r>
            <w:r>
              <w:rPr/>
              <w:t>320.0</w:t>
            </w:r>
            <w:r>
              <w:rPr/>
            </w:r>
            <w:r>
              <w:rPr/>
              <w:fldChar w:fldCharType="end"/>
            </w:r>
            <w:r>
              <w:rPr/>
              <w:t xml:space="preserve"> </w:t>
            </w:r>
            <w:r>
              <w:fldChar w:fldCharType="begin">
                <w:ffData>
                  <w:name w:val="TRC_SHARESOUT_U"/>
                  <w:enabled/>
                  <w:calcOnExit w:val="0"/>
                  <w:textInput/>
                </w:ffData>
              </w:fldChar>
            </w:r>
            <w:r>
              <w:rPr/>
              <w:instrText xml:space="preserve"> FORMTEXT </w:instrText>
            </w:r>
            <w:r>
              <w:rPr/>
            </w:r>
            <w:r>
              <w:rPr/>
              <w:fldChar w:fldCharType="separate"/>
            </w:r>
            <w:r>
              <w:rPr/>
              <w:t>mil.</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rPr>
              <w:instrText xml:space="preserve"> FORMTEXT </w:instrText>
            </w:r>
            <w:r>
              <w:rPr>
                <w:b/>
              </w:rPr>
            </w:r>
            <w:r>
              <w:rPr>
                <w:b/>
              </w:rPr>
              <w:fldChar w:fldCharType="separate"/>
            </w:r>
            <w:r>
              <w:rPr>
                <w:b/>
              </w:rPr>
              <w:t>$55.00</w:t>
            </w:r>
            <w:r/>
            <w:r>
              <w:rPr>
                <w:b/>
              </w:rPr>
              <w:fldChar w:fldCharType="end"/>
            </w:r>
            <w:r>
              <w:rPr>
                <w:b/>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jc w:val="end"/>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jc w:val="end"/>
              <w:rPr/>
            </w:pPr>
            <w:r>
              <w:fldChar w:fldCharType="begin">
                <w:ffData>
                  <w:name w:val="TRC_TARGET_P"/>
                  <w:enabled/>
                  <w:calcOnExit w:val="0"/>
                  <w:textInput/>
                </w:ffData>
              </w:fldChar>
            </w:r>
            <w:r>
              <w:rPr/>
              <w:instrText xml:space="preserve"> FORMTEXT </w:instrText>
            </w:r>
            <w:r>
              <w:rPr/>
            </w:r>
            <w:r>
              <w:rPr/>
              <w:fldChar w:fldCharType="separate"/>
            </w:r>
            <w:r>
              <w:rPr/>
              <w:t>$55.00</w:t>
            </w:r>
            <w:r/>
            <w:r>
              <w:rPr/>
              <w:fldChar w:fldCharType="end"/>
            </w:r>
            <w:r>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rPr>
              <w:instrText xml:space="preserve"> FORMTEXT </w:instrText>
            </w:r>
            <w:r>
              <w:rPr>
                <w:b/>
              </w:rPr>
            </w:r>
            <w:r>
              <w:rPr>
                <w:b/>
              </w:rPr>
              <w:fldChar w:fldCharType="separate"/>
            </w:r>
            <w:r>
              <w:rPr>
                <w:b/>
              </w:rPr>
              <w:t>12/00A</w:t>
            </w:r>
            <w:r/>
            <w:r>
              <w:rPr>
                <w:b/>
              </w:rPr>
              <w:fldChar w:fldCharType="end"/>
            </w:r>
            <w:r>
              <w:rPr>
                <w:b/>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Pr>
              <w:instrText xml:space="preserve"> FORMTEXT </w:instrText>
            </w:r>
            <w:r>
              <w:rPr>
                <w:b/>
              </w:rPr>
            </w:r>
            <w:r>
              <w:rPr>
                <w:b/>
              </w:rPr>
              <w:fldChar w:fldCharType="separate"/>
            </w:r>
            <w:r>
              <w:rPr>
                <w:b/>
              </w:rPr>
              <w:t>$0.43</w:t>
            </w:r>
            <w:r>
              <w:rPr>
                <w:b/>
              </w:rPr>
            </w:r>
            <w:r>
              <w:rPr>
                <w:b/>
              </w:rPr>
              <w:fldChar w:fldCharType="end"/>
            </w:r>
            <w:r>
              <w:fldChar w:fldCharType="begin">
                <w:ffData>
                  <w:name w:val="TRC_Y1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Pr>
              <w:instrText xml:space="preserve"> FORMTEXT </w:instrText>
            </w:r>
            <w:r>
              <w:rPr>
                <w:b/>
              </w:rPr>
            </w:r>
            <w:r>
              <w:rPr>
                <w:b/>
              </w:rPr>
              <w:fldChar w:fldCharType="separate"/>
            </w:r>
            <w:r>
              <w:rPr>
                <w:b/>
              </w:rPr>
              <w:t>$0.51</w:t>
            </w:r>
            <w:r>
              <w:rPr>
                <w:b/>
              </w:rPr>
            </w:r>
            <w:r>
              <w:rPr>
                <w:b/>
              </w:rPr>
              <w:fldChar w:fldCharType="end"/>
            </w:r>
            <w:r>
              <w:fldChar w:fldCharType="begin">
                <w:ffData>
                  <w:name w:val="TRC_Y1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Pr>
              <w:instrText xml:space="preserve"> FORMTEXT </w:instrText>
            </w:r>
            <w:r>
              <w:rPr>
                <w:b/>
              </w:rPr>
            </w:r>
            <w:r>
              <w:rPr>
                <w:b/>
              </w:rPr>
              <w:fldChar w:fldCharType="separate"/>
            </w:r>
            <w:r>
              <w:rPr>
                <w:b/>
              </w:rPr>
              <w:t>$1.29</w:t>
            </w:r>
            <w:r>
              <w:rPr>
                <w:b/>
              </w:rPr>
            </w:r>
            <w:r>
              <w:rPr>
                <w:b/>
              </w:rPr>
              <w:fldChar w:fldCharType="end"/>
            </w:r>
            <w:r>
              <w:fldChar w:fldCharType="begin">
                <w:ffData>
                  <w:name w:val="TRC_Y1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Pr>
              <w:instrText xml:space="preserve"> FORMTEXT </w:instrText>
            </w:r>
            <w:r>
              <w:rPr>
                <w:b/>
              </w:rPr>
            </w:r>
            <w:r>
              <w:rPr>
                <w:b/>
              </w:rPr>
              <w:fldChar w:fldCharType="separate"/>
            </w:r>
            <w:r>
              <w:rPr>
                <w:b/>
              </w:rPr>
              <w:t>$0.49</w:t>
            </w:r>
            <w:r>
              <w:rPr>
                <w:b/>
              </w:rPr>
            </w:r>
            <w:r>
              <w:rPr>
                <w:b/>
              </w:rPr>
              <w:fldChar w:fldCharType="end"/>
            </w:r>
            <w:r>
              <w:fldChar w:fldCharType="begin">
                <w:ffData>
                  <w:name w:val="TRC_Y1Q4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rPr>
              <w:instrText xml:space="preserve"> FORMTEXT </w:instrText>
            </w:r>
            <w:r>
              <w:rPr>
                <w:b/>
              </w:rPr>
            </w:r>
            <w:r>
              <w:rPr>
                <w:b/>
              </w:rPr>
              <w:fldChar w:fldCharType="separate"/>
            </w:r>
            <w:r>
              <w:rPr>
                <w:b/>
              </w:rPr>
              <w:t>$2.70</w:t>
            </w:r>
            <w:r>
              <w:rPr>
                <w:b/>
              </w:rPr>
            </w:r>
            <w:r>
              <w:rPr>
                <w:b/>
              </w:rPr>
              <w:fldChar w:fldCharType="end"/>
            </w:r>
            <w:r>
              <w:fldChar w:fldCharType="begin">
                <w:ffData>
                  <w:name w:val="TRC_Y1TOTAL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rPr>
              <w:instrText xml:space="preserve"> FORMTEXT </w:instrText>
            </w:r>
            <w:r>
              <w:rPr>
                <w:b/>
              </w:rPr>
            </w:r>
            <w:r>
              <w:rPr>
                <w:b/>
              </w:rPr>
              <w:fldChar w:fldCharType="separate"/>
            </w:r>
            <w:r>
              <w:rPr>
                <w:b/>
              </w:rPr>
              <w:t>12/01E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rPr>
              <w:instrText xml:space="preserve"> FORMTEXT </w:instrText>
            </w:r>
            <w:r>
              <w:rPr>
                <w:b/>
              </w:rPr>
            </w:r>
            <w:r>
              <w:rPr>
                <w:b/>
              </w:rPr>
              <w:fldChar w:fldCharType="separate"/>
            </w:r>
            <w:r>
              <w:rPr>
                <w:b/>
              </w:rPr>
              <w:t>$0.68</w:t>
            </w:r>
            <w:r>
              <w:rPr>
                <w:b/>
              </w:rPr>
            </w:r>
            <w:r>
              <w:rPr>
                <w:b/>
              </w:rPr>
              <w:fldChar w:fldCharType="end"/>
            </w:r>
            <w:r>
              <w:fldChar w:fldCharType="begin">
                <w:ffData>
                  <w:name w:val="TRC_Y2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2"/>
                  <w:enabled/>
                  <w:calcOnExit w:val="0"/>
                  <w:textInput/>
                </w:ffData>
              </w:fldChar>
            </w:r>
            <w:r>
              <w:rPr>
                <w:b/>
              </w:rPr>
              <w:instrText xml:space="preserve"> FORMTEXT </w:instrText>
            </w:r>
            <w:r>
              <w:rPr>
                <w:b/>
              </w:rPr>
            </w:r>
            <w:r>
              <w:rPr>
                <w:b/>
              </w:rPr>
              <w:fldChar w:fldCharType="separate"/>
            </w:r>
            <w:r>
              <w:rPr>
                <w:b/>
              </w:rPr>
              <w:t>$0.89</w:t>
            </w:r>
            <w:r>
              <w:rPr>
                <w:b/>
              </w:rPr>
            </w:r>
            <w:r>
              <w:rPr>
                <w:b/>
              </w:rPr>
              <w:fldChar w:fldCharType="end"/>
            </w:r>
            <w:r>
              <w:fldChar w:fldCharType="begin">
                <w:ffData>
                  <w:name w:val="TRC_Y2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3"/>
                  <w:enabled/>
                  <w:calcOnExit w:val="0"/>
                  <w:textInput/>
                </w:ffData>
              </w:fldChar>
            </w:r>
            <w:r>
              <w:rPr>
                <w:b/>
              </w:rPr>
              <w:instrText xml:space="preserve"> FORMTEXT </w:instrText>
            </w:r>
            <w:r>
              <w:rPr>
                <w:b/>
              </w:rPr>
            </w:r>
            <w:r>
              <w:rPr>
                <w:b/>
              </w:rPr>
              <w:fldChar w:fldCharType="separate"/>
            </w:r>
            <w:r>
              <w:rPr>
                <w:b/>
              </w:rPr>
              <w:t>$1.43</w:t>
            </w:r>
            <w:r>
              <w:rPr>
                <w:b/>
              </w:rPr>
            </w:r>
            <w:r>
              <w:rPr>
                <w:b/>
              </w:rPr>
              <w:fldChar w:fldCharType="end"/>
            </w:r>
            <w:r>
              <w:fldChar w:fldCharType="begin">
                <w:ffData>
                  <w:name w:val="TRC_Y2Q3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Q4"/>
                  <w:enabled/>
                  <w:calcOnExit w:val="0"/>
                  <w:textInput/>
                </w:ffData>
              </w:fldChar>
            </w:r>
            <w:r>
              <w:rPr>
                <w:b/>
              </w:rPr>
              <w:instrText xml:space="preserve"> FORMTEXT </w:instrText>
            </w:r>
            <w:r>
              <w:rPr>
                <w:b/>
              </w:rPr>
            </w:r>
            <w:r>
              <w:rPr>
                <w:b/>
              </w:rPr>
              <w:fldChar w:fldCharType="separate"/>
            </w:r>
            <w:r>
              <w:rPr>
                <w:b/>
              </w:rPr>
              <w:t>$0.60</w:t>
            </w:r>
            <w:r>
              <w:rPr>
                <w:b/>
              </w:rPr>
            </w:r>
            <w:r>
              <w:rPr>
                <w:b/>
              </w:rPr>
              <w:fldChar w:fldCharType="end"/>
            </w:r>
            <w:r>
              <w:fldChar w:fldCharType="begin">
                <w:ffData>
                  <w:name w:val="TRC_Y2Q4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TOTAL"/>
                  <w:enabled/>
                  <w:calcOnExit w:val="0"/>
                  <w:textInput/>
                </w:ffData>
              </w:fldChar>
            </w:r>
            <w:r>
              <w:rPr>
                <w:b/>
              </w:rPr>
              <w:instrText xml:space="preserve"> FORMTEXT </w:instrText>
            </w:r>
            <w:r>
              <w:rPr>
                <w:b/>
              </w:rPr>
            </w:r>
            <w:r>
              <w:rPr>
                <w:b/>
              </w:rPr>
              <w:fldChar w:fldCharType="separate"/>
            </w:r>
            <w:r>
              <w:rPr>
                <w:b/>
              </w:rPr>
              <w:t>$3.60</w:t>
            </w:r>
            <w:r>
              <w:rPr>
                <w:b/>
              </w:rPr>
            </w:r>
            <w:r>
              <w:rPr>
                <w:b/>
              </w:rPr>
              <w:fldChar w:fldCharType="end"/>
            </w:r>
            <w:r>
              <w:fldChar w:fldCharType="begin">
                <w:ffData>
                  <w:name w:val="TRC_Y2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instrText xml:space="preserve"> FORMTEXT </w:instrText>
            </w:r>
            <w:r>
              <w:rPr/>
            </w:r>
            <w:r>
              <w:rPr/>
              <w:fldChar w:fldCharType="separate"/>
            </w:r>
            <w:r>
              <w:rPr/>
              <w:t>$0.68</w:t>
            </w:r>
            <w:r>
              <w:rPr/>
            </w:r>
            <w:r>
              <w:rPr/>
              <w:fldChar w:fldCharType="end"/>
            </w:r>
            <w:r>
              <w:fldChar w:fldCharType="begin">
                <w:ffData>
                  <w:name w:val="TRC_Y2Q1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instrText xml:space="preserve"> FORMTEXT </w:instrText>
            </w:r>
            <w:r>
              <w:rPr/>
            </w:r>
            <w:r>
              <w:rPr/>
              <w:fldChar w:fldCharType="separate"/>
            </w:r>
            <w:r>
              <w:rPr/>
              <w:t>$0.89</w:t>
            </w:r>
            <w:r>
              <w:rPr/>
            </w:r>
            <w:r>
              <w:rPr/>
              <w:fldChar w:fldCharType="end"/>
            </w:r>
            <w:r>
              <w:fldChar w:fldCharType="begin">
                <w:ffData>
                  <w:name w:val="TRC_Y2Q2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instrText xml:space="preserve"> FORMTEXT </w:instrText>
            </w:r>
            <w:r>
              <w:rPr/>
            </w:r>
            <w:r>
              <w:rPr/>
              <w:fldChar w:fldCharType="separate"/>
            </w:r>
            <w:r>
              <w:rPr/>
              <w:t>$1.50</w:t>
            </w:r>
            <w:r>
              <w:rPr/>
            </w:r>
            <w:r>
              <w:rPr/>
              <w:fldChar w:fldCharType="end"/>
            </w:r>
            <w:r>
              <w:fldChar w:fldCharType="begin">
                <w:ffData>
                  <w:name w:val="TRC_Y2Q3AE_P"/>
                  <w:enabled/>
                  <w:calcOnExit w:val="0"/>
                  <w:textInput/>
                </w:ffData>
              </w:fldChar>
            </w:r>
            <w:r>
              <w:rPr/>
              <w:instrText xml:space="preserve"> FORMTEXT </w:instrText>
            </w:r>
            <w:r>
              <w:rPr/>
            </w:r>
            <w:r>
              <w:rPr/>
              <w:fldChar w:fldCharType="separate"/>
            </w:r>
            <w:r>
              <w:rPr/>
              <w:t>E</w:t>
            </w:r>
            <w:r/>
            <w:r>
              <w:rPr/>
              <w:fldChar w:fldCharType="end"/>
            </w:r>
            <w:r>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instrText xml:space="preserve"> FORMTEXT </w:instrText>
            </w:r>
            <w:r>
              <w:rPr/>
            </w:r>
            <w:r>
              <w:rPr/>
              <w:fldChar w:fldCharType="separate"/>
            </w:r>
            <w:r>
              <w:rPr/>
              <w:t>$0.53</w:t>
            </w:r>
            <w:r>
              <w:rPr/>
            </w:r>
            <w:r>
              <w:rPr/>
              <w:fldChar w:fldCharType="end"/>
            </w:r>
            <w:r>
              <w:fldChar w:fldCharType="begin">
                <w:ffData>
                  <w:name w:val="TRC_Y2Q4AE_P"/>
                  <w:enabled/>
                  <w:calcOnExit w:val="0"/>
                  <w:textInput/>
                </w:ffData>
              </w:fldChar>
            </w:r>
            <w:r>
              <w:rPr/>
              <w:instrText xml:space="preserve"> FORMTEXT </w:instrText>
            </w:r>
            <w:r>
              <w:rPr/>
            </w:r>
            <w:r>
              <w:rPr/>
              <w:fldChar w:fldCharType="separate"/>
            </w:r>
            <w:r>
              <w:rPr/>
              <w:t>E</w:t>
            </w:r>
            <w:r/>
            <w:r>
              <w:rPr/>
              <w:fldChar w:fldCharType="end"/>
            </w:r>
            <w:r>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instrText xml:space="preserve"> FORMTEXT </w:instrText>
            </w:r>
            <w:r>
              <w:rPr/>
            </w:r>
            <w:r>
              <w:rPr/>
              <w:fldChar w:fldCharType="separate"/>
            </w:r>
            <w:r>
              <w:rPr/>
              <w:t>$3.60</w:t>
            </w:r>
            <w:r>
              <w:rPr/>
            </w:r>
            <w:r>
              <w:rPr/>
              <w:fldChar w:fldCharType="end"/>
            </w:r>
            <w:r>
              <w:fldChar w:fldCharType="begin">
                <w:ffData>
                  <w:name w:val="TRC_Y2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rPr>
              <w:instrText xml:space="preserve"> FORMTEXT </w:instrText>
            </w:r>
            <w:r>
              <w:rPr>
                <w:b/>
              </w:rPr>
            </w:r>
            <w:r>
              <w:rPr>
                <w:b/>
              </w:rPr>
              <w:fldChar w:fldCharType="separate"/>
            </w:r>
            <w:r>
              <w:rPr>
                <w:b/>
              </w:rPr>
              <w:t>12/02E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TOTAL"/>
                  <w:enabled/>
                  <w:calcOnExit w:val="0"/>
                  <w:textInput/>
                </w:ffData>
              </w:fldChar>
            </w:r>
            <w:r>
              <w:rPr>
                <w:b/>
              </w:rPr>
              <w:instrText xml:space="preserve"> FORMTEXT </w:instrText>
            </w:r>
            <w:r>
              <w:rPr>
                <w:b/>
              </w:rPr>
            </w:r>
            <w:r>
              <w:rPr>
                <w:b/>
              </w:rPr>
              <w:fldChar w:fldCharType="separate"/>
            </w:r>
            <w:r>
              <w:rPr>
                <w:b/>
              </w:rPr>
              <w:t>$3.80</w:t>
            </w:r>
            <w:r>
              <w:rPr>
                <w:b/>
              </w:rPr>
            </w:r>
            <w:r>
              <w:rPr>
                <w:b/>
              </w:rPr>
              <w:fldChar w:fldCharType="end"/>
            </w:r>
            <w:r>
              <w:fldChar w:fldCharType="begin">
                <w:ffData>
                  <w:name w:val="TRC_Y3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instrText xml:space="preserve"> FORMTEXT </w:instrText>
            </w:r>
            <w:r>
              <w:rPr/>
            </w:r>
            <w:r>
              <w:rPr/>
              <w:fldChar w:fldCharType="separate"/>
            </w:r>
            <w:r>
              <w:rPr/>
              <w:t>$3.80</w:t>
            </w:r>
            <w:r>
              <w:rPr/>
            </w:r>
            <w:r>
              <w:rPr/>
              <w:fldChar w:fldCharType="end"/>
            </w:r>
            <w:r>
              <w:fldChar w:fldCharType="begin">
                <w:ffData>
                  <w:name w:val="TRC_Y3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rPr>
              <w:instrText xml:space="preserve"> FORMTEXT </w:instrText>
            </w:r>
            <w:r>
              <w:rPr>
                <w:b/>
              </w:rPr>
            </w:r>
            <w:r>
              <w:rPr>
                <w:b/>
              </w:rPr>
              <w:fldChar w:fldCharType="separate"/>
            </w:r>
            <w:r>
              <w:rPr>
                <w:b/>
              </w:rPr>
              <w:t>12/03E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TOTAL"/>
                  <w:enabled/>
                  <w:calcOnExit w:val="0"/>
                  <w:textInput/>
                </w:ffData>
              </w:fldChar>
            </w:r>
            <w:r>
              <w:rPr>
                <w:b/>
              </w:rPr>
              <w:instrText xml:space="preserve"> FORMTEXT </w:instrText>
            </w:r>
            <w:r>
              <w:rPr>
                <w:b/>
              </w:rPr>
            </w:r>
            <w:r>
              <w:rPr>
                <w:b/>
              </w:rPr>
              <w:fldChar w:fldCharType="separate"/>
            </w:r>
            <w:r>
              <w:rPr>
                <w:b/>
              </w:rPr>
              <w:t>$4.05</w:t>
            </w:r>
            <w:r>
              <w:rPr>
                <w:b/>
              </w:rPr>
            </w:r>
            <w:r>
              <w:rPr>
                <w:b/>
              </w:rPr>
              <w:fldChar w:fldCharType="end"/>
            </w:r>
            <w:r>
              <w:fldChar w:fldCharType="begin">
                <w:ffData>
                  <w:name w:val="TRC_Y4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instrText xml:space="preserve"> FORMTEXT </w:instrText>
            </w:r>
            <w:r>
              <w:rPr/>
            </w:r>
            <w:r>
              <w:rPr/>
              <w:fldChar w:fldCharType="separate"/>
            </w:r>
            <w:r>
              <w:rPr/>
              <w:t>$4.05</w:t>
            </w:r>
            <w:r>
              <w:rPr/>
            </w:r>
            <w:r>
              <w:rPr/>
              <w:fldChar w:fldCharType="end"/>
            </w:r>
            <w:r>
              <w:fldChar w:fldCharType="begin">
                <w:ffData>
                  <w:name w:val="TRC_Y4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instrText xml:space="preserve"> FORMTEXT </w:instrText>
            </w:r>
            <w:bookmarkStart w:id="2" w:name="trc_FtNote1_Text_Copy_1"/>
            <w:r>
              <w:rPr/>
            </w:r>
            <w:r>
              <w:rPr/>
              <w:fldChar w:fldCharType="separate"/>
            </w:r>
            <w:r>
              <w:rPr/>
              <w:t>First Call Consensus EPS</w:t>
            </w:r>
            <w:r>
              <w:rPr/>
            </w:r>
            <w:r>
              <w:rPr/>
              <w:fldChar w:fldCharType="end"/>
            </w:r>
            <w:bookmarkEnd w:id="2"/>
            <w:r>
              <w:rPr/>
              <w:t xml:space="preserve">: </w:t>
            </w:r>
            <w:r>
              <w:fldChar w:fldCharType="begin">
                <w:ffData>
                  <w:name w:val="trc_QDYear2_a3"/>
                  <w:enabled/>
                  <w:calcOnExit w:val="0"/>
                  <w:textInput/>
                </w:ffData>
              </w:fldChar>
            </w:r>
            <w:r>
              <w:rPr/>
              <w:instrText xml:space="preserve"> FORMTEXT </w:instrText>
            </w:r>
            <w:r>
              <w:rPr/>
            </w:r>
            <w:r>
              <w:rPr/>
              <w:fldChar w:fldCharType="separate"/>
            </w:r>
            <w:r>
              <w:rPr/>
              <w:t>12/01E</w:t>
            </w:r>
            <w:r>
              <w:rPr/>
            </w:r>
            <w:r>
              <w:rPr/>
              <w:fldChar w:fldCharType="end"/>
            </w:r>
            <w:r>
              <w:rPr/>
              <w:t xml:space="preserve"> </w:t>
            </w:r>
            <w:r>
              <w:fldChar w:fldCharType="begin">
                <w:ffData>
                  <w:name w:val="trc_Y2CONSEPS"/>
                  <w:enabled/>
                  <w:calcOnExit w:val="0"/>
                  <w:textInput/>
                </w:ffData>
              </w:fldChar>
            </w:r>
            <w:r>
              <w:rPr/>
              <w:instrText xml:space="preserve"> FORMTEXT </w:instrText>
            </w:r>
            <w:r>
              <w:rPr/>
            </w:r>
            <w:r>
              <w:rPr/>
              <w:fldChar w:fldCharType="separate"/>
            </w:r>
            <w:r>
              <w:rPr/>
              <w:t>$3.59</w:t>
            </w:r>
            <w:r>
              <w:rPr/>
            </w:r>
            <w:r>
              <w:rPr/>
              <w:fldChar w:fldCharType="end"/>
            </w:r>
            <w:r>
              <w:rPr/>
              <w:t xml:space="preserve">; </w:t>
            </w:r>
            <w:r>
              <w:fldChar w:fldCharType="begin">
                <w:ffData>
                  <w:name w:val="trc_QDYear3_a3"/>
                  <w:enabled/>
                  <w:calcOnExit w:val="0"/>
                  <w:textInput/>
                </w:ffData>
              </w:fldChar>
            </w:r>
            <w:r>
              <w:rPr/>
              <w:instrText xml:space="preserve"> FORMTEXT </w:instrText>
            </w:r>
            <w:r>
              <w:rPr/>
            </w:r>
            <w:r>
              <w:rPr/>
              <w:fldChar w:fldCharType="separate"/>
            </w:r>
            <w:r>
              <w:rPr/>
              <w:t>12/02E</w:t>
            </w:r>
            <w:r>
              <w:rPr/>
            </w:r>
            <w:r>
              <w:rPr/>
              <w:fldChar w:fldCharType="end"/>
            </w:r>
            <w:r>
              <w:rPr/>
              <w:t xml:space="preserve"> </w:t>
            </w:r>
            <w:r>
              <w:fldChar w:fldCharType="begin">
                <w:ffData>
                  <w:name w:val="trc_Y3CONSEPS"/>
                  <w:enabled/>
                  <w:calcOnExit w:val="0"/>
                  <w:textInput/>
                </w:ffData>
              </w:fldChar>
            </w:r>
            <w:r>
              <w:rPr/>
              <w:instrText xml:space="preserve"> FORMTEXT </w:instrText>
            </w:r>
            <w:r>
              <w:rPr/>
            </w:r>
            <w:r>
              <w:rPr/>
              <w:fldChar w:fldCharType="separate"/>
            </w:r>
            <w:r>
              <w:rPr/>
              <w:t>$3.87</w:t>
            </w:r>
            <w:r>
              <w:rPr/>
            </w:r>
            <w:r>
              <w:rPr/>
              <w:fldChar w:fldCharType="end"/>
            </w:r>
            <w:r>
              <w:rPr/>
              <w:t xml:space="preserve">; </w:t>
            </w:r>
            <w:r>
              <w:fldChar w:fldCharType="begin">
                <w:ffData>
                  <w:name w:val="trc_QDYear4_a3"/>
                  <w:enabled/>
                  <w:calcOnExit w:val="0"/>
                  <w:textInput/>
                </w:ffData>
              </w:fldChar>
            </w:r>
            <w:r>
              <w:rPr/>
              <w:instrText xml:space="preserve"> FORMTEXT </w:instrText>
            </w:r>
            <w:r>
              <w:rPr/>
            </w:r>
            <w:r>
              <w:rPr/>
              <w:fldChar w:fldCharType="separate"/>
            </w:r>
            <w:r>
              <w:rPr/>
              <w:t>12/03E</w:t>
            </w:r>
            <w:r>
              <w:rPr/>
            </w:r>
            <w:r>
              <w:rPr/>
              <w:fldChar w:fldCharType="end"/>
            </w:r>
            <w:r>
              <w:rPr/>
              <w:t xml:space="preserve"> </w:t>
            </w:r>
            <w:r>
              <w:fldChar w:fldCharType="begin">
                <w:ffData>
                  <w:name w:val="trc_Y4CONSEPS"/>
                  <w:enabled/>
                  <w:calcOnExit w:val="0"/>
                  <w:textInput/>
                </w:ffData>
              </w:fldChar>
            </w:r>
            <w:r>
              <w:rPr/>
              <w:instrText xml:space="preserve"> FORMTEXT </w:instrText>
            </w:r>
            <w:r>
              <w:rPr/>
            </w:r>
            <w:r>
              <w:rPr/>
              <w:fldChar w:fldCharType="separate"/>
            </w:r>
            <w:r>
              <w:rPr/>
              <w:t>NA</w:t>
            </w:r>
            <w:r>
              <w:rPr/>
            </w:r>
            <w:r>
              <w:rPr/>
              <w:fldChar w:fldCharType="end"/>
            </w:r>
            <w:r>
              <w:rPr/>
              <w:br/>
            </w:r>
            <w:r>
              <w:fldChar w:fldCharType="begin">
                <w:ffData>
                  <w:name w:val="trc_OTHER2"/>
                  <w:enabled/>
                  <w:calcOnExit w:val="0"/>
                  <w:textInput/>
                </w:ffData>
              </w:fldChar>
            </w:r>
            <w:r>
              <w:rPr/>
              <w:instrText xml:space="preserve"> FORMTEXT </w:instrText>
            </w:r>
            <w:r>
              <w:rPr/>
            </w:r>
            <w:r>
              <w:rPr/>
              <w:fldChar w:fldCharType="separate"/>
            </w:r>
            <w:r>
              <w:rPr/>
              <w:t>Estimates do not include $0.12 in goodwill add-back in 2002</w:t>
            </w:r>
            <w:r/>
            <w:r>
              <w:rPr/>
              <w:fldChar w:fldCharType="end"/>
            </w:r>
            <w:r>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AEP 3Q01 EPS up 13%; economy is beginning to have a negative impact on results</w:t>
      </w:r>
    </w:p>
    <w:p>
      <w:pPr>
        <w:pStyle w:val="SSBBodyText"/>
        <w:rPr/>
      </w:pPr>
      <w:r>
        <w:rPr/>
        <w:t xml:space="preserve">American Electric Power reported 3Q01 EPS of $1.43 vs. $1.27 in 3Q00, an increase of 13% This improvement largely stems from strong wholesale operations, which have strengthened with the growth in their gas marketing capabilities. </w:t>
      </w:r>
    </w:p>
    <w:p>
      <w:pPr>
        <w:pStyle w:val="SSBBodyText"/>
        <w:rPr>
          <w:b/>
        </w:rPr>
      </w:pPr>
      <w:r>
        <w:rPr>
          <w:b/>
        </w:rPr>
        <w:t>Merchant Energy Continues To Gain Traction</w:t>
      </w:r>
    </w:p>
    <w:p>
      <w:pPr>
        <w:pStyle w:val="SSBBodyText"/>
        <w:rPr/>
      </w:pPr>
      <w:r>
        <w:rPr/>
        <w:t xml:space="preserve">Wholesale operations contributed $0.98 up from $0.97 in 3Q00, excluding capital costs. Trading and marketing-- largely driven by strength in natural gas-- contributed $0.54 to wholesale earnings, an increase of $0.12 above last year. With the acquisition of LIG and Houston Pipeline, AEP was able to capitalize on the volatility of the gas market during 3Q01. In 3Q01, gas unit margins rose to $0.11/MMBtue from $0.065/MMBtue, more than offsetting a sharp decline in power margins (to $0.075/MMBtue from $0.20/MMBtue).  We do point out, however, that the second half of 2000 saw unusually high power prices and spark spreads in California and in most regions of the United States.  Wholesale power volumes were 148 MMWh, up 66% from last year, while gas marketing volumes nearly tripled to 1337 BBtue. </w:t>
      </w:r>
    </w:p>
    <w:p>
      <w:pPr>
        <w:pStyle w:val="SSBSummary"/>
        <w:numPr>
          <w:ilvl w:val="0"/>
          <w:numId w:val="0"/>
        </w:numPr>
        <w:ind w:hanging="0" w:start="0"/>
        <w:rPr/>
      </w:pPr>
      <w:r>
        <w:rPr/>
        <w:t>Figure 1.  AEP’s Wholesale Trading &amp; Marketing Gross Margins (dollars in millions)</w:t>
      </w:r>
    </w:p>
    <w:tbl>
      <w:tblPr>
        <w:tblW w:w="3934" w:type="dxa"/>
        <w:jc w:val="start"/>
        <w:tblInd w:w="18" w:type="dxa"/>
        <w:tblLayout w:type="fixed"/>
        <w:tblCellMar>
          <w:top w:w="0" w:type="dxa"/>
          <w:start w:w="108" w:type="dxa"/>
          <w:bottom w:w="0" w:type="dxa"/>
          <w:end w:w="108" w:type="dxa"/>
        </w:tblCellMar>
      </w:tblPr>
      <w:tblGrid>
        <w:gridCol w:w="503"/>
        <w:gridCol w:w="503"/>
        <w:gridCol w:w="616"/>
        <w:gridCol w:w="616"/>
        <w:gridCol w:w="540"/>
        <w:gridCol w:w="540"/>
        <w:gridCol w:w="616"/>
      </w:tblGrid>
      <w:tr>
        <w:trPr>
          <w:trHeight w:val="220" w:hRule="exact"/>
        </w:trPr>
        <w:tc>
          <w:tcPr>
            <w:tcW w:w="2238" w:type="dxa"/>
            <w:gridSpan w:val="4"/>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2000</w:t>
            </w:r>
          </w:p>
        </w:tc>
        <w:tc>
          <w:tcPr>
            <w:tcW w:w="1696" w:type="dxa"/>
            <w:gridSpan w:val="3"/>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8"/>
              </w:rPr>
            </w:pPr>
            <w:r>
              <w:rPr>
                <w:b/>
                <w:sz w:val="18"/>
              </w:rPr>
              <w:t>2001</w:t>
            </w:r>
          </w:p>
        </w:tc>
      </w:tr>
      <w:tr>
        <w:trPr/>
        <w:tc>
          <w:tcPr>
            <w:tcW w:w="503"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6"/>
              </w:rPr>
            </w:pPr>
            <w:r>
              <w:rPr>
                <w:b/>
                <w:sz w:val="16"/>
              </w:rPr>
              <w:t>1Q</w:t>
            </w:r>
          </w:p>
        </w:tc>
        <w:tc>
          <w:tcPr>
            <w:tcW w:w="503"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6"/>
              </w:rPr>
            </w:pPr>
            <w:r>
              <w:rPr>
                <w:b/>
                <w:sz w:val="16"/>
              </w:rPr>
              <w:t>2Q</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6"/>
              </w:rPr>
            </w:pPr>
            <w:r>
              <w:rPr>
                <w:b/>
                <w:sz w:val="16"/>
              </w:rPr>
              <w:t>3Q</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6"/>
              </w:rPr>
            </w:pPr>
            <w:r>
              <w:rPr>
                <w:b/>
                <w:sz w:val="16"/>
              </w:rPr>
              <w:t>4Q</w:t>
            </w:r>
          </w:p>
        </w:tc>
        <w:tc>
          <w:tcPr>
            <w:tcW w:w="54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b/>
                <w:sz w:val="16"/>
              </w:rPr>
            </w:pPr>
            <w:r>
              <w:rPr>
                <w:b/>
                <w:sz w:val="16"/>
              </w:rPr>
              <w:t>1Q</w:t>
            </w:r>
          </w:p>
        </w:tc>
        <w:tc>
          <w:tcPr>
            <w:tcW w:w="54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6"/>
              </w:rPr>
            </w:pPr>
            <w:r>
              <w:rPr>
                <w:b/>
                <w:sz w:val="16"/>
              </w:rPr>
              <w:t>2Q</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jc w:val="center"/>
              <w:rPr>
                <w:b/>
                <w:sz w:val="16"/>
              </w:rPr>
            </w:pPr>
            <w:r>
              <w:rPr>
                <w:b/>
                <w:sz w:val="16"/>
              </w:rPr>
              <w:t>3Q</w:t>
            </w:r>
          </w:p>
        </w:tc>
      </w:tr>
      <w:tr>
        <w:trPr/>
        <w:tc>
          <w:tcPr>
            <w:tcW w:w="503"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$50</w:t>
            </w:r>
          </w:p>
        </w:tc>
        <w:tc>
          <w:tcPr>
            <w:tcW w:w="503"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$76</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$209</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$161</w:t>
            </w:r>
          </w:p>
        </w:tc>
        <w:tc>
          <w:tcPr>
            <w:tcW w:w="54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$161</w:t>
            </w:r>
          </w:p>
        </w:tc>
        <w:tc>
          <w:tcPr>
            <w:tcW w:w="540"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$264</w:t>
            </w:r>
          </w:p>
        </w:tc>
        <w:tc>
          <w:tcPr>
            <w:tcW w:w="616" w:type="dxa"/>
            <w:tcBorders>
              <w:top w:val="single" w:sz="4" w:space="0" w:color="000000"/>
              <w:start w:val="single" w:sz="4" w:space="0" w:color="000000"/>
              <w:bottom w:val="single" w:sz="4" w:space="0" w:color="000000"/>
              <w:end w:val="single" w:sz="4" w:space="0" w:color="000000"/>
            </w:tcBorders>
          </w:tcPr>
          <w:p>
            <w:pPr>
              <w:pStyle w:val="SSBSummary"/>
              <w:numPr>
                <w:ilvl w:val="0"/>
                <w:numId w:val="0"/>
              </w:numPr>
              <w:spacing w:before="0" w:after="60"/>
              <w:ind w:hanging="0" w:start="0"/>
              <w:rPr>
                <w:sz w:val="16"/>
              </w:rPr>
            </w:pPr>
            <w:r>
              <w:rPr>
                <w:sz w:val="16"/>
              </w:rPr>
              <w:t>$267</w:t>
            </w:r>
          </w:p>
        </w:tc>
      </w:tr>
    </w:tbl>
    <w:p>
      <w:pPr>
        <w:pStyle w:val="SSBBodyText"/>
        <w:rPr/>
      </w:pPr>
      <w:r>
        <w:rPr/>
      </w:r>
    </w:p>
    <w:p>
      <w:pPr>
        <w:pStyle w:val="SSBBodyText"/>
        <w:rPr/>
      </w:pPr>
      <w:r>
        <w:rPr/>
        <w:t xml:space="preserve">AEP continues to show strong traction in this segment, and has grown from a traditional Integrated into an emerging Energy Merchant, in our view.  We feel that this quarter highlights their progress towards achieving two conditions necessary for the success of a Merchant Energy business.  First, they continue to provide a strong track record of success.  Their strong trading and marketing gross margin results build upon the track record recently laid out at their investor conference.  This business is gaining momentum, and has had only one quarter of negative gross margins since 1997.  Second, they have shown strong improvement in both Scale &amp; Scope, rapidly becoming one of the leading gas marketers in the country, in terms of volumes.  Overall, it appears that AEP is rapidly strengthening their position as an Energy Merchant. </w:t>
      </w:r>
    </w:p>
    <w:p>
      <w:pPr>
        <w:pStyle w:val="SSBBodyText"/>
        <w:rPr>
          <w:b/>
        </w:rPr>
      </w:pPr>
      <w:r>
        <w:rPr>
          <w:b/>
        </w:rPr>
        <w:t>Other Operations</w:t>
      </w:r>
    </w:p>
    <w:p>
      <w:pPr>
        <w:pStyle w:val="SSBBodyText"/>
        <w:rPr/>
      </w:pPr>
      <w:r>
        <w:rPr/>
        <w:t xml:space="preserve">On the delivery side, excluding capital costs, domestic electric transmission and distribution contributed $0.80 up from $0.70 in 3Q01, due to reduction in operating expenses and strong demand in the residential and commercial sector.  Capital cost shaved $0.40 from EPS down from $0.41 in 3Q00. International investments contributed $0.05 vs. $0.01 in 3Q00.  </w:t>
      </w:r>
    </w:p>
    <w:p>
      <w:pPr>
        <w:pStyle w:val="SSBBodyText"/>
        <w:rPr/>
      </w:pPr>
      <w:r>
        <w:rPr/>
        <w:t>For the nine months ending September 2001, EPS came in at $3.01 vs. $2.10 on operations. Wholesale business contributed $2.15 vs. $1.43 for the same period in 2000. The main factor of this increase was an increase of $0.72 from trading and marketing gross margins, and Cook nuclear restart which added $0.48, offset by additional O&amp;M expenses and gas holding costs that shaved $0.45.</w:t>
      </w:r>
    </w:p>
    <w:p>
      <w:pPr>
        <w:pStyle w:val="SSBBodyText"/>
        <w:rPr/>
      </w:pPr>
      <w:r>
        <w:rPr/>
        <w:t xml:space="preserve"> </w:t>
      </w:r>
      <w:r>
        <w:rPr>
          <w:b/>
        </w:rPr>
        <w:t>EPS Outlook</w:t>
      </w:r>
    </w:p>
    <w:p>
      <w:pPr>
        <w:pStyle w:val="SSBBodyText"/>
        <w:rPr/>
      </w:pPr>
      <w:r>
        <w:rPr/>
        <w:t xml:space="preserve">In its conference call, AEP mentioned that although it was reiterating EPS guidance of $3.50-$3.60 for 2001 and of $3.80-$3.90 for 2002 (excluding potential goodwill add-back of about $0.12), it was concerned about the impact of the decline of the economy on future results. We maintain our 2001 EPS estimate of $3.60, although it could be a tad aggressive given the potential economic slowdown.  We are also maintaining our 2002 EPS estimate. </w:t>
      </w:r>
    </w:p>
    <w:p>
      <w:pPr>
        <w:pStyle w:val="SSBBodyText"/>
        <w:rPr/>
      </w:pPr>
      <w:r>
        <w:rPr/>
        <w:t xml:space="preserve">Its capital budget of $2.1 billion planned for 2001 include about $500 million of environmental expenditures. Ongoing capital expenditures should be limited to $1.1 billion, and will likely be funded from internally generated funds.  With the return of Cook nuclear station back into service, the company is quickly accumulating retained earnings and its equity ratio is expected to rise to 38% by year-end, up from 34% at year-end 2000. </w:t>
      </w:r>
    </w:p>
    <w:p>
      <w:pPr>
        <w:pStyle w:val="SSBBodyText"/>
        <w:rPr/>
      </w:pPr>
      <w:r>
        <w:rPr/>
        <w:t xml:space="preserve">The basic thrust of EPS growth remains with the wholesale business, which is expected to grow at about 15% a year. Separating these businesses will allow better financing and more visibility in earnings.  In 2002, EPS should benefit from incremental gas trading and marketing earnings, estimated at $0.08.  2002 will be the first full year that Houston Pipeline was part of AEP.  Additionally, AEP will look to leverage the purchase of coal assets into additional earnings in their trading desk.  Delivery earnings should provide an incremental $0.10, making our estimate very attainable. </w:t>
      </w:r>
    </w:p>
    <w:p>
      <w:pPr>
        <w:pStyle w:val="SSBBodyText"/>
        <w:rPr/>
      </w:pPr>
      <w:r>
        <w:rPr/>
        <w:t xml:space="preserve">By year end 2002, AEP management anticipates that EBIT would be derived as follows: Wholesale Operations (38%), Transmission (19%), Regulated Generation (17%), and Distribution (26%).  Thus as the wholesale non-regulated EPS contribution rises at a growth rate exceeding 15%, the regulated sector should exceed 3.5% normalized regulated growth rate through cost savings and internal incentive measures. Thus, the 8% EPS growth rate is achievable in our view, unless there is a prolonged recession.  </w:t>
      </w:r>
    </w:p>
    <w:p>
      <w:pPr>
        <w:pStyle w:val="SSBBodyText"/>
        <w:rPr/>
      </w:pPr>
      <w:r>
        <w:rPr/>
        <w:t xml:space="preserve">To enhance its portfolio, AEP still intends to sell Seeboard, an electric distribution system in the UK, during the Summer of 2002, after its pooling constraints are over,  and may add storage capacity and power plants in the West and/or Southeast. AEP may also beef up their coal trading team in order to grow that business. </w:t>
      </w:r>
    </w:p>
    <w:p>
      <w:pPr>
        <w:pStyle w:val="SSBBodyText"/>
        <w:rPr>
          <w:b/>
        </w:rPr>
      </w:pPr>
      <w:r>
        <w:rPr>
          <w:b/>
        </w:rPr>
        <w:t>Asset Optimization Through Wholesale Trading</w:t>
      </w:r>
    </w:p>
    <w:p>
      <w:pPr>
        <w:pStyle w:val="SSBBodyText"/>
        <w:rPr/>
      </w:pPr>
      <w:r>
        <w:rPr/>
        <w:t>AEP power plant portfolio (62% coal and 21% gas) is the largest coal fleet in the US and the 3</w:t>
      </w:r>
      <w:r>
        <w:rPr>
          <w:vertAlign w:val="superscript"/>
        </w:rPr>
        <w:t>rd</w:t>
      </w:r>
      <w:r>
        <w:rPr/>
        <w:t xml:space="preserve"> largest gas fleet. Nuclear plants (Cook station-2,285MW and its share in the South Texas Project-661MW) represent the bulk of the remaining capacity. AEP raised its plant availability to 92% in 2000 from 88% in 1998. Availability of its Western fleet rose to 98% in Summer 2001 and management believes that it could reach 95% annual overall availability factor over time. Plants’ relative economics and power prices are available to all plant operators and traders, allowing for the most profitable dispatch.  AEP intends to maintain a portfolio of power plant in balance with demand and plans to buy if an overbuilt situation (under-valuation) sets in.</w:t>
      </w:r>
    </w:p>
    <w:p>
      <w:pPr>
        <w:pStyle w:val="SSBBodyText"/>
        <w:rPr/>
      </w:pPr>
      <w:r>
        <w:rPr/>
        <w:t xml:space="preserve">In 2001, the company transferred 11,653 MW of Ohio capacity to its non-regulated portfolio,  which was then comprised of 977 MW of independent power plants and 1,300 MW in contracted capacity. In 2002, 3,457 MW in Virginia and 4,283 MW in Texas will be added to the unregulated portfolio. By year end 2002, the company will have 21,670 MW, or 57% of its total fleet, deregulated. </w:t>
      </w:r>
    </w:p>
    <w:p>
      <w:pPr>
        <w:pStyle w:val="SSBBodyText"/>
        <w:rPr>
          <w:b/>
        </w:rPr>
      </w:pPr>
      <w:r>
        <w:rPr>
          <w:b/>
        </w:rPr>
        <w:t>The AEP Advantage</w:t>
      </w:r>
    </w:p>
    <w:p>
      <w:pPr>
        <w:pStyle w:val="SSBBodyText"/>
        <w:rPr/>
      </w:pPr>
      <w:r>
        <w:rPr/>
        <w:t xml:space="preserve">Aside from the general expectation of fast growing demand for gas due to the doubling of gas plants across the U.S., and of rapidly increasing power trading volumes due to the break up of the electric industry into major energy merchants and franchised distributors,  AEP wholesale operations should also benefit from the following factors: </w:t>
      </w:r>
    </w:p>
    <w:p>
      <w:pPr>
        <w:pStyle w:val="SSBBodyText"/>
        <w:numPr>
          <w:ilvl w:val="0"/>
          <w:numId w:val="2"/>
        </w:numPr>
        <w:rPr/>
      </w:pPr>
      <w:r>
        <w:rPr/>
        <w:t xml:space="preserve">AEP does not have a long generating position and does not have a massive building program to be hedged. Its 38,000 MW roughly corresponds to its load, an envious position in a period of declining spark spreads and rising excess capacity. </w:t>
      </w:r>
    </w:p>
    <w:p>
      <w:pPr>
        <w:pStyle w:val="SSBBodyText"/>
        <w:numPr>
          <w:ilvl w:val="0"/>
          <w:numId w:val="2"/>
        </w:numPr>
        <w:rPr/>
      </w:pPr>
      <w:r>
        <w:rPr/>
        <w:t xml:space="preserve">Capital requirements are mostly short-term. </w:t>
      </w:r>
    </w:p>
    <w:p>
      <w:pPr>
        <w:pStyle w:val="SSBBodyText"/>
        <w:numPr>
          <w:ilvl w:val="0"/>
          <w:numId w:val="2"/>
        </w:numPr>
        <w:rPr/>
      </w:pPr>
      <w:r>
        <w:rPr/>
        <w:t xml:space="preserve">Continued benefits are expected from the Houston Pipeline and its convergence with its Southwestern electric assets.  </w:t>
      </w:r>
    </w:p>
    <w:p>
      <w:pPr>
        <w:pStyle w:val="SSBBodyText"/>
        <w:numPr>
          <w:ilvl w:val="0"/>
          <w:numId w:val="2"/>
        </w:numPr>
        <w:rPr/>
      </w:pPr>
      <w:r>
        <w:rPr/>
        <w:t>Potential expansion in the Canadian gas market and acquisition of power plants in the Western states  (AEP intends to open a Portland trading and marketing office and anticipates rapid growth of their Western operations over the next two years.)</w:t>
      </w:r>
    </w:p>
    <w:p>
      <w:pPr>
        <w:pStyle w:val="SSBBodyText"/>
        <w:numPr>
          <w:ilvl w:val="0"/>
          <w:numId w:val="2"/>
        </w:numPr>
        <w:rPr/>
      </w:pPr>
      <w:r>
        <w:rPr/>
        <w:t>Expansion of coal trading volumes, and entry into liquid fuels, and</w:t>
      </w:r>
    </w:p>
    <w:p>
      <w:pPr>
        <w:pStyle w:val="SSBBodyText"/>
        <w:numPr>
          <w:ilvl w:val="0"/>
          <w:numId w:val="2"/>
        </w:numPr>
        <w:rPr/>
      </w:pPr>
      <w:r>
        <w:rPr/>
        <w:t xml:space="preserve">Trading in the European electric and gas wholesale markets. </w:t>
      </w:r>
    </w:p>
    <w:p>
      <w:pPr>
        <w:pStyle w:val="SSBBodyText"/>
        <w:rPr/>
      </w:pPr>
      <w:r>
        <w:rPr/>
        <w:t xml:space="preserve">In sum, AEP has established a major infrastructure to a profitable wholesale marketing business and foresees enough expansion opportunities in the US and abroad to contribute to an overall EPS growth exceeding 8%. </w:t>
      </w:r>
    </w:p>
    <w:p>
      <w:pPr>
        <w:pStyle w:val="SSBBodyText"/>
        <w:rPr>
          <w:b/>
        </w:rPr>
      </w:pPr>
      <w:r>
        <w:rPr>
          <w:b/>
        </w:rPr>
        <w:t xml:space="preserve">Valuation </w:t>
      </w:r>
    </w:p>
    <w:p>
      <w:pPr>
        <w:pStyle w:val="SSBBodyText"/>
        <w:rPr/>
      </w:pPr>
      <w:r>
        <w:rPr/>
        <w:t>At current prices, AEP common stock sells at 11.5 times our 2002 EPS estimates (11.1 times including goodwill add-back), a slight premium to the Integrated Electric average multiple of 11.2x. However, we believe that AEP’s robust wholesale business, its growing strength as an Energy Merchant, and its scale in terms of generation and geographical diversification, are not reflected in the value of the stock, which we feel should trade more in line with the Duke Energy (DUK-1M, $38.56)/ Dominion Resources (D-2M, $60.45) type of valuation. Hence, we maintain our $55 12-18 month price target, or 14x our 2002 EPS estimate, for a 25% price appreciation plus a 5.4% yield.</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We believe there is tangible evidence that AEP has begun a transformation from a traditional Integrated Utility holding company to a strong wholesale Energy Merchant.  AEP is the second largest trader of electricity and a top-15 trader of natural gas in the U.S.  AEP also has roughly 23,000 MW of recently deregulated generating capacity with another 3,000 MW likely to be deregulated in West Virginia in 2002.  This creates a powerful combination of large wholesale generator with large wholesale energy trading and marketing.   We believe the market will revalue AEP shares as AEP refocuses its core strategic efforts more to the wholesale energy side of its business.  Our $55 target price reflects our sum-of-the parts analysis of AEP's three principal segments: regulated utility, wholesale energy, and international/other investments.</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AEP is one of the largest Integrated Utilities in the United States, with over 4.8 million distribution customers in 11 states.  AEP is also one of the three largest electric generators in the U.S., with over 38,000 megawatts of net installed generating capacity.  AEP's generating portfolio is well diversified and relies on coal for 66% of its power.  AEP completed the acquisition of Central &amp; South West (CSR), a Texas based Integrated Utility, in June, 2000.  In addition, AEP is growing its Energy Merchant operations, which will be bolstered by the transfer of a significant portion of currently regulated generation to the Merchant group.</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FirstCall"/>
        <w:rPr/>
      </w:pP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pPr>
      <w:r>
        <w:fldChar w:fldCharType="begin">
          <w:ffData>
            <w:name w:val="TRC_HEDGE"/>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
        <w:rPr>
          <w:sz w:val="14"/>
        </w:rPr>
      </w:pPr>
      <w:r>
        <w:rPr/>
      </w:r>
      <w:r>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Estimate Change </w:t>
    </w:r>
    <w:r>
      <w:rPr>
        <w:rStyle w:val="SSBChangeCheckBox"/>
        <w:rFonts w:eastAsia="Wingding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288" w:hanging="288"/>
      </w:pPr>
      <w:rPr>
        <w:rFonts w:ascii="ZapfDingbats" w:hAnsi="ZapfDingbats" w:cs="ZapfDingbats" w:hint="default"/>
        <w:sz w:val="20"/>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Jun 2001"/>
    <w:docVar w:name="trc_AnalystEmail1" w:val="daniele.seitz@ssmb.com"/>
    <w:docVar w:name="trc_AnalystEmail2" w:val="ray.niles@ssmb.com"/>
    <w:docVar w:name="trc_AnalystEmail3" w:val="NULL"/>
    <w:docVar w:name="trc_AnalystID" w:val="ds12903"/>
    <w:docVar w:name="trc_AnalystID_Sec1" w:val="rn95785"/>
    <w:docVar w:name="trc_AnalystID_Sec2" w:val="NULL"/>
    <w:docVar w:name="trc_AnalystName1" w:val="Daniele Seitz"/>
    <w:docVar w:name="trc_AnalystName2" w:val="Raymond Niles"/>
    <w:docVar w:name="trc_AnalystName3" w:val="NULL"/>
    <w:docVar w:name="trc_AnalystPhone1" w:val="+1-212-816-6547"/>
    <w:docVar w:name="trc_AnalystPhone2" w:val="+1-212-816-2807"/>
    <w:docVar w:name="trc_AnalystPhone3" w:val="NULL"/>
    <w:docVar w:name="trc_blastvm" w:val="False"/>
    <w:docVar w:name="trc_CalYear1" w:val="NULL"/>
    <w:docVar w:name="trc_CalYear2" w:val="NULL"/>
    <w:docVar w:name="trc_CalYear3" w:val="NULL"/>
    <w:docVar w:name="trc_CalYear4" w:val="NULL"/>
    <w:docVar w:name="trc_comments" w:val="NULL"/>
    <w:docVar w:name="trc_companyname" w:val="AMERICAN ELECTRIC POWER COMPANY INC"/>
    <w:docVar w:name="trc_CONVERTIBLE" w:val="No"/>
    <w:docVar w:name="trc_CurFY" w:val="2001"/>
    <w:docVar w:name="trc_CurrentPrice" w:val="43.79"/>
    <w:docVar w:name="trc_CurrentPrice_P" w:val="43.79"/>
    <w:docVar w:name="trc_DateOfSubmission" w:val="10/23/01 9:42:46 PM"/>
    <w:docVar w:name="trc_Description" w:val="AEP is one of the largest Integrated Utilities in the United States, with over 4.8 million distribution customers in 11 states.  AEP is also one of the three largest electric generators in the U.S., with over 38,000 megawatts of net installed generating capacity.  AEP's generating portfolio is well diversified and relies on coal for 66% of its power.  AEP completed the acquisition of Central &amp; South West (CSR), a Texas based Integrated Utility, in June, 2000.  In addition, AEP is growing its Energy Merchant operations, which will be bolstered by the transfer of a significant portion of currently regulated generation to the Merchant group."/>
    <w:docVar w:name="trc_DOC_NOTE_ProtectDate" w:val="10/24/01 7:27:14 AM"/>
    <w:docVar w:name="trc_DocID" w:val="56349"/>
    <w:docVar w:name="trc_DocumentType" w:val="2"/>
    <w:docVar w:name="trc_EPSGR" w:val="0.07"/>
    <w:docVar w:name="trc_EPSGR_P" w:val="0.07"/>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Other"/>
    <w:docVar w:name="trc_FtNote3" w:val="NULL"/>
    <w:docVar w:name="trc_FtNote4" w:val="NULL"/>
    <w:docVar w:name="trc_FYEnd" w:val="Dec"/>
    <w:docVar w:name="trc_FYEnd_p" w:val="Dec"/>
    <w:docVar w:name="trc_FYEndMonthIndex" w:val="12"/>
    <w:docVar w:name="trc_headline" w:val="AEP: Strong 3Q; Merchant Business Continues to Gain Traction"/>
    <w:docVar w:name="trc_headline_display" w:val="Strong 3Q; Merchant Business Continues to Gain Traction"/>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AEP is in the S&amp;P 500® Index."/>
    <w:docVar w:name="trc_industry" w:val="Power &amp; Natural Gas"/>
    <w:docVar w:name="trc_industry_Sub" w:val="NULL"/>
    <w:docVar w:name="trc_IndustryID" w:val="121130"/>
    <w:docVar w:name="trc_IsDescription" w:val="True"/>
    <w:docVar w:name="trc_IsDropCoverage" w:val="False"/>
    <w:docVar w:name="trc_IsEstimateChange" w:val="True"/>
    <w:docVar w:name="trc_IsNewCoverage" w:val="False"/>
    <w:docVar w:name="trc_IsRatingChange" w:val="False"/>
    <w:docVar w:name="trc_IsTargetChange" w:val="False"/>
    <w:docVar w:name="trc_IsThesis" w:val="True"/>
    <w:docVar w:name="trc_LastActualQuarte" w:val="Q2"/>
    <w:docVar w:name="trc_ltepsgrowth" w:val="NULL"/>
    <w:docVar w:name="trc_MCDate" w:val="October 24, 2001"/>
    <w:docVar w:name="trc_MKTCAP" w:val="14012.8"/>
    <w:docVar w:name="trc_MktCap_U" w:val="mil."/>
    <w:docVar w:name="trc_morningcall" w:val="False"/>
    <w:docVar w:name="trc_OPTIONS" w:val="NULL"/>
    <w:docVar w:name="trc_Other2" w:val="Estimates do not include $0.12 in goodwill add-back in 2002"/>
    <w:docVar w:name="trc_Other51" w:val="NULL"/>
    <w:docVar w:name="trc_Other52" w:val="NULL"/>
    <w:docVar w:name="trc_Other53" w:val="NULL"/>
    <w:docVar w:name="trc_Other54" w:val="NULL"/>
    <w:docVar w:name="trc_OtherCompanies" w:val="NULL"/>
    <w:docVar w:name="trc_OtherIndustryIDs" w:val="NULL"/>
    <w:docVar w:name="trc_Pages" w:val="5"/>
    <w:docVar w:name="trc_PRICEDATE" w:val="10/22/01"/>
    <w:docVar w:name="trc_priority" w:val="4"/>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2"/>
    <w:docVar w:name="trc_RATING_P" w:val="2"/>
    <w:docVar w:name="trc_RATINGDATE" w:val="4/12/00 4:41:56 PM"/>
    <w:docVar w:name="trc_RATINGDESC" w:val="Outperform"/>
    <w:docVar w:name="trc_RatingID" w:val="2"/>
    <w:docVar w:name="trc_releasedate" w:val="October 24, 2001"/>
    <w:docVar w:name="trc_Risk" w:val="M"/>
    <w:docVar w:name="trc_Risk_P" w:val="M"/>
    <w:docVar w:name="trc_RISKDESC" w:val="Medium Risk"/>
    <w:docVar w:name="trc_RiskID" w:val="12"/>
    <w:docVar w:name="trc_SecurityID" w:val="NULL"/>
    <w:docVar w:name="trc_SharesOut" w:val="320.0"/>
    <w:docVar w:name="trc_SharesOut_U" w:val="mil."/>
    <w:docVar w:name="trc_StatusMark" w:val="NONE"/>
    <w:docVar w:name="trc_SubjectIDs" w:val="SEO,EPS,COM"/>
    <w:docVar w:name="trc_submitter" w:val="bm58212"/>
    <w:docVar w:name="trc_submittername" w:val="Benjamin Morton"/>
    <w:docVar w:name="trc_submitterphone" w:val="+1-212-816-2086"/>
    <w:docVar w:name="trc_target" w:val="55.00"/>
    <w:docVar w:name="trc_target_P" w:val="55.00"/>
    <w:docVar w:name="trc_TemplateID" w:val="2"/>
    <w:docVar w:name="trc_TEV" w:val="28200.0"/>
    <w:docVar w:name="trc_TEV_u" w:val="mil."/>
    <w:docVar w:name="trc_Thesis" w:val="We believe there is tangible evidence that AEP has begun a transformation from a traditional Integrated Utility holding company to a strong wholesale Energy Merchant.  AEP is the second largest trader of electricity and a top-15 trader of natural gas in the U.S.  AEP also has roughly 23,000 MW of recently deregulated generating capacity with another 3,000 MW likely to be deregulated in West Virginia in 2002.  This creates a powerful combination of large wholesale generator with large wholesale energy trading and marketing.   We believe the market will revalue AEP shares as AEP refocuses its core strategic efforts more to the wholesale energy side of its business.  Our $55 target price reflects our sum-of-the parts analysis of AEP's three principal segments: regulated utility, wholesale energy, and international/other investments."/>
    <w:docVar w:name="trc_ticker" w:val="AEP"/>
    <w:docVar w:name="trc_Ticker_P" w:val="AEP:"/>
    <w:docVar w:name="trc_Version" w:val="1"/>
    <w:docVar w:name="trc_WkRng52Hi" w:val="51.11"/>
    <w:docVar w:name="trc_WkRng52Low" w:val="38.19"/>
    <w:docVar w:name="trc_y1" w:val="2000"/>
    <w:docVar w:name="trc_Y1CONSEPS" w:val="2.60"/>
    <w:docVar w:name="trc_y1q1" w:val="0.43"/>
    <w:docVar w:name="trc_y1q1AE" w:val="A"/>
    <w:docVar w:name="trc_y1q2" w:val="0.51"/>
    <w:docVar w:name="trc_y1q2AE" w:val="A"/>
    <w:docVar w:name="trc_y1q3" w:val="1.29"/>
    <w:docVar w:name="trc_y1q3AE" w:val="A"/>
    <w:docVar w:name="trc_y1q4" w:val="0.49"/>
    <w:docVar w:name="trc_y1q4AE" w:val="A"/>
    <w:docVar w:name="trc_y1Total" w:val="2.70"/>
    <w:docVar w:name="trc_y1TotalAE" w:val="A"/>
    <w:docVar w:name="trc_y2" w:val="2001"/>
    <w:docVar w:name="trc_Y2BVPS" w:val="16.15"/>
    <w:docVar w:name="trc_y2CommonEQ" w:val="5167.0"/>
    <w:docVar w:name="trc_y2CommonEQ_U" w:val="mil."/>
    <w:docVar w:name="trc_Y2CONSEPS" w:val="3.59"/>
    <w:docVar w:name="trc_Y2CONSEPS_p" w:val="3.59"/>
    <w:docVar w:name="trc_Y2DIVYIELD" w:val="0.055"/>
    <w:docVar w:name="trc_y2DPS" w:val="2.40"/>
    <w:docVar w:name="trc_y2EBITDA" w:val="4042.7"/>
    <w:docVar w:name="trc_y2EBITDA_u" w:val="mil."/>
    <w:docVar w:name="trc_Y2EVTOEBITDA" w:val="7.0"/>
    <w:docVar w:name="trc_Y2LTDCAP" w:val="0.736"/>
    <w:docVar w:name="trc_y2LTDEBT" w:val="14400.0"/>
    <w:docVar w:name="trc_y2LTDEBT_U" w:val="mil."/>
    <w:docVar w:name="trc_Y2PE" w:val="12.2"/>
    <w:docVar w:name="trc_Y2PRICETOBOOK" w:val="2.7"/>
    <w:docVar w:name="trc_y2q1" w:val="0.68"/>
    <w:docVar w:name="trc_y2q1_P" w:val="0.68"/>
    <w:docVar w:name="trc_Y2Q1ae" w:val="A"/>
    <w:docVar w:name="trc_y2q1AE_p" w:val="A"/>
    <w:docVar w:name="trc_y2q2" w:val="0.89"/>
    <w:docVar w:name="trc_y2q2_P" w:val="0.89"/>
    <w:docVar w:name="trc_Y2Q2ae" w:val="A"/>
    <w:docVar w:name="trc_y2q2AE_p" w:val="A"/>
    <w:docVar w:name="trc_y2q3" w:val="1.43"/>
    <w:docVar w:name="trc_y2q3_P" w:val="1.50"/>
    <w:docVar w:name="trc_Y2Q3ae" w:val="E"/>
    <w:docVar w:name="trc_y2q3AE_p" w:val="E"/>
    <w:docVar w:name="trc_y2q4" w:val="0.60"/>
    <w:docVar w:name="trc_y2q4_P" w:val="0.53"/>
    <w:docVar w:name="trc_Y2Q4ae" w:val="E"/>
    <w:docVar w:name="trc_y2q4AE_p" w:val="E"/>
    <w:docVar w:name="trc_y2REVENUE" w:val="11368.4"/>
    <w:docVar w:name="trc_y2REVENUE_U" w:val="mil."/>
    <w:docVar w:name="trc_y2ROE" w:val="0.189"/>
    <w:docVar w:name="trc_y2Total" w:val="3.60"/>
    <w:docVar w:name="trc_y2Total_p" w:val="3.60"/>
    <w:docVar w:name="trc_Y2Totalae" w:val="E"/>
    <w:docVar w:name="trc_y2TotalAE_p" w:val="E"/>
    <w:docVar w:name="trc_y3" w:val="2002"/>
    <w:docVar w:name="trc_Y3CONSEPS" w:val="3.87"/>
    <w:docVar w:name="trc_Y3CONSEPS_p" w:val="3.87"/>
    <w:docVar w:name="trc_y3EBITDA" w:val="4270.2"/>
    <w:docVar w:name="trc_y3EBITDA_U" w:val="mil."/>
    <w:docVar w:name="trc_Y3EVTOEBITDA" w:val="6.6"/>
    <w:docVar w:name="trc_Y3PE" w:val="11.5"/>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3.80"/>
    <w:docVar w:name="trc_y3Total_p" w:val="3.80"/>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4.05"/>
    <w:docVar w:name="trc_y4Total_p" w:val="4.05"/>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helvetica" w:hAnsi="Arial;helvetica" w:cs="Arial;helvetica"/>
      <w:b/>
      <w:i/>
      <w:sz w:val="24"/>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ZapfDingbats" w:hAnsi="ZapfDingbats" w:cs="ZapfDingbats"/>
      <w:color w:val="000000"/>
      <w:sz w:val="21"/>
    </w:rPr>
  </w:style>
  <w:style w:type="character" w:styleId="WW8Num9z0">
    <w:name w:val="WW8Num9z0"/>
    <w:qFormat/>
    <w:rPr/>
  </w:style>
  <w:style w:type="character" w:styleId="WW8Num10z0">
    <w:name w:val="WW8Num10z0"/>
    <w:qFormat/>
    <w:rPr>
      <w:rFonts w:ascii="ZapfDingbats" w:hAnsi="ZapfDingbats" w:cs="ZapfDingbats"/>
      <w:color w:val="000000"/>
      <w:sz w:val="20"/>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ZapfDingbats" w:hAnsi="ZapfDingbats" w:cs="ZapfDingbats"/>
      <w:color w:val="000000"/>
      <w:sz w:val="20"/>
    </w:rPr>
  </w:style>
  <w:style w:type="character" w:styleId="WW8Num14z0">
    <w:name w:val="WW8Num14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helvetica" w:hAnsi="Arial;helvetica" w:cs="Arial;helvetica"/>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helvetica" w:hAnsi="Arial;helvetica" w:cs="Arial;helvetica"/>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3"/>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helvetica" w:hAnsi="Arial;helvetica" w:eastAsia="Times New Roman" w:cs="Arial;helvetica"/>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2001-10-23T19:44:00Z</dcterms:created>
  <dc:creator>Daniele Seitz</dc:creator>
  <dc:description/>
  <dc:language>en-CA</dc:language>
  <cp:lastModifiedBy>Gustavo Morales</cp:lastModifiedBy>
  <dcterms:modified xsi:type="dcterms:W3CDTF">2001-10-24T08:57:00Z</dcterms:modified>
  <cp:revision>16</cp:revision>
  <dc:subject/>
  <dc:title>AEP_20011023_1</dc:title>
</cp:coreProperties>
</file>