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6"/>
        </w:rPr>
      </w:pPr>
      <w:r>
        <w:rPr>
          <w:rFonts w:cs="Arial Narrow" w:ascii="Arial Narrow" w:hAnsi="Arial Narrow"/>
          <w:b/>
          <w:sz w:val="16"/>
        </w:rPr>
      </w:r>
    </w:p>
    <w:p>
      <w:pPr>
        <w:pStyle w:val="Normal"/>
        <w:jc w:val="center"/>
        <w:rPr>
          <w:rFonts w:ascii="Arial Narrow" w:hAnsi="Arial Narrow" w:cs="Arial Narrow"/>
          <w:b/>
          <w:sz w:val="16"/>
        </w:rPr>
      </w:pPr>
      <w:r>
        <w:rPr>
          <w:rFonts w:cs="Arial Narrow" w:ascii="Arial Narrow" w:hAnsi="Arial Narrow"/>
          <w:b/>
          <w:sz w:val="16"/>
        </w:rPr>
      </w:r>
    </w:p>
    <w:p>
      <w:pPr>
        <w:pStyle w:val="Normal"/>
        <w:jc w:val="center"/>
        <w:rPr>
          <w:rFonts w:ascii="Arial Narrow" w:hAnsi="Arial Narrow" w:cs="Arial Narrow"/>
          <w:b/>
          <w:sz w:val="16"/>
        </w:rPr>
      </w:pPr>
      <w:r>
        <w:rPr>
          <w:rFonts w:cs="Arial Narrow" w:ascii="Arial Narrow" w:hAnsi="Arial Narrow"/>
          <w:b/>
          <w:sz w:val="16"/>
        </w:rPr>
      </w:r>
    </w:p>
    <w:p>
      <w:pPr>
        <w:pStyle w:val="Normal"/>
        <w:jc w:val="center"/>
        <w:rPr>
          <w:rFonts w:ascii="Arial Narrow" w:hAnsi="Arial Narrow" w:cs="Arial Narrow"/>
          <w:b/>
          <w:sz w:val="16"/>
        </w:rPr>
      </w:pPr>
      <w:r>
        <w:rPr>
          <w:rFonts w:cs="Arial Narrow" w:ascii="Arial Narrow" w:hAnsi="Arial Narrow"/>
          <w:b/>
          <w:sz w:val="16"/>
        </w:rPr>
      </w:r>
    </w:p>
    <w:p>
      <w:pPr>
        <w:pStyle w:val="Normal"/>
        <w:jc w:val="center"/>
        <w:rPr>
          <w:rFonts w:ascii="Arial Narrow" w:hAnsi="Arial Narrow" w:cs="Arial Narrow"/>
          <w:b/>
          <w:sz w:val="16"/>
        </w:rPr>
      </w:pPr>
      <w:r>
        <w:rPr>
          <w:rFonts w:cs="Arial Narrow" w:ascii="Arial Narrow" w:hAnsi="Arial Narrow"/>
          <w:b/>
          <w:sz w:val="16"/>
        </w:rPr>
      </w:r>
    </w:p>
    <w:p>
      <w:pPr>
        <w:pStyle w:val="Normal"/>
        <w:jc w:val="center"/>
        <w:rPr>
          <w:rFonts w:ascii="Arial Narrow" w:hAnsi="Arial Narrow" w:cs="Arial Narrow"/>
          <w:b/>
          <w:sz w:val="16"/>
        </w:rPr>
      </w:pPr>
      <w:r>
        <w:rPr>
          <w:rFonts w:cs="Arial Narrow" w:ascii="Arial Narrow" w:hAnsi="Arial Narrow"/>
          <w:b/>
          <w:sz w:val="16"/>
        </w:rPr>
      </w:r>
    </w:p>
    <w:p>
      <w:pPr>
        <w:pStyle w:val="Normal"/>
        <w:jc w:val="center"/>
        <w:rPr/>
      </w:pPr>
      <w:r>
        <w:rPr>
          <w:rFonts w:cs="Arial Narrow" w:ascii="Arial Narrow" w:hAnsi="Arial Narrow"/>
          <w:b/>
        </w:rPr>
        <w:t>CONFIRMATION--MASTER</w:t>
      </w:r>
      <w:r>
        <w:rPr>
          <w:rFonts w:cs="Arial Narrow" w:ascii="Arial Narrow" w:hAnsi="Arial Narrow"/>
          <w:b/>
          <w:position w:val="6"/>
        </w:rPr>
        <w:t xml:space="preserve"> </w:t>
      </w:r>
      <w:r>
        <w:rPr>
          <w:rFonts w:cs="Arial Narrow" w:ascii="Arial Narrow" w:hAnsi="Arial Narrow"/>
          <w:b/>
        </w:rPr>
        <w:t>PURCHASE/SALE AGREEMENT GOVERNS</w:t>
      </w:r>
    </w:p>
    <w:p>
      <w:pPr>
        <w:pStyle w:val="Normal"/>
        <w:jc w:val="center"/>
        <w:rPr>
          <w:rFonts w:ascii="Arial Narrow" w:hAnsi="Arial Narrow" w:cs="Arial Narrow"/>
          <w:b/>
        </w:rPr>
      </w:pPr>
      <w:r>
        <w:rPr>
          <w:rFonts w:cs="Arial Narrow" w:ascii="Arial Narrow" w:hAnsi="Arial Narrow"/>
          <w:b/>
        </w:rPr>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October 16, 2000</w:t>
        <w:tab/>
        <w:t xml:space="preserve"> </w:t>
        <w:tab/>
        <w:tab/>
        <w:tab/>
        <w:t>VIA FACSIMILE: (614) 324-4591</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AEP Energy Services, Inc.</w:t>
      </w:r>
    </w:p>
    <w:p>
      <w:pPr>
        <w:pStyle w:val="Normal"/>
        <w:jc w:val="both"/>
        <w:rPr>
          <w:rFonts w:ascii="Arial Narrow" w:hAnsi="Arial Narrow" w:cs="Arial Narrow"/>
        </w:rPr>
      </w:pPr>
      <w:r>
        <w:rPr>
          <w:rFonts w:cs="Arial Narrow" w:ascii="Arial Narrow" w:hAnsi="Arial Narrow"/>
        </w:rPr>
        <w:t>Attn: Suzanne Buckley, Gas Accounting</w:t>
      </w:r>
    </w:p>
    <w:p>
      <w:pPr>
        <w:pStyle w:val="Normal"/>
        <w:jc w:val="both"/>
        <w:rPr/>
      </w:pPr>
      <w:r>
        <w:rPr>
          <w:rFonts w:cs="Arial Narrow" w:ascii="Arial Narrow" w:hAnsi="Arial Narrow"/>
        </w:rPr>
        <w:t>One Riverside Plaza, 14</w:t>
      </w:r>
      <w:r>
        <w:rPr>
          <w:rFonts w:cs="Arial Narrow" w:ascii="Arial Narrow" w:hAnsi="Arial Narrow"/>
          <w:vertAlign w:val="superscript"/>
        </w:rPr>
        <w:t>th</w:t>
      </w:r>
      <w:r>
        <w:rPr>
          <w:rFonts w:cs="Arial Narrow" w:ascii="Arial Narrow" w:hAnsi="Arial Narrow"/>
        </w:rPr>
        <w:t xml:space="preserve"> Floor</w:t>
      </w:r>
    </w:p>
    <w:p>
      <w:pPr>
        <w:pStyle w:val="Normal"/>
        <w:jc w:val="both"/>
        <w:rPr>
          <w:rFonts w:ascii="Arial Narrow" w:hAnsi="Arial Narrow" w:cs="Arial Narrow"/>
        </w:rPr>
      </w:pPr>
      <w:r>
        <w:rPr>
          <w:rFonts w:cs="Arial Narrow" w:ascii="Arial Narrow" w:hAnsi="Arial Narrow"/>
        </w:rPr>
        <w:t>Colombus, OH 43215</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b/>
        </w:rPr>
        <w:t xml:space="preserve">CONFIRMATION </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 xml:space="preserve">This confirmation shall confirm the transaction (#P-AEP-95), reached on September 27, 2000, between </w:t>
      </w:r>
      <w:r>
        <w:rPr>
          <w:rFonts w:cs="Arial Narrow" w:ascii="Arial Narrow" w:hAnsi="Arial Narrow"/>
          <w:b/>
        </w:rPr>
        <w:t>AEP Energy Services, Inc</w:t>
      </w:r>
      <w:r>
        <w:rPr>
          <w:rFonts w:cs="Arial Narrow" w:ascii="Arial Narrow" w:hAnsi="Arial Narrow"/>
        </w:rPr>
        <w:t>.</w:t>
      </w:r>
      <w:r>
        <w:rPr>
          <w:rFonts w:cs="Arial Narrow" w:ascii="Arial Narrow" w:hAnsi="Arial Narrow"/>
          <w:b/>
        </w:rPr>
        <w:t xml:space="preserve">, </w:t>
      </w:r>
      <w:r>
        <w:rPr>
          <w:rFonts w:cs="Arial Narrow" w:ascii="Arial Narrow" w:hAnsi="Arial Narrow"/>
        </w:rPr>
        <w:t>("</w:t>
      </w:r>
      <w:r>
        <w:rPr>
          <w:rFonts w:cs="Arial Narrow" w:ascii="Arial Narrow" w:hAnsi="Arial Narrow"/>
          <w:u w:val="single"/>
        </w:rPr>
        <w:t>Customer</w:t>
      </w:r>
      <w:r>
        <w:rPr>
          <w:rFonts w:cs="Arial Narrow" w:ascii="Arial Narrow" w:hAnsi="Arial Narrow"/>
        </w:rPr>
        <w:t>") and Enron Energy Services, Inc., ("</w:t>
      </w:r>
      <w:r>
        <w:rPr>
          <w:rFonts w:cs="Arial Narrow" w:ascii="Arial Narrow" w:hAnsi="Arial Narrow"/>
          <w:u w:val="single"/>
        </w:rPr>
        <w:t>Company</w:t>
      </w:r>
      <w:r>
        <w:rPr>
          <w:rFonts w:cs="Arial Narrow" w:ascii="Arial Narrow" w:hAnsi="Arial Narrow"/>
        </w:rPr>
        <w:t>") regarding the purchase of natural gas under the terms and conditions of the Master Firm Purchase/Sale Agreement of _____ _, ____ (the “Agreement”).  Capitalized terms used herein but not defined have the same meanings ascribed to them in the Agreement.</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Company to purchase and receive (</w:t>
      </w:r>
      <w:r>
        <w:rPr>
          <w:rFonts w:cs="Arial Narrow" w:ascii="Arial Narrow" w:hAnsi="Arial Narrow"/>
          <w:b/>
        </w:rPr>
        <w:t>Buyer</w:t>
      </w:r>
      <w:r>
        <w:rPr>
          <w:rFonts w:cs="Arial Narrow" w:ascii="Arial Narrow" w:hAnsi="Arial Narrow"/>
        </w:rPr>
        <w:t>) and Customer to sell and deliver (</w:t>
      </w:r>
      <w:r>
        <w:rPr>
          <w:rFonts w:cs="Arial Narrow" w:ascii="Arial Narrow" w:hAnsi="Arial Narrow"/>
          <w:b/>
        </w:rPr>
        <w:t>Seller</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pPr>
      <w:r>
        <w:rPr>
          <w:rFonts w:eastAsia="Arial Narrow" w:cs="Arial Narrow" w:ascii="Arial Narrow" w:hAnsi="Arial Narrow"/>
        </w:rPr>
        <w:t xml:space="preserve">    </w:t>
      </w:r>
      <w:r>
        <w:rPr>
          <w:rFonts w:cs="Arial Narrow" w:ascii="Arial Narrow" w:hAnsi="Arial Narrow"/>
          <w:b/>
        </w:rPr>
        <w:t xml:space="preserve">TIER OF GAS:                                                                            </w:t>
      </w:r>
      <w:r>
        <w:rPr>
          <w:rFonts w:cs="Arial Narrow" w:ascii="Arial Narrow" w:hAnsi="Arial Narrow"/>
        </w:rPr>
        <w:t>Tier 4 – Firm with Penalty**</w:t>
      </w:r>
    </w:p>
    <w:p>
      <w:pPr>
        <w:pStyle w:val="Normal"/>
        <w:jc w:val="both"/>
        <w:rPr>
          <w:rFonts w:ascii="Arial Narrow" w:hAnsi="Arial Narrow" w:cs="Arial Narrow"/>
        </w:rPr>
      </w:pPr>
      <w:r>
        <w:rPr>
          <w:rFonts w:cs="Arial Narrow" w:ascii="Arial Narrow" w:hAnsi="Arial Narrow"/>
        </w:rPr>
      </w:r>
    </w:p>
    <w:tbl>
      <w:tblPr>
        <w:tblW w:w="10172" w:type="dxa"/>
        <w:jc w:val="start"/>
        <w:tblInd w:w="198" w:type="dxa"/>
        <w:tblLayout w:type="fixed"/>
        <w:tblCellMar>
          <w:top w:w="0" w:type="dxa"/>
          <w:start w:w="108" w:type="dxa"/>
          <w:bottom w:w="0" w:type="dxa"/>
          <w:end w:w="108" w:type="dxa"/>
        </w:tblCellMar>
      </w:tblPr>
      <w:tblGrid>
        <w:gridCol w:w="3690"/>
        <w:gridCol w:w="850"/>
        <w:gridCol w:w="3020"/>
        <w:gridCol w:w="721"/>
        <w:gridCol w:w="502"/>
        <w:gridCol w:w="374"/>
        <w:gridCol w:w="144"/>
        <w:gridCol w:w="286"/>
        <w:gridCol w:w="252"/>
        <w:gridCol w:w="331"/>
        <w:gridCol w:w="2"/>
      </w:tblGrid>
      <w:tr>
        <w:trPr/>
        <w:tc>
          <w:tcPr>
            <w:tcW w:w="4540" w:type="dxa"/>
            <w:gridSpan w:val="2"/>
            <w:tcBorders/>
          </w:tcPr>
          <w:p>
            <w:pPr>
              <w:pStyle w:val="Normal"/>
              <w:jc w:val="both"/>
              <w:rPr>
                <w:rFonts w:ascii="Arial Narrow" w:hAnsi="Arial Narrow" w:cs="Arial Narrow"/>
                <w:b/>
              </w:rPr>
            </w:pPr>
            <w:r>
              <w:rPr>
                <w:rFonts w:cs="Arial Narrow" w:ascii="Arial Narrow" w:hAnsi="Arial Narrow"/>
                <w:b/>
              </w:rPr>
              <w:t>DAILY CONTRACT QUANTITY (DCQ):</w:t>
            </w:r>
          </w:p>
        </w:tc>
        <w:tc>
          <w:tcPr>
            <w:tcW w:w="4243" w:type="dxa"/>
            <w:gridSpan w:val="3"/>
            <w:tcBorders/>
          </w:tcPr>
          <w:p>
            <w:pPr>
              <w:pStyle w:val="Normal"/>
              <w:jc w:val="both"/>
              <w:rPr>
                <w:rFonts w:ascii="Arial Narrow" w:hAnsi="Arial Narrow" w:cs="Arial Narrow"/>
              </w:rPr>
            </w:pPr>
            <w:r>
              <w:rPr>
                <w:rFonts w:cs="Arial Narrow" w:ascii="Arial Narrow" w:hAnsi="Arial Narrow"/>
              </w:rPr>
              <w:t>5,324 MMBtu’s per day, with the ability to increase or decrease that amount by 10 percent per day;</w:t>
            </w:r>
          </w:p>
          <w:p>
            <w:pPr>
              <w:pStyle w:val="Normal"/>
              <w:jc w:val="both"/>
              <w:rPr>
                <w:rFonts w:ascii="Arial Narrow" w:hAnsi="Arial Narrow" w:cs="Arial Narrow"/>
              </w:rPr>
            </w:pPr>
            <w:r>
              <w:rPr>
                <w:rFonts w:cs="Arial Narrow" w:ascii="Arial Narrow" w:hAnsi="Arial Narrow"/>
              </w:rPr>
            </w:r>
          </w:p>
        </w:tc>
        <w:tc>
          <w:tcPr>
            <w:tcW w:w="374" w:type="dxa"/>
            <w:tcBorders/>
          </w:tcPr>
          <w:p>
            <w:pPr>
              <w:pStyle w:val="Normal"/>
              <w:snapToGrid w:val="false"/>
              <w:jc w:val="both"/>
              <w:rPr>
                <w:rFonts w:ascii="Arial Narrow" w:hAnsi="Arial Narrow" w:cs="Arial Narrow"/>
              </w:rPr>
            </w:pPr>
            <w:r>
              <w:rPr>
                <w:rFonts w:cs="Arial Narrow" w:ascii="Arial Narrow" w:hAnsi="Arial Narrow"/>
              </w:rPr>
            </w:r>
          </w:p>
        </w:tc>
        <w:tc>
          <w:tcPr>
            <w:tcW w:w="682" w:type="dxa"/>
            <w:gridSpan w:val="3"/>
            <w:tcBorders/>
          </w:tcPr>
          <w:p>
            <w:pPr>
              <w:pStyle w:val="Normal"/>
              <w:snapToGrid w:val="false"/>
              <w:jc w:val="both"/>
              <w:rPr>
                <w:rFonts w:ascii="Arial Narrow" w:hAnsi="Arial Narrow" w:cs="Arial Narrow"/>
              </w:rPr>
            </w:pPr>
            <w:r>
              <w:rPr>
                <w:rFonts w:cs="Arial Narrow" w:ascii="Arial Narrow" w:hAnsi="Arial Narrow"/>
              </w:rPr>
            </w:r>
          </w:p>
        </w:tc>
        <w:tc>
          <w:tcPr>
            <w:tcW w:w="333"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540" w:type="dxa"/>
            <w:gridSpan w:val="2"/>
            <w:tcBorders/>
          </w:tcPr>
          <w:p>
            <w:pPr>
              <w:pStyle w:val="Normal"/>
              <w:jc w:val="both"/>
              <w:rPr>
                <w:rFonts w:ascii="Arial Narrow" w:hAnsi="Arial Narrow" w:cs="Arial Narrow"/>
                <w:b/>
              </w:rPr>
            </w:pPr>
            <w:r>
              <w:rPr>
                <w:rFonts w:cs="Arial Narrow" w:ascii="Arial Narrow" w:hAnsi="Arial Narrow"/>
                <w:b/>
              </w:rPr>
              <w:t>DELIVERY POINT(S):</w:t>
            </w:r>
          </w:p>
        </w:tc>
        <w:tc>
          <w:tcPr>
            <w:tcW w:w="4243" w:type="dxa"/>
            <w:gridSpan w:val="3"/>
            <w:tcBorders/>
          </w:tcPr>
          <w:p>
            <w:pPr>
              <w:pStyle w:val="Normal"/>
              <w:rPr>
                <w:rFonts w:ascii="Arial Narrow" w:hAnsi="Arial Narrow" w:cs="Arial Narrow"/>
              </w:rPr>
            </w:pPr>
            <w:r>
              <w:rPr>
                <w:rFonts w:cs="Arial Narrow" w:ascii="Arial Narrow" w:hAnsi="Arial Narrow"/>
              </w:rPr>
              <w:t>The interconnection between Seller’s gathered sources of supply and the natural gas transmission facilities of Transcontinental Gas Pipe Line Corp.</w:t>
            </w:r>
          </w:p>
          <w:p>
            <w:pPr>
              <w:pStyle w:val="Normal"/>
              <w:rPr>
                <w:rFonts w:ascii="Arial Narrow" w:hAnsi="Arial Narrow" w:cs="Arial Narrow"/>
              </w:rPr>
            </w:pPr>
            <w:r>
              <w:rPr>
                <w:rFonts w:cs="Arial Narrow" w:ascii="Arial Narrow" w:hAnsi="Arial Narrow"/>
              </w:rPr>
            </w:r>
          </w:p>
        </w:tc>
        <w:tc>
          <w:tcPr>
            <w:tcW w:w="374" w:type="dxa"/>
            <w:tcBorders/>
          </w:tcPr>
          <w:p>
            <w:pPr>
              <w:pStyle w:val="Normal"/>
              <w:snapToGrid w:val="false"/>
              <w:jc w:val="both"/>
              <w:rPr>
                <w:rFonts w:ascii="Arial Narrow" w:hAnsi="Arial Narrow" w:cs="Arial Narrow"/>
                <w:b/>
              </w:rPr>
            </w:pPr>
            <w:r>
              <w:rPr>
                <w:rFonts w:cs="Arial Narrow" w:ascii="Arial Narrow" w:hAnsi="Arial Narrow"/>
                <w:b/>
              </w:rPr>
            </w:r>
          </w:p>
        </w:tc>
        <w:tc>
          <w:tcPr>
            <w:tcW w:w="682" w:type="dxa"/>
            <w:gridSpan w:val="3"/>
            <w:tcBorders/>
          </w:tcPr>
          <w:p>
            <w:pPr>
              <w:pStyle w:val="Normal"/>
              <w:snapToGrid w:val="false"/>
              <w:jc w:val="both"/>
              <w:rPr>
                <w:rFonts w:ascii="Arial Narrow" w:hAnsi="Arial Narrow" w:cs="Arial Narrow"/>
                <w:b/>
              </w:rPr>
            </w:pPr>
            <w:r>
              <w:rPr>
                <w:rFonts w:cs="Arial Narrow" w:ascii="Arial Narrow" w:hAnsi="Arial Narrow"/>
                <w:b/>
              </w:rPr>
            </w:r>
          </w:p>
        </w:tc>
        <w:tc>
          <w:tcPr>
            <w:tcW w:w="333" w:type="dxa"/>
            <w:tcBorders/>
          </w:tcPr>
          <w:p>
            <w:pPr>
              <w:pStyle w:val="Normal"/>
              <w:snapToGrid w:val="false"/>
              <w:jc w:val="both"/>
              <w:rPr>
                <w:rFonts w:ascii="Arial Narrow" w:hAnsi="Arial Narrow" w:cs="Arial Narrow"/>
                <w:b/>
              </w:rPr>
            </w:pPr>
            <w:r>
              <w:rPr>
                <w:rFonts w:cs="Arial Narrow" w:ascii="Arial Narrow" w:hAnsi="Arial Narrow"/>
                <w:b/>
              </w:rPr>
            </w:r>
          </w:p>
        </w:tc>
      </w:tr>
      <w:tr>
        <w:trPr/>
        <w:tc>
          <w:tcPr>
            <w:tcW w:w="4540" w:type="dxa"/>
            <w:gridSpan w:val="2"/>
            <w:tcBorders/>
          </w:tcPr>
          <w:p>
            <w:pPr>
              <w:pStyle w:val="Normal"/>
              <w:jc w:val="both"/>
              <w:rPr>
                <w:rFonts w:ascii="Arial Narrow" w:hAnsi="Arial Narrow" w:cs="Arial Narrow"/>
                <w:b/>
              </w:rPr>
            </w:pPr>
            <w:r>
              <w:rPr>
                <w:rFonts w:cs="Arial Narrow" w:ascii="Arial Narrow" w:hAnsi="Arial Narrow"/>
                <w:b/>
              </w:rPr>
              <w:t>CONTRACT PRICE (PER MMBTU):</w:t>
            </w:r>
          </w:p>
        </w:tc>
        <w:tc>
          <w:tcPr>
            <w:tcW w:w="4243" w:type="dxa"/>
            <w:gridSpan w:val="3"/>
            <w:tcBorders/>
          </w:tcPr>
          <w:p>
            <w:pPr>
              <w:pStyle w:val="Normal"/>
              <w:rPr/>
            </w:pPr>
            <w:r>
              <w:rPr>
                <w:rFonts w:cs="Arial Narrow" w:ascii="Arial Narrow" w:hAnsi="Arial Narrow"/>
              </w:rPr>
              <w:t xml:space="preserve">The sum of (i) the “Index Price” appearing in </w:t>
            </w:r>
            <w:r>
              <w:rPr>
                <w:rFonts w:cs="Arial Narrow" w:ascii="Arial Narrow" w:hAnsi="Arial Narrow"/>
                <w:u w:val="single"/>
              </w:rPr>
              <w:t>Inside F.E.R.C.’s Gas Market Report</w:t>
            </w:r>
            <w:r>
              <w:rPr>
                <w:rFonts w:cs="Arial Narrow" w:ascii="Arial Narrow" w:hAnsi="Arial Narrow"/>
              </w:rPr>
              <w:t xml:space="preserve"> or successor publication, in the first issue on or about the first Day of the delivery Month in the table identified as “Prices of Spot Gas Delivered to Pipelines” for Northeast, Texas Eastern zone M-3, </w:t>
            </w:r>
            <w:r>
              <w:rPr>
                <w:rFonts w:cs="Arial Narrow" w:ascii="Arial Narrow" w:hAnsi="Arial Narrow"/>
                <w:u w:val="single"/>
              </w:rPr>
              <w:t>plus</w:t>
            </w:r>
            <w:r>
              <w:rPr>
                <w:rFonts w:cs="Arial Narrow" w:ascii="Arial Narrow" w:hAnsi="Arial Narrow"/>
              </w:rPr>
              <w:t xml:space="preserve"> (ii) $0.0075 per MMBtu.</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For all amounts over the 10 percent increase per day, the price will be ________________ per MMBtu, and for all amounts under the 10 percent decrease per day, the price will be ___________________ per day.</w:t>
            </w:r>
          </w:p>
          <w:p>
            <w:pPr>
              <w:pStyle w:val="Normal"/>
              <w:tabs>
                <w:tab w:val="clear" w:pos="720"/>
                <w:tab w:val="left" w:pos="5580" w:leader="none"/>
              </w:tabs>
              <w:rPr>
                <w:rFonts w:ascii="Arial Narrow" w:hAnsi="Arial Narrow" w:cs="Arial Narrow"/>
              </w:rPr>
            </w:pPr>
            <w:r>
              <w:rPr>
                <w:rFonts w:eastAsia="Arial Narrow" w:cs="Arial Narrow" w:ascii="Arial Narrow" w:hAnsi="Arial Narrow"/>
                <w:b/>
              </w:rPr>
              <w:t xml:space="preserve">      </w:t>
            </w:r>
          </w:p>
        </w:tc>
        <w:tc>
          <w:tcPr>
            <w:tcW w:w="374" w:type="dxa"/>
            <w:tcBorders/>
          </w:tcPr>
          <w:p>
            <w:pPr>
              <w:pStyle w:val="Normal"/>
              <w:snapToGrid w:val="false"/>
              <w:jc w:val="both"/>
              <w:rPr>
                <w:rFonts w:ascii="Arial Narrow" w:hAnsi="Arial Narrow" w:cs="Arial Narrow"/>
                <w:b/>
              </w:rPr>
            </w:pPr>
            <w:r>
              <w:rPr>
                <w:rFonts w:cs="Arial Narrow" w:ascii="Arial Narrow" w:hAnsi="Arial Narrow"/>
                <w:b/>
              </w:rPr>
            </w:r>
          </w:p>
        </w:tc>
        <w:tc>
          <w:tcPr>
            <w:tcW w:w="682" w:type="dxa"/>
            <w:gridSpan w:val="3"/>
            <w:tcBorders/>
          </w:tcPr>
          <w:p>
            <w:pPr>
              <w:pStyle w:val="Normal"/>
              <w:snapToGrid w:val="false"/>
              <w:jc w:val="both"/>
              <w:rPr>
                <w:rFonts w:ascii="Arial Narrow" w:hAnsi="Arial Narrow" w:cs="Arial Narrow"/>
                <w:b/>
              </w:rPr>
            </w:pPr>
            <w:r>
              <w:rPr>
                <w:rFonts w:cs="Arial Narrow" w:ascii="Arial Narrow" w:hAnsi="Arial Narrow"/>
                <w:b/>
              </w:rPr>
            </w:r>
          </w:p>
        </w:tc>
        <w:tc>
          <w:tcPr>
            <w:tcW w:w="333" w:type="dxa"/>
            <w:tcBorders/>
          </w:tcPr>
          <w:p>
            <w:pPr>
              <w:pStyle w:val="Normal"/>
              <w:snapToGrid w:val="false"/>
              <w:jc w:val="both"/>
              <w:rPr>
                <w:rFonts w:ascii="Arial Narrow" w:hAnsi="Arial Narrow" w:cs="Arial Narrow"/>
                <w:b/>
              </w:rPr>
            </w:pPr>
            <w:r>
              <w:rPr>
                <w:rFonts w:cs="Arial Narrow" w:ascii="Arial Narrow" w:hAnsi="Arial Narrow"/>
                <w:b/>
              </w:rPr>
            </w:r>
          </w:p>
        </w:tc>
      </w:tr>
      <w:tr>
        <w:trPr/>
        <w:tc>
          <w:tcPr>
            <w:tcW w:w="4540" w:type="dxa"/>
            <w:gridSpan w:val="2"/>
            <w:tcBorders/>
          </w:tcPr>
          <w:p>
            <w:pPr>
              <w:pStyle w:val="Normal"/>
              <w:jc w:val="both"/>
              <w:rPr>
                <w:rFonts w:ascii="Arial Narrow" w:hAnsi="Arial Narrow" w:cs="Arial Narrow"/>
                <w:b/>
              </w:rPr>
            </w:pPr>
            <w:r>
              <w:rPr>
                <w:rFonts w:cs="Arial Narrow" w:ascii="Arial Narrow" w:hAnsi="Arial Narrow"/>
                <w:b/>
              </w:rPr>
              <w:t>PERIOD OF DELIVERY:</w:t>
            </w:r>
          </w:p>
        </w:tc>
        <w:tc>
          <w:tcPr>
            <w:tcW w:w="4243" w:type="dxa"/>
            <w:gridSpan w:val="3"/>
            <w:tcBorders/>
          </w:tcPr>
          <w:p>
            <w:pPr>
              <w:pStyle w:val="Normal"/>
              <w:jc w:val="both"/>
              <w:rPr>
                <w:rFonts w:ascii="Arial Narrow" w:hAnsi="Arial Narrow" w:cs="Arial Narrow"/>
                <w:b/>
              </w:rPr>
            </w:pPr>
            <w:r>
              <w:rPr>
                <w:rFonts w:cs="Arial Narrow" w:ascii="Arial Narrow" w:hAnsi="Arial Narrow"/>
              </w:rPr>
              <w:t>October 1, 2000 through October 31, 2000</w:t>
            </w:r>
          </w:p>
        </w:tc>
        <w:tc>
          <w:tcPr>
            <w:tcW w:w="374" w:type="dxa"/>
            <w:tcBorders/>
          </w:tcPr>
          <w:p>
            <w:pPr>
              <w:pStyle w:val="Normal"/>
              <w:snapToGrid w:val="false"/>
              <w:jc w:val="both"/>
              <w:rPr>
                <w:rFonts w:ascii="Arial Narrow" w:hAnsi="Arial Narrow" w:cs="Arial Narrow"/>
                <w:b/>
              </w:rPr>
            </w:pPr>
            <w:r>
              <w:rPr>
                <w:rFonts w:cs="Arial Narrow" w:ascii="Arial Narrow" w:hAnsi="Arial Narrow"/>
                <w:b/>
              </w:rPr>
            </w:r>
          </w:p>
        </w:tc>
        <w:tc>
          <w:tcPr>
            <w:tcW w:w="682" w:type="dxa"/>
            <w:gridSpan w:val="3"/>
            <w:tcBorders/>
          </w:tcPr>
          <w:p>
            <w:pPr>
              <w:pStyle w:val="Normal"/>
              <w:snapToGrid w:val="false"/>
              <w:jc w:val="both"/>
              <w:rPr>
                <w:rFonts w:ascii="Arial Narrow" w:hAnsi="Arial Narrow" w:cs="Arial Narrow"/>
                <w:b/>
              </w:rPr>
            </w:pPr>
            <w:r>
              <w:rPr>
                <w:rFonts w:cs="Arial Narrow" w:ascii="Arial Narrow" w:hAnsi="Arial Narrow"/>
                <w:b/>
              </w:rPr>
            </w:r>
          </w:p>
        </w:tc>
        <w:tc>
          <w:tcPr>
            <w:tcW w:w="333" w:type="dxa"/>
            <w:tcBorders/>
          </w:tcPr>
          <w:p>
            <w:pPr>
              <w:pStyle w:val="Normal"/>
              <w:snapToGrid w:val="false"/>
              <w:jc w:val="both"/>
              <w:rPr>
                <w:rFonts w:ascii="Arial Narrow" w:hAnsi="Arial Narrow" w:cs="Arial Narrow"/>
                <w:b/>
              </w:rPr>
            </w:pPr>
            <w:r>
              <w:rPr>
                <w:rFonts w:cs="Arial Narrow" w:ascii="Arial Narrow" w:hAnsi="Arial Narrow"/>
                <w:b/>
              </w:rPr>
            </w:r>
          </w:p>
        </w:tc>
      </w:tr>
      <w:tr>
        <w:trPr/>
        <w:tc>
          <w:tcPr>
            <w:tcW w:w="4540" w:type="dxa"/>
            <w:gridSpan w:val="2"/>
            <w:tcBorders/>
          </w:tcPr>
          <w:p>
            <w:pPr>
              <w:pStyle w:val="Normal"/>
              <w:snapToGrid w:val="false"/>
              <w:jc w:val="both"/>
              <w:rPr>
                <w:rFonts w:ascii="Arial Narrow" w:hAnsi="Arial Narrow" w:cs="Arial Narrow"/>
                <w:b/>
              </w:rPr>
            </w:pPr>
            <w:r>
              <w:rPr>
                <w:rFonts w:cs="Arial Narrow" w:ascii="Arial Narrow" w:hAnsi="Arial Narrow"/>
                <w:b/>
              </w:rPr>
            </w:r>
          </w:p>
        </w:tc>
        <w:tc>
          <w:tcPr>
            <w:tcW w:w="4243" w:type="dxa"/>
            <w:gridSpan w:val="3"/>
            <w:tcBorders/>
          </w:tcPr>
          <w:p>
            <w:pPr>
              <w:pStyle w:val="Normal"/>
              <w:snapToGrid w:val="false"/>
              <w:jc w:val="both"/>
              <w:rPr>
                <w:rFonts w:ascii="Arial Narrow" w:hAnsi="Arial Narrow" w:cs="Arial Narrow"/>
                <w:b/>
              </w:rPr>
            </w:pPr>
            <w:r>
              <w:rPr>
                <w:rFonts w:cs="Arial Narrow" w:ascii="Arial Narrow" w:hAnsi="Arial Narrow"/>
                <w:b/>
              </w:rPr>
            </w:r>
          </w:p>
        </w:tc>
        <w:tc>
          <w:tcPr>
            <w:tcW w:w="374" w:type="dxa"/>
            <w:tcBorders/>
          </w:tcPr>
          <w:p>
            <w:pPr>
              <w:pStyle w:val="Normal"/>
              <w:snapToGrid w:val="false"/>
              <w:jc w:val="both"/>
              <w:rPr>
                <w:rFonts w:ascii="Arial Narrow" w:hAnsi="Arial Narrow" w:cs="Arial Narrow"/>
                <w:sz w:val="12"/>
              </w:rPr>
            </w:pPr>
            <w:r>
              <w:rPr>
                <w:rFonts w:cs="Arial Narrow" w:ascii="Arial Narrow" w:hAnsi="Arial Narrow"/>
                <w:sz w:val="12"/>
              </w:rPr>
            </w:r>
          </w:p>
        </w:tc>
        <w:tc>
          <w:tcPr>
            <w:tcW w:w="682" w:type="dxa"/>
            <w:gridSpan w:val="3"/>
            <w:tcBorders/>
          </w:tcPr>
          <w:p>
            <w:pPr>
              <w:pStyle w:val="Normal"/>
              <w:snapToGrid w:val="false"/>
              <w:jc w:val="both"/>
              <w:rPr>
                <w:rFonts w:ascii="Arial Narrow" w:hAnsi="Arial Narrow" w:cs="Arial Narrow"/>
                <w:sz w:val="12"/>
              </w:rPr>
            </w:pPr>
            <w:r>
              <w:rPr>
                <w:rFonts w:cs="Arial Narrow" w:ascii="Arial Narrow" w:hAnsi="Arial Narrow"/>
                <w:sz w:val="12"/>
              </w:rPr>
            </w:r>
          </w:p>
        </w:tc>
        <w:tc>
          <w:tcPr>
            <w:tcW w:w="333" w:type="dxa"/>
            <w:tcBorders/>
          </w:tcPr>
          <w:p>
            <w:pPr>
              <w:pStyle w:val="Normal"/>
              <w:snapToGrid w:val="false"/>
              <w:jc w:val="both"/>
              <w:rPr>
                <w:rFonts w:ascii="Arial Narrow" w:hAnsi="Arial Narrow" w:cs="Arial Narrow"/>
                <w:sz w:val="12"/>
              </w:rPr>
            </w:pPr>
            <w:r>
              <w:rPr>
                <w:rFonts w:cs="Arial Narrow" w:ascii="Arial Narrow" w:hAnsi="Arial Narrow"/>
                <w:sz w:val="12"/>
              </w:rPr>
            </w:r>
          </w:p>
        </w:tc>
      </w:tr>
      <w:tr>
        <w:trPr/>
        <w:tc>
          <w:tcPr>
            <w:tcW w:w="3690" w:type="dxa"/>
            <w:tcBorders>
              <w:top w:val="double" w:sz="6" w:space="0" w:color="000000"/>
            </w:tcBorders>
          </w:tcPr>
          <w:p>
            <w:pPr>
              <w:pStyle w:val="Normal"/>
              <w:tabs>
                <w:tab w:val="clear" w:pos="720"/>
                <w:tab w:val="center" w:pos="10800" w:leader="none"/>
              </w:tabs>
              <w:snapToGrid w:val="false"/>
              <w:jc w:val="both"/>
              <w:rPr>
                <w:rFonts w:ascii="Arial Narrow" w:hAnsi="Arial Narrow" w:cs="Arial Narrow"/>
                <w:b/>
                <w:sz w:val="12"/>
              </w:rPr>
            </w:pPr>
            <w:r>
              <w:rPr>
                <w:rFonts w:cs="Arial Narrow" w:ascii="Arial Narrow" w:hAnsi="Arial Narrow"/>
                <w:b/>
                <w:sz w:val="12"/>
              </w:rPr>
            </w:r>
          </w:p>
        </w:tc>
        <w:tc>
          <w:tcPr>
            <w:tcW w:w="850" w:type="dxa"/>
            <w:tcBorders>
              <w:top w:val="double" w:sz="6" w:space="0" w:color="000000"/>
            </w:tcBorders>
          </w:tcPr>
          <w:p>
            <w:pPr>
              <w:pStyle w:val="Normal"/>
              <w:tabs>
                <w:tab w:val="clear" w:pos="720"/>
                <w:tab w:val="center" w:pos="10800" w:leader="none"/>
              </w:tabs>
              <w:snapToGrid w:val="false"/>
              <w:jc w:val="both"/>
              <w:rPr>
                <w:rFonts w:ascii="Arial Narrow" w:hAnsi="Arial Narrow" w:cs="Arial Narrow"/>
                <w:b/>
                <w:sz w:val="12"/>
              </w:rPr>
            </w:pPr>
            <w:r>
              <w:rPr>
                <w:rFonts w:cs="Arial Narrow" w:ascii="Arial Narrow" w:hAnsi="Arial Narrow"/>
                <w:b/>
                <w:sz w:val="12"/>
              </w:rPr>
            </w:r>
          </w:p>
        </w:tc>
        <w:tc>
          <w:tcPr>
            <w:tcW w:w="3020" w:type="dxa"/>
            <w:tcBorders>
              <w:top w:val="doub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1741" w:type="dxa"/>
            <w:gridSpan w:val="4"/>
            <w:tcBorders>
              <w:top w:val="double" w:sz="6" w:space="0" w:color="000000"/>
            </w:tcBorders>
          </w:tcPr>
          <w:p>
            <w:pPr>
              <w:pStyle w:val="Normal"/>
              <w:tabs>
                <w:tab w:val="clear" w:pos="720"/>
                <w:tab w:val="center" w:pos="10800" w:leader="none"/>
              </w:tabs>
              <w:snapToGrid w:val="false"/>
              <w:jc w:val="both"/>
              <w:rPr>
                <w:rFonts w:ascii="Arial Narrow" w:hAnsi="Arial Narrow" w:cs="Arial Narrow"/>
                <w:b/>
                <w:sz w:val="12"/>
              </w:rPr>
            </w:pPr>
            <w:r>
              <w:rPr>
                <w:rFonts w:cs="Arial Narrow" w:ascii="Arial Narrow" w:hAnsi="Arial Narrow"/>
                <w:b/>
                <w:sz w:val="12"/>
              </w:rPr>
            </w:r>
          </w:p>
        </w:tc>
        <w:tc>
          <w:tcPr>
            <w:tcW w:w="871" w:type="dxa"/>
            <w:gridSpan w:val="3"/>
            <w:tcBorders>
              <w:top w:val="double" w:sz="6" w:space="0" w:color="000000"/>
            </w:tcBorders>
          </w:tcPr>
          <w:p>
            <w:pPr>
              <w:pStyle w:val="Normal"/>
              <w:tabs>
                <w:tab w:val="clear" w:pos="720"/>
                <w:tab w:val="center" w:pos="10800" w:leader="none"/>
              </w:tabs>
              <w:snapToGrid w:val="false"/>
              <w:jc w:val="both"/>
              <w:rPr>
                <w:rFonts w:ascii="Arial Narrow" w:hAnsi="Arial Narrow" w:cs="Arial Narrow"/>
                <w:sz w:val="12"/>
              </w:rPr>
            </w:pPr>
            <w:r>
              <w:rPr>
                <w:rFonts w:cs="Arial Narrow" w:ascii="Arial Narrow" w:hAnsi="Arial Narrow"/>
                <w:sz w:val="12"/>
              </w:rPr>
            </w:r>
          </w:p>
        </w:tc>
      </w:tr>
      <w:tr>
        <w:trPr/>
        <w:tc>
          <w:tcPr>
            <w:tcW w:w="3690" w:type="dxa"/>
            <w:tcBorders/>
          </w:tcPr>
          <w:p>
            <w:pPr>
              <w:pStyle w:val="Normal"/>
              <w:tabs>
                <w:tab w:val="clear" w:pos="720"/>
                <w:tab w:val="center" w:pos="10800" w:leader="none"/>
              </w:tabs>
              <w:jc w:val="both"/>
              <w:rPr>
                <w:rFonts w:ascii="Arial Narrow" w:hAnsi="Arial Narrow" w:cs="Arial Narrow"/>
                <w:sz w:val="18"/>
              </w:rPr>
            </w:pPr>
            <w:r>
              <w:rPr>
                <w:rFonts w:cs="Arial Narrow" w:ascii="Arial Narrow" w:hAnsi="Arial Narrow"/>
                <w:b/>
                <w:sz w:val="18"/>
              </w:rPr>
              <w:t>CUSTOMER:</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b/>
                <w:sz w:val="18"/>
              </w:rPr>
              <w:t>COMPANY:</w:t>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10800" w:leader="none"/>
              </w:tabs>
              <w:jc w:val="both"/>
              <w:rPr>
                <w:rFonts w:ascii="Arial Narrow" w:hAnsi="Arial Narrow" w:cs="Arial Narrow"/>
                <w:sz w:val="18"/>
              </w:rPr>
            </w:pPr>
            <w:r>
              <w:rPr>
                <w:rFonts w:cs="Arial Narrow" w:ascii="Arial Narrow" w:hAnsi="Arial Narrow"/>
                <w:sz w:val="18"/>
              </w:rPr>
              <w:t>AEP Energy Services, Inc.</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Enron Energy Services, Inc.</w:t>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jc w:val="both"/>
              <w:rPr>
                <w:rFonts w:ascii="Arial Narrow" w:hAnsi="Arial Narrow" w:cs="Arial Narrow"/>
                <w:sz w:val="18"/>
              </w:rPr>
            </w:pPr>
            <w:r>
              <w:rPr>
                <w:rFonts w:cs="Arial Narrow" w:ascii="Arial Narrow" w:hAnsi="Arial Narrow"/>
              </w:rPr>
              <w:t>One Riverside Plaza, 14</w:t>
            </w:r>
            <w:r>
              <w:rPr>
                <w:rFonts w:cs="Arial Narrow" w:ascii="Arial Narrow" w:hAnsi="Arial Narrow"/>
                <w:vertAlign w:val="superscript"/>
              </w:rPr>
              <w:t>th</w:t>
            </w:r>
            <w:r>
              <w:rPr>
                <w:rFonts w:cs="Arial Narrow" w:ascii="Arial Narrow" w:hAnsi="Arial Narrow"/>
              </w:rPr>
              <w:t xml:space="preserve"> Floor</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1400 Smith Street</w:t>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10800" w:leader="none"/>
              </w:tabs>
              <w:jc w:val="both"/>
              <w:rPr>
                <w:rFonts w:ascii="Arial Narrow" w:hAnsi="Arial Narrow" w:cs="Arial Narrow"/>
                <w:sz w:val="18"/>
              </w:rPr>
            </w:pPr>
            <w:r>
              <w:rPr>
                <w:rFonts w:cs="Arial Narrow" w:ascii="Arial Narrow" w:hAnsi="Arial Narrow"/>
                <w:sz w:val="18"/>
              </w:rPr>
              <w:t>Columbus, OH   43215</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Houston, TX  77002</w:t>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10800" w:leader="none"/>
              </w:tabs>
              <w:jc w:val="both"/>
              <w:rPr>
                <w:rFonts w:ascii="Arial Narrow" w:hAnsi="Arial Narrow" w:cs="Arial Narrow"/>
                <w:sz w:val="18"/>
              </w:rPr>
            </w:pPr>
            <w:r>
              <w:rPr>
                <w:rFonts w:cs="Arial Narrow" w:ascii="Arial Narrow" w:hAnsi="Arial Narrow"/>
                <w:sz w:val="18"/>
              </w:rPr>
              <w:t>Attn:  Suzanne Buckley</w:t>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jc w:val="both"/>
              <w:rPr>
                <w:rFonts w:ascii="Arial Narrow" w:hAnsi="Arial Narrow" w:cs="Arial Narrow"/>
              </w:rPr>
            </w:pPr>
            <w:r>
              <w:rPr>
                <w:rFonts w:cs="Arial Narrow" w:ascii="Arial Narrow" w:hAnsi="Arial Narrow"/>
                <w:sz w:val="18"/>
              </w:rPr>
              <w:t>Facsimile No. (614) 324-4591</w:t>
            </w:r>
          </w:p>
          <w:p>
            <w:pPr>
              <w:pStyle w:val="Normal"/>
              <w:tabs>
                <w:tab w:val="clear" w:pos="720"/>
                <w:tab w:val="center" w:pos="10800" w:leader="none"/>
              </w:tabs>
              <w:jc w:val="both"/>
              <w:rPr>
                <w:rFonts w:ascii="Arial Narrow" w:hAnsi="Arial Narrow" w:cs="Arial Narrow"/>
                <w:sz w:val="18"/>
              </w:rPr>
            </w:pPr>
            <w:r>
              <w:rPr>
                <w:rFonts w:cs="Arial Narrow" w:ascii="Arial Narrow" w:hAnsi="Arial Narrow"/>
                <w:sz w:val="18"/>
              </w:rPr>
            </w:r>
          </w:p>
        </w:tc>
        <w:tc>
          <w:tcPr>
            <w:tcW w:w="85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3020" w:type="dxa"/>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1741" w:type="dxa"/>
            <w:gridSpan w:val="4"/>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c>
          <w:tcPr>
            <w:tcW w:w="871" w:type="dxa"/>
            <w:gridSpan w:val="3"/>
            <w:tcBorders/>
          </w:tcPr>
          <w:p>
            <w:pPr>
              <w:pStyle w:val="Normal"/>
              <w:tabs>
                <w:tab w:val="clear" w:pos="720"/>
                <w:tab w:val="center" w:pos="108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3741" w:type="dxa"/>
            <w:gridSpan w:val="2"/>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1306" w:type="dxa"/>
            <w:gridSpan w:val="4"/>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583" w:type="dxa"/>
            <w:gridSpan w:val="2"/>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r>
    </w:tbl>
    <w:p>
      <w:pPr>
        <w:pStyle w:val="Normal"/>
        <w:rPr/>
      </w:pPr>
      <w:r>
        <w:rPr/>
      </w:r>
    </w:p>
    <w:tbl>
      <w:tblPr>
        <w:tblW w:w="10170" w:type="dxa"/>
        <w:jc w:val="start"/>
        <w:tblInd w:w="198" w:type="dxa"/>
        <w:tblLayout w:type="fixed"/>
        <w:tblCellMar>
          <w:top w:w="0" w:type="dxa"/>
          <w:start w:w="108" w:type="dxa"/>
          <w:bottom w:w="0" w:type="dxa"/>
          <w:end w:w="108" w:type="dxa"/>
        </w:tblCellMar>
      </w:tblPr>
      <w:tblGrid>
        <w:gridCol w:w="3690"/>
        <w:gridCol w:w="850"/>
        <w:gridCol w:w="3741"/>
        <w:gridCol w:w="1306"/>
        <w:gridCol w:w="583"/>
      </w:tblGrid>
      <w:tr>
        <w:trPr/>
        <w:tc>
          <w:tcPr>
            <w:tcW w:w="3690" w:type="dxa"/>
            <w:tcBorders>
              <w:top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850" w:type="dxa"/>
            <w:tcBorders>
              <w:top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3741" w:type="dxa"/>
            <w:tcBorders>
              <w:top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1306" w:type="dxa"/>
            <w:tcBorders>
              <w:top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b/>
                <w:sz w:val="12"/>
              </w:rPr>
            </w:pPr>
            <w:r>
              <w:rPr>
                <w:rFonts w:cs="Arial Narrow" w:ascii="Arial Narrow" w:hAnsi="Arial Narrow"/>
                <w:b/>
                <w:sz w:val="12"/>
              </w:rPr>
            </w:r>
          </w:p>
        </w:tc>
        <w:tc>
          <w:tcPr>
            <w:tcW w:w="583" w:type="dxa"/>
            <w:tcBorders>
              <w:top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r>
      <w:tr>
        <w:trPr/>
        <w:tc>
          <w:tcPr>
            <w:tcW w:w="369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b/>
                <w:sz w:val="18"/>
              </w:rPr>
              <w:t>BILLING, INVOICES TO COMPANY:</w:t>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3741"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b/>
                <w:sz w:val="18"/>
              </w:rPr>
              <w:t>CONFIRMATIONS TO COMPANY:</w:t>
            </w:r>
          </w:p>
        </w:tc>
        <w:tc>
          <w:tcPr>
            <w:tcW w:w="1306"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583"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Enron Energy Services, Inc.</w:t>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3741"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Jim Barker  Telephone  (713) 853-3437</w:t>
            </w:r>
          </w:p>
        </w:tc>
        <w:tc>
          <w:tcPr>
            <w:tcW w:w="1306"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583"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1400 Smith Street</w:t>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3741" w:type="dxa"/>
            <w:tcBorders/>
          </w:tcPr>
          <w:p>
            <w:pPr>
              <w:pStyle w:val="Normal"/>
              <w:tabs>
                <w:tab w:val="clear" w:pos="720"/>
                <w:tab w:val="center" w:pos="5400" w:leader="none"/>
                <w:tab w:val="left" w:pos="9000" w:leader="none"/>
              </w:tabs>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Facsimile:  (713)  646-8860</w:t>
            </w:r>
          </w:p>
        </w:tc>
        <w:tc>
          <w:tcPr>
            <w:tcW w:w="1306"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583"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r>
    </w:tbl>
    <w:p>
      <w:pPr>
        <w:pStyle w:val="Normal"/>
        <w:rPr/>
      </w:pPr>
      <w:r>
        <w:br w:type="page"/>
      </w:r>
      <w:r>
        <w:rPr/>
      </w:r>
    </w:p>
    <w:tbl>
      <w:tblPr>
        <w:tblW w:w="10170" w:type="dxa"/>
        <w:jc w:val="start"/>
        <w:tblInd w:w="198" w:type="dxa"/>
        <w:tblLayout w:type="fixed"/>
        <w:tblCellMar>
          <w:top w:w="0" w:type="dxa"/>
          <w:start w:w="108" w:type="dxa"/>
          <w:bottom w:w="0" w:type="dxa"/>
          <w:end w:w="108" w:type="dxa"/>
        </w:tblCellMar>
      </w:tblPr>
      <w:tblGrid>
        <w:gridCol w:w="3690"/>
        <w:gridCol w:w="850"/>
        <w:gridCol w:w="3741"/>
        <w:gridCol w:w="1306"/>
        <w:gridCol w:w="583"/>
      </w:tblGrid>
      <w:tr>
        <w:trPr/>
        <w:tc>
          <w:tcPr>
            <w:tcW w:w="369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Houston, TX  77002</w:t>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3741"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b/>
                <w:sz w:val="18"/>
              </w:rPr>
              <w:t>NOTICE/COMMUNICATION TO COMPANY</w:t>
            </w:r>
          </w:p>
        </w:tc>
        <w:tc>
          <w:tcPr>
            <w:tcW w:w="1306"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583"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Attn:  Operational Accounting</w:t>
            </w:r>
          </w:p>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Facsimile No. (713) 646-2505</w:t>
            </w:r>
          </w:p>
        </w:tc>
        <w:tc>
          <w:tcPr>
            <w:tcW w:w="850"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3741" w:type="dxa"/>
            <w:tcBorders/>
          </w:tcPr>
          <w:p>
            <w:pPr>
              <w:pStyle w:val="Normal"/>
              <w:tabs>
                <w:tab w:val="clear" w:pos="720"/>
                <w:tab w:val="center" w:pos="5400" w:leader="none"/>
                <w:tab w:val="left" w:pos="9000" w:leader="none"/>
              </w:tabs>
              <w:jc w:val="both"/>
              <w:rPr>
                <w:rFonts w:ascii="Arial Narrow" w:hAnsi="Arial Narrow" w:cs="Arial Narrow"/>
                <w:sz w:val="18"/>
              </w:rPr>
            </w:pPr>
            <w:r>
              <w:rPr>
                <w:rFonts w:cs="Arial Narrow" w:ascii="Arial Narrow" w:hAnsi="Arial Narrow"/>
                <w:sz w:val="18"/>
              </w:rPr>
              <w:t xml:space="preserve">Legal Services:   (713)  853-9714  </w:t>
            </w:r>
          </w:p>
          <w:p>
            <w:pPr>
              <w:pStyle w:val="Normal"/>
              <w:tabs>
                <w:tab w:val="clear" w:pos="720"/>
                <w:tab w:val="center" w:pos="5400" w:leader="none"/>
                <w:tab w:val="left" w:pos="9000" w:leader="none"/>
              </w:tabs>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Facsimile:  (713) 646-8860</w:t>
            </w:r>
          </w:p>
        </w:tc>
        <w:tc>
          <w:tcPr>
            <w:tcW w:w="1306"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c>
          <w:tcPr>
            <w:tcW w:w="583" w:type="dxa"/>
            <w:tcBorders/>
          </w:tcPr>
          <w:p>
            <w:pPr>
              <w:pStyle w:val="Normal"/>
              <w:tabs>
                <w:tab w:val="clear" w:pos="720"/>
                <w:tab w:val="center" w:pos="5400" w:leader="none"/>
                <w:tab w:val="left" w:pos="9000" w:leader="none"/>
              </w:tabs>
              <w:snapToGrid w:val="false"/>
              <w:jc w:val="both"/>
              <w:rPr>
                <w:rFonts w:ascii="Arial Narrow" w:hAnsi="Arial Narrow" w:cs="Arial Narrow"/>
                <w:sz w:val="18"/>
              </w:rPr>
            </w:pPr>
            <w:r>
              <w:rPr>
                <w:rFonts w:cs="Arial Narrow" w:ascii="Arial Narrow" w:hAnsi="Arial Narrow"/>
                <w:sz w:val="18"/>
              </w:rPr>
            </w:r>
          </w:p>
        </w:tc>
      </w:tr>
      <w:tr>
        <w:trPr/>
        <w:tc>
          <w:tcPr>
            <w:tcW w:w="3690" w:type="dxa"/>
            <w:tcBorders>
              <w:bottom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c>
          <w:tcPr>
            <w:tcW w:w="850" w:type="dxa"/>
            <w:tcBorders>
              <w:bottom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c>
          <w:tcPr>
            <w:tcW w:w="3741" w:type="dxa"/>
            <w:tcBorders>
              <w:bottom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c>
          <w:tcPr>
            <w:tcW w:w="1306" w:type="dxa"/>
            <w:tcBorders>
              <w:bottom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c>
          <w:tcPr>
            <w:tcW w:w="583" w:type="dxa"/>
            <w:tcBorders>
              <w:bottom w:val="single" w:sz="6" w:space="0" w:color="000000"/>
            </w:tcBorders>
          </w:tcPr>
          <w:p>
            <w:pPr>
              <w:pStyle w:val="Normal"/>
              <w:tabs>
                <w:tab w:val="clear" w:pos="720"/>
                <w:tab w:val="center" w:pos="5400" w:leader="none"/>
                <w:tab w:val="left" w:pos="9000" w:leader="none"/>
              </w:tabs>
              <w:snapToGrid w:val="false"/>
              <w:jc w:val="both"/>
              <w:rPr>
                <w:rFonts w:ascii="Arial Narrow" w:hAnsi="Arial Narrow" w:cs="Arial Narrow"/>
                <w:sz w:val="12"/>
              </w:rPr>
            </w:pPr>
            <w:r>
              <w:rPr>
                <w:rFonts w:cs="Arial Narrow" w:ascii="Arial Narrow" w:hAnsi="Arial Narrow"/>
                <w:sz w:val="12"/>
              </w:rPr>
            </w:r>
          </w:p>
        </w:tc>
      </w:tr>
    </w:tbl>
    <w:p>
      <w:pPr>
        <w:pStyle w:val="Normal"/>
        <w:jc w:val="both"/>
        <w:rPr>
          <w:rFonts w:ascii="Arial Narrow" w:hAnsi="Arial Narrow" w:cs="Arial Narrow"/>
          <w:sz w:val="16"/>
        </w:rPr>
      </w:pPr>
      <w:r>
        <w:rPr>
          <w:rFonts w:cs="Arial Narrow" w:ascii="Arial Narrow" w:hAnsi="Arial Narrow"/>
          <w:sz w:val="16"/>
        </w:rPr>
      </w:r>
    </w:p>
    <w:p>
      <w:pPr>
        <w:pStyle w:val="Normal"/>
        <w:rPr>
          <w:rFonts w:ascii="Arial Narrow" w:hAnsi="Arial Narrow" w:cs="Arial Narrow"/>
        </w:rPr>
      </w:pPr>
      <w:r>
        <w:rPr>
          <w:rFonts w:cs="Arial Narrow" w:ascii="Arial Narrow" w:hAnsi="Arial Narrow"/>
        </w:rPr>
        <w:t xml:space="preserve">Please confirm that the terms stated herein accurately reflect the agreement reached between you and Enron Energy Services, Inc., by returning an executed copy of this Confirmation by facsimile to Enron Energy Services, Inc.  Your response should reflect the appropriate Party in your </w:t>
      </w:r>
    </w:p>
    <w:p>
      <w:pPr>
        <w:pStyle w:val="Normal"/>
        <w:rPr/>
      </w:pPr>
      <w:r>
        <w:rPr>
          <w:rFonts w:cs="Arial Narrow" w:ascii="Arial Narrow" w:hAnsi="Arial Narrow"/>
        </w:rPr>
        <w:t>organization who has the authority to enter into this Transaction, and should be received by Enron no later than 5:00 P.M., Central Time on the first (1</w:t>
      </w:r>
      <w:r>
        <w:rPr>
          <w:rFonts w:cs="Arial Narrow" w:ascii="Arial Narrow" w:hAnsi="Arial Narrow"/>
          <w:vertAlign w:val="superscript"/>
        </w:rPr>
        <w:t>st</w:t>
      </w:r>
      <w:r>
        <w:rPr>
          <w:rFonts w:cs="Arial Narrow" w:ascii="Arial Narrow" w:hAnsi="Arial Narrow"/>
        </w:rPr>
        <w:t>) Business Day following the date first written above.  If you timely execute and return this Confirmation but fail to object in writing to the terms set forth in this Confirmation, or if you fail to timely return this Confirmation, the terms set forth in this Confirmation shall be deemed to have been accepted by you as written.  In the event you provide written objections to Enron, the terms set forth in this Confirmation shall not be accepted and there will be no Transaction under the above Master Purchase/Sale Agreement pursuant to this Confirmation, until mutually agreeable terms are reached.</w:t>
      </w:r>
    </w:p>
    <w:p>
      <w:pPr>
        <w:pStyle w:val="Normal"/>
        <w:rPr>
          <w:rFonts w:ascii="Arial Narrow" w:hAnsi="Arial Narrow" w:cs="Arial Narrow"/>
        </w:rPr>
      </w:pPr>
      <w:r>
        <w:rPr>
          <w:rFonts w:cs="Arial Narrow" w:ascii="Arial Narrow" w:hAnsi="Arial Narrow"/>
        </w:rPr>
      </w:r>
    </w:p>
    <w:p>
      <w:pPr>
        <w:pStyle w:val="Normal"/>
        <w:jc w:val="both"/>
        <w:rPr>
          <w:rFonts w:ascii="Arial Narrow" w:hAnsi="Arial Narrow" w:cs="Arial Narrow"/>
          <w:sz w:val="16"/>
        </w:rPr>
      </w:pPr>
      <w:r>
        <w:rPr>
          <w:rFonts w:cs="Arial Narrow" w:ascii="Arial Narrow" w:hAnsi="Arial Narrow"/>
          <w:sz w:val="16"/>
        </w:rPr>
      </w:r>
    </w:p>
    <w:p>
      <w:pPr>
        <w:pStyle w:val="Normal"/>
        <w:jc w:val="both"/>
        <w:rPr>
          <w:b/>
        </w:rPr>
      </w:pPr>
      <w:r>
        <w:rPr>
          <w:b/>
        </w:rPr>
        <w:t>AEP ENERGY SERVICES, INC.</w:t>
        <w:tab/>
        <w:tab/>
        <w:tab/>
        <w:tab/>
        <w:tab/>
        <w:t>ENRON ENERGY SERVICES, INC.</w:t>
      </w:r>
    </w:p>
    <w:p>
      <w:pPr>
        <w:pStyle w:val="Normal"/>
        <w:jc w:val="both"/>
        <w:rPr>
          <w:b/>
        </w:rPr>
      </w:pPr>
      <w:r>
        <w:rPr>
          <w:b/>
        </w:rPr>
      </w:r>
    </w:p>
    <w:p>
      <w:pPr>
        <w:pStyle w:val="Normal"/>
        <w:jc w:val="both"/>
        <w:rPr>
          <w:b/>
        </w:rPr>
      </w:pPr>
      <w:r>
        <w:rPr>
          <w:b/>
        </w:rPr>
      </w:r>
    </w:p>
    <w:p>
      <w:pPr>
        <w:pStyle w:val="Normal"/>
        <w:jc w:val="both"/>
        <w:rPr/>
      </w:pPr>
      <w:r>
        <w:rPr/>
        <w:t>_____________________________________</w:t>
        <w:tab/>
        <w:tab/>
        <w:tab/>
        <w:t>_____________________________________</w:t>
      </w:r>
    </w:p>
    <w:p>
      <w:pPr>
        <w:pStyle w:val="Normal"/>
        <w:jc w:val="both"/>
        <w:rPr/>
      </w:pPr>
      <w:r>
        <w:rPr/>
        <w:t>Title:  ________________________________</w:t>
        <w:tab/>
        <w:tab/>
        <w:tab/>
        <w:t>Title:  ________________________________</w:t>
      </w:r>
    </w:p>
    <w:p>
      <w:pPr>
        <w:pStyle w:val="Normal"/>
        <w:jc w:val="both"/>
        <w:rPr/>
      </w:pPr>
      <w:r>
        <w:rPr/>
        <w:t>Date: ________________________________</w:t>
        <w:tab/>
        <w:tab/>
        <w:tab/>
        <w:t>Date: ________________________________</w:t>
      </w:r>
    </w:p>
    <w:p>
      <w:pPr>
        <w:pStyle w:val="Normal"/>
        <w:jc w:val="both"/>
        <w:rPr/>
      </w:pPr>
      <w:r>
        <w:rPr/>
      </w:r>
    </w:p>
    <w:p>
      <w:pPr>
        <w:pStyle w:val="Normal"/>
        <w:jc w:val="both"/>
        <w:rPr/>
      </w:pPr>
      <w:r>
        <w:rPr/>
      </w:r>
    </w:p>
    <w:p>
      <w:pPr>
        <w:pStyle w:val="Normal"/>
        <w:jc w:val="both"/>
        <w:rPr/>
      </w:pPr>
      <w:r>
        <w:rPr/>
      </w:r>
    </w:p>
    <w:p>
      <w:pPr>
        <w:pStyle w:val="Normal"/>
        <w:rPr/>
      </w:pPr>
      <w:r>
        <w:rPr/>
        <w:t>** Tier 4   Firm with Penalty:</w:t>
      </w:r>
    </w:p>
    <w:p>
      <w:pPr>
        <w:pStyle w:val="Normal"/>
        <w:rPr/>
      </w:pPr>
      <w:r>
        <w:rPr/>
      </w:r>
    </w:p>
    <w:p>
      <w:pPr>
        <w:pStyle w:val="Normal"/>
        <w:rPr/>
      </w:pPr>
      <w:r>
        <w:rPr/>
      </w:r>
    </w:p>
    <w:p>
      <w:pPr>
        <w:pStyle w:val="Normal"/>
        <w:jc w:val="both"/>
        <w:rPr/>
      </w:pPr>
      <w:r>
        <w:rPr>
          <w:rFonts w:cs="Arial Narrow" w:ascii="Arial Narrow" w:hAnsi="Arial Narrow"/>
          <w:b/>
          <w:sz w:val="24"/>
          <w:u w:val="single"/>
        </w:rPr>
        <w:t>Firm Gas with Penalty Coverage</w:t>
      </w:r>
      <w:r>
        <w:rPr>
          <w:rFonts w:cs="Arial Narrow" w:ascii="Arial Narrow" w:hAnsi="Arial Narrow"/>
          <w:b/>
          <w:sz w:val="24"/>
        </w:rPr>
        <w:t>”</w:t>
      </w:r>
      <w:r>
        <w:rPr>
          <w:rFonts w:cs="Arial Narrow" w:ascii="Arial Narrow" w:hAnsi="Arial Narrow"/>
          <w:sz w:val="24"/>
        </w:rPr>
        <w:t xml:space="preserve">  -- subject hereto, both parties are firmly obligated to schedule the DCQ for a period less than or equal to one month with Seller providing penalty coverage. ).  </w:t>
      </w:r>
      <w:r>
        <w:rPr>
          <w:rFonts w:cs="Arial Narrow" w:ascii="Arial Narrow" w:hAnsi="Arial Narrow"/>
          <w:b/>
          <w:sz w:val="24"/>
          <w:u w:val="single"/>
        </w:rPr>
        <w:t>Tier 4  Firm Gas with Penalty Coverage.</w:t>
      </w:r>
      <w:r>
        <w:rPr>
          <w:rFonts w:cs="Arial Narrow" w:ascii="Arial Narrow" w:hAnsi="Arial Narrow"/>
          <w:sz w:val="24"/>
        </w:rPr>
        <w:t xml:space="preserve">   Each of Buyer and Seller shall have same performance obligations as set forth in Tier 3 Firm Gas, except, in the case of a Seller’s Deficiency Default, Seller shall, in addition to the payments set forth in Section 2.3, pay directly, or reimburse Buyer for if Buyer has paid, any LDC penalties or cash outs assessed by the receiving LDC as result of Seller’s Deficiency Default.</w:t>
      </w:r>
    </w:p>
    <w:p>
      <w:pPr>
        <w:pStyle w:val="Normal"/>
        <w:jc w:val="both"/>
        <w:rPr>
          <w:rFonts w:ascii="Arial Narrow" w:hAnsi="Arial Narrow" w:cs="Arial Narrow"/>
          <w:sz w:val="24"/>
        </w:rPr>
      </w:pPr>
      <w:r>
        <w:rPr>
          <w:rFonts w:cs="Arial Narrow" w:ascii="Arial Narrow" w:hAnsi="Arial Narrow"/>
          <w:sz w:val="24"/>
        </w:rPr>
      </w:r>
    </w:p>
    <w:sectPr>
      <w:type w:val="nextPage"/>
      <w:pgSz w:w="12240" w:h="15840"/>
      <w:pgMar w:left="864" w:right="864" w:gutter="0" w:header="0" w:top="1008"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2001-10-22T17:18:00Z</dcterms:created>
  <dc:creator>ees</dc:creator>
  <dc:description/>
  <dc:language>en-CA</dc:language>
  <cp:lastModifiedBy>cfinelli</cp:lastModifiedBy>
  <cp:lastPrinted>2000-05-04T12:01:00Z</cp:lastPrinted>
  <dcterms:modified xsi:type="dcterms:W3CDTF">2001-10-22T17:23:00Z</dcterms:modified>
  <cp:revision>3</cp:revision>
  <dc:subject/>
  <dc:title>ENFOLIO* "SPOT"  CONFIRMATION--ENFOLIO* "SPOT" GENERAL TERMS &amp; CONDITIONS GOVERN</dc:title>
</cp:coreProperties>
</file>