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pPr>
      <w:r>
        <w:rPr/>
        <w:t>Azurix Europe Ltd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Monthly Reporting Package</w:t>
      </w:r>
    </w:p>
    <w:p>
      <w:pPr>
        <w:pStyle w:val="Normal"/>
        <w:tabs>
          <w:tab w:val="clear" w:pos="720"/>
          <w:tab w:val="left" w:pos="2790" w:leader="none"/>
        </w:tabs>
        <w:jc w:val="center"/>
        <w:rPr>
          <w:rFonts w:ascii="Arial" w:hAnsi="Arial" w:cs="Arial"/>
          <w:sz w:val="22"/>
        </w:rPr>
      </w:pPr>
      <w:r>
        <w:rPr>
          <w:rFonts w:cs="Arial" w:ascii="Arial" w:hAnsi="Arial"/>
          <w:sz w:val="22"/>
        </w:rPr>
      </w:r>
    </w:p>
    <w:p>
      <w:pPr>
        <w:pStyle w:val="Heading3"/>
        <w:ind w:hanging="0" w:start="0"/>
        <w:rPr>
          <w:rFonts w:ascii="Arial" w:hAnsi="Arial" w:cs="Arial"/>
          <w:sz w:val="22"/>
        </w:rPr>
      </w:pPr>
      <w:r>
        <w:rPr>
          <w:rFonts w:cs="Arial"/>
          <w:sz w:val="22"/>
        </w:rPr>
      </w:r>
    </w:p>
    <w:p>
      <w:pPr>
        <w:pStyle w:val="Heading3"/>
        <w:ind w:hanging="0" w:start="0"/>
        <w:rPr/>
      </w:pPr>
      <w:r>
        <w:rPr/>
        <w:t xml:space="preserve">June </w:t>
      </w:r>
    </w:p>
    <w:p>
      <w:pPr>
        <w:pStyle w:val="Heading3"/>
        <w:ind w:hanging="0" w:start="0"/>
        <w:rPr>
          <w:sz w:val="22"/>
        </w:rPr>
      </w:pPr>
      <w:r>
        <w:rPr/>
        <w:t>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tabs>
          <w:tab w:val="clear" w:pos="720"/>
          <w:tab w:val="left" w:pos="2790" w:leader="none"/>
        </w:tabs>
        <w:rPr>
          <w:rFonts w:ascii="Arial" w:hAnsi="Arial" w:cs="Arial"/>
          <w:sz w:val="22"/>
        </w:rPr>
      </w:pPr>
      <w:r>
        <w:rPr>
          <w:rFonts w:cs="Arial" w:ascii="Arial" w:hAnsi="Arial"/>
          <w:sz w:val="22"/>
        </w:rPr>
        <w:tab/>
        <w:t>Submitted By: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tab/>
        <w:t xml:space="preserve">Keith Harris </w:t>
        <w:tab/>
        <w:t>Chief Financial Officer</w:t>
      </w:r>
    </w:p>
    <w:p>
      <w:pPr>
        <w:pStyle w:val="Normal"/>
        <w:tabs>
          <w:tab w:val="clear" w:pos="720"/>
          <w:tab w:val="left" w:pos="3690" w:leader="none"/>
        </w:tabs>
        <w:rPr>
          <w:rFonts w:ascii="Arial" w:hAnsi="Arial" w:cs="Arial"/>
          <w:sz w:val="22"/>
        </w:rPr>
      </w:pPr>
      <w:r>
        <w:rPr>
          <w:rFonts w:eastAsia="Arial" w:cs="Arial" w:ascii="Arial" w:hAnsi="Arial"/>
          <w:sz w:val="22"/>
        </w:rPr>
        <w:t xml:space="preserve">                                                            </w:t>
      </w:r>
      <w:r>
        <w:rPr>
          <w:rFonts w:cs="Arial" w:ascii="Arial" w:hAnsi="Arial"/>
          <w:sz w:val="22"/>
        </w:rPr>
        <w:t>Colin Skellett Chief Executive Officer</w:t>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tab/>
      </w:r>
    </w:p>
    <w:p>
      <w:pPr>
        <w:pStyle w:val="Normal"/>
        <w:tabs>
          <w:tab w:val="clear" w:pos="720"/>
          <w:tab w:val="left" w:pos="3690" w:leader="none"/>
        </w:tabs>
        <w:rPr>
          <w:rFonts w:ascii="Arial" w:hAnsi="Arial" w:cs="Arial"/>
          <w:sz w:val="22"/>
        </w:rPr>
      </w:pPr>
      <w:r>
        <w:rPr>
          <w:rFonts w:cs="Arial" w:ascii="Arial" w:hAnsi="Arial"/>
          <w:sz w:val="22"/>
        </w:rPr>
        <w:tab/>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tabs>
          <w:tab w:val="clear" w:pos="720"/>
          <w:tab w:val="left" w:pos="3690" w:leader="none"/>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Heading2"/>
        <w:ind w:hanging="0" w:start="0"/>
        <w:rPr>
          <w:sz w:val="22"/>
        </w:rPr>
      </w:pPr>
      <w:r>
        <w:rPr/>
        <w:t>Azurix Europe Ltd</w:t>
      </w:r>
    </w:p>
    <w:p>
      <w:pPr>
        <w:pStyle w:val="Heading3"/>
        <w:ind w:hanging="0" w:start="0"/>
        <w:rPr/>
      </w:pPr>
      <w:r>
        <w:rPr/>
        <w:t>June 2001</w:t>
      </w:r>
    </w:p>
    <w:p>
      <w:pPr>
        <w:pStyle w:val="Normal"/>
        <w:rPr>
          <w:rFonts w:ascii="Arial" w:hAnsi="Arial" w:cs="Arial"/>
          <w:sz w:val="22"/>
        </w:rPr>
      </w:pPr>
      <w:r>
        <w:rPr>
          <w:rFonts w:cs="Arial" w:ascii="Arial" w:hAnsi="Arial"/>
          <w:sz w:val="22"/>
        </w:rPr>
      </w:r>
    </w:p>
    <w:p>
      <w:pPr>
        <w:pStyle w:val="Normal"/>
        <w:rPr>
          <w:rFonts w:ascii="Arial" w:hAnsi="Arial" w:cs="Arial"/>
          <w:b/>
          <w:sz w:val="24"/>
        </w:rPr>
      </w:pPr>
      <w:r>
        <w:rPr>
          <w:rFonts w:cs="Arial" w:ascii="Arial" w:hAnsi="Arial"/>
          <w:b/>
          <w:sz w:val="24"/>
        </w:rPr>
        <w:t>NARRATIVE</w:t>
      </w:r>
    </w:p>
    <w:p>
      <w:pPr>
        <w:pStyle w:val="Normal"/>
        <w:rPr>
          <w:rFonts w:ascii="Arial" w:hAnsi="Arial" w:cs="Arial"/>
          <w:b/>
          <w:sz w:val="22"/>
        </w:rPr>
      </w:pPr>
      <w:r>
        <w:rPr>
          <w:rFonts w:cs="Arial" w:ascii="Arial" w:hAnsi="Arial"/>
          <w:b/>
          <w:sz w:val="22"/>
        </w:rPr>
      </w:r>
    </w:p>
    <w:p>
      <w:pPr>
        <w:pStyle w:val="Heading5"/>
        <w:ind w:hanging="0" w:start="0"/>
        <w:rPr>
          <w:b/>
        </w:rPr>
      </w:pPr>
      <w:r>
        <w:rPr>
          <w:b/>
        </w:rPr>
        <w:t>New Issues This Month</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1)   FULL YEAR FORECAST</w:t>
      </w:r>
    </w:p>
    <w:p>
      <w:pPr>
        <w:pStyle w:val="Normal"/>
        <w:ind w:start="360" w:end="0"/>
        <w:rPr>
          <w:rFonts w:ascii="Arial" w:hAnsi="Arial" w:eastAsia="Arial" w:cs="Arial"/>
          <w:sz w:val="22"/>
        </w:rPr>
      </w:pPr>
      <w:r>
        <w:rPr>
          <w:rFonts w:eastAsia="Arial" w:cs="Arial" w:ascii="Arial" w:hAnsi="Arial"/>
          <w:sz w:val="22"/>
        </w:rPr>
        <w:t xml:space="preserve"> </w:t>
      </w:r>
    </w:p>
    <w:p>
      <w:pPr>
        <w:pStyle w:val="Normal"/>
        <w:ind w:start="360" w:end="0"/>
        <w:rPr>
          <w:rFonts w:ascii="Arial" w:hAnsi="Arial" w:cs="Arial"/>
          <w:sz w:val="22"/>
        </w:rPr>
      </w:pPr>
      <w:r>
        <w:rPr>
          <w:rFonts w:cs="Arial" w:ascii="Arial" w:hAnsi="Arial"/>
          <w:sz w:val="22"/>
        </w:rPr>
        <w:t>The target is to absorb the Azurix Corp share option costs and additional costs of the Global Insurance Policy, yet still achieve the £ sterling Net Income budget of £39.7M.</w:t>
      </w:r>
    </w:p>
    <w:p>
      <w:pPr>
        <w:pStyle w:val="Normal"/>
        <w:ind w:start="360" w:end="0"/>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 xml:space="preserve">Because of the recent weakening in sterling we have forecast an exchange rate of 1.40 for the remainder of the year, rather than the 1.43 in the budget, which with the average rate for the first 6 months of 1.4397 gives 1.4198 for the full year. As a result the net income forecast in US dollars of $56.4M is below the budget of $56.8M (based on a rate of 1.43).   </w:t>
      </w:r>
    </w:p>
    <w:p>
      <w:pPr>
        <w:pStyle w:val="Normal"/>
        <w:ind w:start="36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HALF YEAR RESULTS</w:t>
      </w:r>
    </w:p>
    <w:p>
      <w:pPr>
        <w:pStyle w:val="Normal"/>
        <w:rPr>
          <w:rFonts w:ascii="Arial" w:hAnsi="Arial" w:cs="Arial"/>
          <w:sz w:val="22"/>
        </w:rPr>
      </w:pPr>
      <w:r>
        <w:rPr>
          <w:rFonts w:cs="Arial" w:ascii="Arial" w:hAnsi="Arial"/>
          <w:sz w:val="22"/>
        </w:rPr>
      </w:r>
    </w:p>
    <w:p>
      <w:pPr>
        <w:pStyle w:val="Normal"/>
        <w:ind w:hanging="360" w:start="360" w:end="0"/>
        <w:rPr>
          <w:rFonts w:ascii="Arial" w:hAnsi="Arial" w:cs="Arial"/>
          <w:sz w:val="22"/>
        </w:rPr>
      </w:pPr>
      <w:r>
        <w:rPr>
          <w:rFonts w:eastAsia="Arial" w:cs="Arial" w:ascii="Arial" w:hAnsi="Arial"/>
          <w:sz w:val="22"/>
        </w:rPr>
        <w:t xml:space="preserve">      </w:t>
      </w:r>
      <w:r>
        <w:rPr>
          <w:rFonts w:cs="Arial" w:ascii="Arial" w:hAnsi="Arial"/>
          <w:sz w:val="22"/>
        </w:rPr>
        <w:t>At the half year AEL Group Net Income of £28.2M was £0.8M above budget. This was a very good result as it was achieved having absorbed the unbudgeted costs of the Azurix Corp share option payments, and the operational problems caused by the Foot and Mouth outbreak.</w:t>
      </w:r>
    </w:p>
    <w:p>
      <w:pPr>
        <w:pStyle w:val="Normal"/>
        <w:ind w:hanging="360" w:start="360" w:end="0"/>
        <w:rPr>
          <w:rFonts w:ascii="Arial" w:hAnsi="Arial" w:cs="Arial"/>
          <w:sz w:val="22"/>
        </w:rPr>
      </w:pPr>
      <w:r>
        <w:rPr>
          <w:rFonts w:cs="Arial" w:ascii="Arial" w:hAnsi="Arial"/>
          <w:sz w:val="22"/>
        </w:rPr>
      </w:r>
    </w:p>
    <w:p>
      <w:pPr>
        <w:pStyle w:val="Normal"/>
        <w:ind w:hanging="360" w:start="360" w:end="0"/>
        <w:rPr>
          <w:rFonts w:ascii="Arial" w:hAnsi="Arial" w:cs="Arial"/>
          <w:sz w:val="22"/>
        </w:rPr>
      </w:pPr>
      <w:r>
        <w:rPr>
          <w:rFonts w:eastAsia="Arial" w:cs="Arial" w:ascii="Arial" w:hAnsi="Arial"/>
          <w:sz w:val="22"/>
        </w:rPr>
        <w:t xml:space="preserve">      </w:t>
      </w:r>
      <w:r>
        <w:rPr>
          <w:rFonts w:cs="Arial" w:ascii="Arial" w:hAnsi="Arial"/>
          <w:sz w:val="22"/>
        </w:rPr>
        <w:t>The result was achieved because of the strength of the WWSL regulated and unregulated activities, and the interest savings, which between them had to cover the worsening performance of Swiss Combi and Wessex Water Enterprises</w:t>
      </w:r>
    </w:p>
    <w:p>
      <w:pPr>
        <w:pStyle w:val="Normal"/>
        <w:ind w:hanging="360" w:start="36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ENGINEERING JOINT VENTURE</w:t>
      </w:r>
    </w:p>
    <w:p>
      <w:pPr>
        <w:pStyle w:val="Normal"/>
        <w:rPr>
          <w:rFonts w:ascii="Arial" w:hAnsi="Arial" w:cs="Arial"/>
          <w:sz w:val="22"/>
        </w:rPr>
      </w:pPr>
      <w:r>
        <w:rPr>
          <w:rFonts w:cs="Arial" w:ascii="Arial" w:hAnsi="Arial"/>
          <w:sz w:val="22"/>
        </w:rPr>
      </w:r>
    </w:p>
    <w:p>
      <w:pPr>
        <w:pStyle w:val="Normal"/>
        <w:ind w:start="375" w:end="0"/>
        <w:rPr>
          <w:rFonts w:ascii="Arial" w:hAnsi="Arial" w:cs="Arial"/>
          <w:sz w:val="22"/>
        </w:rPr>
      </w:pPr>
      <w:r>
        <w:rPr>
          <w:rFonts w:cs="Arial" w:ascii="Arial" w:hAnsi="Arial"/>
          <w:sz w:val="22"/>
        </w:rPr>
        <w:t>Montgomery Watson have been selected as the Engineering JV partner subject to the due diligence process which is currently being undertaken.</w:t>
      </w:r>
    </w:p>
    <w:p>
      <w:pPr>
        <w:pStyle w:val="Normal"/>
        <w:ind w:hanging="360" w:start="360" w:end="0"/>
        <w:rPr>
          <w:rFonts w:ascii="Arial" w:hAnsi="Arial" w:cs="Arial"/>
          <w:sz w:val="22"/>
        </w:rPr>
      </w:pPr>
      <w:r>
        <w:rPr>
          <w:rFonts w:cs="Arial" w:ascii="Arial" w:hAnsi="Arial"/>
          <w:sz w:val="22"/>
        </w:rPr>
      </w:r>
    </w:p>
    <w:p>
      <w:pPr>
        <w:pStyle w:val="Heading5"/>
        <w:ind w:hanging="0" w:start="0"/>
        <w:rPr>
          <w:b/>
        </w:rPr>
      </w:pPr>
      <w:r>
        <w:rPr>
          <w:b/>
        </w:rPr>
        <w:t>Update on Prior Issues</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sz w:val="22"/>
        </w:rPr>
        <w:t xml:space="preserve">FOOT AND MOUTH DISEASE - The operating restrictions caused by this disease continued last month, and have not yet been fully lifted, but we now anticipate that the full year impact will be a cost of £0.8M rather than £1.3M. </w:t>
      </w:r>
    </w:p>
    <w:p>
      <w:pPr>
        <w:pStyle w:val="Normal"/>
        <w:rPr>
          <w:rFonts w:ascii="Arial" w:hAnsi="Arial" w:cs="Arial"/>
          <w:sz w:val="22"/>
        </w:rPr>
      </w:pPr>
      <w:r>
        <w:rPr>
          <w:rFonts w:cs="Arial" w:ascii="Arial" w:hAnsi="Arial"/>
          <w:sz w:val="22"/>
        </w:rPr>
      </w:r>
    </w:p>
    <w:p>
      <w:pPr>
        <w:pStyle w:val="Normal"/>
        <w:numPr>
          <w:ilvl w:val="0"/>
          <w:numId w:val="3"/>
        </w:numPr>
        <w:tabs>
          <w:tab w:val="clear" w:pos="720"/>
          <w:tab w:val="left" w:pos="0" w:leader="none"/>
        </w:tabs>
        <w:rPr>
          <w:rFonts w:ascii="Arial" w:hAnsi="Arial" w:cs="Arial"/>
          <w:sz w:val="22"/>
        </w:rPr>
      </w:pPr>
      <w:r>
        <w:rPr>
          <w:rFonts w:cs="Arial" w:ascii="Arial" w:hAnsi="Arial"/>
          <w:sz w:val="22"/>
        </w:rPr>
        <w:t>SWISS COMBI AND WWE ( Membrane Technology ) - The future of both of these activities is subject to the separate MBO discussions.</w:t>
      </w:r>
    </w:p>
    <w:p>
      <w:pPr>
        <w:pStyle w:val="Normal"/>
        <w:ind w:start="36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5"/>
        <w:ind w:hanging="0" w:start="0"/>
        <w:rPr>
          <w:b/>
        </w:rPr>
      </w:pPr>
      <w:r>
        <w:rPr>
          <w:b/>
        </w:rPr>
        <w:t>Current Month Income Statement Variance To Budget</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 xml:space="preserve">Turnover </w:t>
      </w:r>
      <w:r>
        <w:rPr>
          <w:rFonts w:cs="Arial" w:ascii="Arial" w:hAnsi="Arial"/>
          <w:sz w:val="22"/>
        </w:rPr>
        <w:t>was £0.8M above budget. Regulated measured income was strong in the month, and Water and Waste combined generated a result £0.6M above budget. There were also positive variances from WWSL unregulated activities (organic waste) and from Swiss Combi, but Wessex Water Enterprises were below budget.</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O&amp;M expenses w</w:t>
      </w:r>
      <w:r>
        <w:rPr>
          <w:rFonts w:cs="Arial" w:ascii="Arial" w:hAnsi="Arial"/>
          <w:sz w:val="22"/>
        </w:rPr>
        <w:t>ere £1.1M higher than budget. £0.8M of this increase related to the additional turnover from Swiss Combi and WWSL unregulated activities and £0.3M to the regulated activities of WWSL and WWE. As a result Swiss Combi did not show a positive variance to budget at operating profit level.</w:t>
      </w:r>
    </w:p>
    <w:p>
      <w:pPr>
        <w:pStyle w:val="Normal"/>
        <w:rPr>
          <w:rFonts w:ascii="Arial" w:hAnsi="Arial" w:cs="Arial"/>
          <w:sz w:val="22"/>
        </w:rPr>
      </w:pPr>
      <w:r>
        <w:rPr>
          <w:rFonts w:cs="Arial" w:ascii="Arial" w:hAnsi="Arial"/>
          <w:sz w:val="22"/>
        </w:rPr>
      </w:r>
    </w:p>
    <w:p>
      <w:pPr>
        <w:pStyle w:val="Normal"/>
        <w:ind w:end="-1440"/>
        <w:rPr/>
      </w:pPr>
      <w:r>
        <w:rPr>
          <w:rFonts w:cs="Arial" w:ascii="Arial" w:hAnsi="Arial"/>
          <w:b/>
          <w:sz w:val="22"/>
        </w:rPr>
        <w:t xml:space="preserve">G&amp;A expenses </w:t>
      </w:r>
      <w:r>
        <w:rPr>
          <w:rFonts w:cs="Arial" w:ascii="Arial" w:hAnsi="Arial"/>
          <w:sz w:val="22"/>
        </w:rPr>
        <w:t xml:space="preserve">of £1.9M were in line with budget. </w:t>
      </w:r>
    </w:p>
    <w:p>
      <w:pPr>
        <w:pStyle w:val="Normal"/>
        <w:ind w:end="-1440"/>
        <w:rPr>
          <w:rFonts w:ascii="Arial" w:hAnsi="Arial" w:cs="Arial"/>
          <w:sz w:val="22"/>
        </w:rPr>
      </w:pPr>
      <w:r>
        <w:rPr>
          <w:rFonts w:cs="Arial" w:ascii="Arial" w:hAnsi="Arial"/>
          <w:sz w:val="22"/>
        </w:rPr>
      </w:r>
    </w:p>
    <w:p>
      <w:pPr>
        <w:pStyle w:val="Normal"/>
        <w:ind w:end="-1440"/>
        <w:rPr/>
      </w:pPr>
      <w:r>
        <w:rPr>
          <w:rFonts w:cs="Arial" w:ascii="Arial" w:hAnsi="Arial"/>
          <w:b/>
          <w:sz w:val="22"/>
        </w:rPr>
        <w:t xml:space="preserve">Depreciation and amortization expenses of </w:t>
      </w:r>
      <w:r>
        <w:rPr>
          <w:rFonts w:cs="Arial" w:ascii="Arial" w:hAnsi="Arial"/>
          <w:sz w:val="22"/>
        </w:rPr>
        <w:t xml:space="preserve"> £6.1M were £0.4M above budget due to the write off of redundant assets, and </w:t>
      </w:r>
      <w:r>
        <w:rPr>
          <w:rFonts w:cs="Arial" w:ascii="Arial" w:hAnsi="Arial"/>
          <w:b/>
          <w:sz w:val="22"/>
        </w:rPr>
        <w:t xml:space="preserve">Interest payable </w:t>
      </w:r>
      <w:r>
        <w:rPr>
          <w:rFonts w:cs="Arial" w:ascii="Arial" w:hAnsi="Arial"/>
          <w:sz w:val="22"/>
        </w:rPr>
        <w:t>of £2.9M</w:t>
      </w:r>
      <w:r>
        <w:rPr>
          <w:rFonts w:cs="Arial" w:ascii="Arial" w:hAnsi="Arial"/>
          <w:b/>
          <w:sz w:val="22"/>
        </w:rPr>
        <w:t xml:space="preserve"> </w:t>
      </w:r>
      <w:r>
        <w:rPr>
          <w:rFonts w:cs="Arial" w:ascii="Arial" w:hAnsi="Arial"/>
          <w:sz w:val="22"/>
        </w:rPr>
        <w:t xml:space="preserve">was £0.7M lower than budget (£0.2M of which was a correction of interest costs accrued last month). </w:t>
      </w:r>
    </w:p>
    <w:p>
      <w:pPr>
        <w:pStyle w:val="Normal"/>
        <w:ind w:end="-1440"/>
        <w:rPr>
          <w:rFonts w:ascii="Arial" w:hAnsi="Arial" w:cs="Arial"/>
          <w:sz w:val="22"/>
        </w:rPr>
      </w:pPr>
      <w:r>
        <w:rPr>
          <w:rFonts w:cs="Arial" w:ascii="Arial" w:hAnsi="Arial"/>
          <w:sz w:val="22"/>
        </w:rPr>
      </w:r>
    </w:p>
    <w:p>
      <w:pPr>
        <w:pStyle w:val="Normal"/>
        <w:ind w:end="-90"/>
        <w:rPr/>
      </w:pPr>
      <w:r>
        <w:rPr>
          <w:rFonts w:cs="Arial" w:ascii="Arial" w:hAnsi="Arial"/>
          <w:sz w:val="22"/>
        </w:rPr>
        <w:t>As a result of the above</w:t>
      </w:r>
      <w:r>
        <w:rPr>
          <w:rFonts w:cs="Arial" w:ascii="Arial" w:hAnsi="Arial"/>
          <w:b/>
          <w:sz w:val="22"/>
        </w:rPr>
        <w:t xml:space="preserve"> Profit before tax, Taxation and Net Income</w:t>
      </w:r>
      <w:r>
        <w:rPr>
          <w:rFonts w:cs="Arial" w:ascii="Arial" w:hAnsi="Arial"/>
          <w:sz w:val="22"/>
        </w:rPr>
        <w:t xml:space="preserve"> were all in line with budget.</w:t>
      </w:r>
    </w:p>
    <w:p>
      <w:pPr>
        <w:pStyle w:val="Normal"/>
        <w:ind w:end="-90"/>
        <w:rPr>
          <w:rFonts w:ascii="Arial" w:hAnsi="Arial" w:cs="Arial"/>
          <w:sz w:val="22"/>
        </w:rPr>
      </w:pPr>
      <w:r>
        <w:rPr>
          <w:rFonts w:cs="Arial" w:ascii="Arial" w:hAnsi="Arial"/>
          <w:sz w:val="22"/>
        </w:rPr>
      </w:r>
    </w:p>
    <w:p>
      <w:pPr>
        <w:pStyle w:val="Heading5"/>
        <w:ind w:hanging="0" w:start="0"/>
        <w:rPr>
          <w:b/>
        </w:rPr>
      </w:pPr>
      <w:r>
        <w:rPr>
          <w:b/>
        </w:rPr>
        <w:t>Current Month Income Statement Variance To Last Year</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 xml:space="preserve">Turnover </w:t>
      </w:r>
      <w:r>
        <w:rPr>
          <w:rFonts w:cs="Arial" w:ascii="Arial" w:hAnsi="Arial"/>
          <w:sz w:val="22"/>
        </w:rPr>
        <w:t>was £2.1M above last year. The increase is a combination of WWSL unregulated income being £0.7M higher than last year, Wessex Water Enterprises (which did not exist last year) had £0.5M of turnover, and positive variances of £0.7M and £0.2M from unregulated activities and Swiss Combi respectively.</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O&amp;M expenses</w:t>
      </w:r>
      <w:r>
        <w:rPr>
          <w:rFonts w:cs="Arial" w:ascii="Arial" w:hAnsi="Arial"/>
          <w:sz w:val="22"/>
        </w:rPr>
        <w:t xml:space="preserve"> were £2.9M higher than last year, of which £0.5M can be explained by the Wessex Water Enterprises activities, £0.5M the WWSL unregulated activities, and £0.5M the operating costs of Swiss Combi. The remaining £1.4M were additional operating costs of the new processes in the regulated business, and the disruption caused by the Foot and Mouth outbreak.</w:t>
      </w:r>
    </w:p>
    <w:p>
      <w:pPr>
        <w:pStyle w:val="Normal"/>
        <w:rPr>
          <w:rFonts w:ascii="Arial" w:hAnsi="Arial" w:cs="Arial"/>
          <w:sz w:val="22"/>
        </w:rPr>
      </w:pPr>
      <w:r>
        <w:rPr>
          <w:rFonts w:cs="Arial" w:ascii="Arial" w:hAnsi="Arial"/>
          <w:sz w:val="22"/>
        </w:rPr>
      </w:r>
    </w:p>
    <w:p>
      <w:pPr>
        <w:pStyle w:val="Normal"/>
        <w:ind w:end="-1440"/>
        <w:rPr/>
      </w:pPr>
      <w:r>
        <w:rPr>
          <w:rFonts w:cs="Arial" w:ascii="Arial" w:hAnsi="Arial"/>
          <w:b/>
          <w:sz w:val="22"/>
        </w:rPr>
        <w:t xml:space="preserve">G&amp;A expenses </w:t>
      </w:r>
      <w:r>
        <w:rPr>
          <w:rFonts w:cs="Arial" w:ascii="Arial" w:hAnsi="Arial"/>
          <w:sz w:val="22"/>
        </w:rPr>
        <w:t>were £0.3M higher than last year.</w:t>
      </w:r>
    </w:p>
    <w:p>
      <w:pPr>
        <w:pStyle w:val="Normal"/>
        <w:ind w:end="-1440"/>
        <w:rPr>
          <w:rFonts w:ascii="Arial" w:hAnsi="Arial" w:cs="Arial"/>
          <w:sz w:val="22"/>
        </w:rPr>
      </w:pPr>
      <w:r>
        <w:rPr>
          <w:rFonts w:cs="Arial" w:ascii="Arial" w:hAnsi="Arial"/>
          <w:sz w:val="22"/>
        </w:rPr>
      </w:r>
    </w:p>
    <w:p>
      <w:pPr>
        <w:pStyle w:val="Normal"/>
        <w:ind w:end="-90"/>
        <w:rPr/>
      </w:pPr>
      <w:r>
        <w:rPr>
          <w:rFonts w:cs="Arial" w:ascii="Arial" w:hAnsi="Arial"/>
          <w:b/>
          <w:sz w:val="22"/>
        </w:rPr>
        <w:t xml:space="preserve">Depreciation and amortization expense </w:t>
      </w:r>
      <w:r>
        <w:rPr>
          <w:rFonts w:cs="Arial" w:ascii="Arial" w:hAnsi="Arial"/>
          <w:sz w:val="22"/>
        </w:rPr>
        <w:t>was £1.2M higher than last year due to the impact of the ongoing capital investment programme and the write off of redundant assets in June 2001.</w:t>
      </w:r>
    </w:p>
    <w:p>
      <w:pPr>
        <w:pStyle w:val="Normal"/>
        <w:ind w:end="-1440"/>
        <w:rPr>
          <w:rFonts w:ascii="Arial" w:hAnsi="Arial" w:cs="Arial"/>
          <w:sz w:val="22"/>
        </w:rPr>
      </w:pPr>
      <w:r>
        <w:rPr>
          <w:rFonts w:cs="Arial" w:ascii="Arial" w:hAnsi="Arial"/>
          <w:sz w:val="22"/>
        </w:rPr>
      </w:r>
    </w:p>
    <w:p>
      <w:pPr>
        <w:pStyle w:val="Normal"/>
        <w:rPr/>
      </w:pPr>
      <w:r>
        <w:rPr>
          <w:rFonts w:cs="Arial" w:ascii="Arial" w:hAnsi="Arial"/>
          <w:b/>
          <w:sz w:val="22"/>
        </w:rPr>
        <w:t xml:space="preserve">Interest payable </w:t>
      </w:r>
      <w:r>
        <w:rPr>
          <w:rFonts w:cs="Arial" w:ascii="Arial" w:hAnsi="Arial"/>
          <w:sz w:val="22"/>
        </w:rPr>
        <w:t>of £2.9M</w:t>
      </w:r>
      <w:r>
        <w:rPr>
          <w:rFonts w:cs="Arial" w:ascii="Arial" w:hAnsi="Arial"/>
          <w:b/>
          <w:sz w:val="22"/>
        </w:rPr>
        <w:t xml:space="preserve"> </w:t>
      </w:r>
      <w:r>
        <w:rPr>
          <w:rFonts w:cs="Arial" w:ascii="Arial" w:hAnsi="Arial"/>
          <w:sz w:val="22"/>
        </w:rPr>
        <w:t xml:space="preserve">was £0.1M lower than last year, and because of the above variances </w:t>
      </w:r>
      <w:r>
        <w:rPr>
          <w:rFonts w:cs="Arial" w:ascii="Arial" w:hAnsi="Arial"/>
          <w:b/>
          <w:sz w:val="22"/>
        </w:rPr>
        <w:t>Taxation</w:t>
      </w:r>
      <w:r>
        <w:rPr>
          <w:rFonts w:cs="Arial" w:ascii="Arial" w:hAnsi="Arial"/>
          <w:sz w:val="22"/>
        </w:rPr>
        <w:t xml:space="preserve"> was £0.6M lower than last year and </w:t>
      </w:r>
      <w:r>
        <w:rPr>
          <w:rFonts w:cs="Arial" w:ascii="Arial" w:hAnsi="Arial"/>
          <w:b/>
          <w:sz w:val="22"/>
        </w:rPr>
        <w:t>Net Income</w:t>
      </w:r>
      <w:r>
        <w:rPr>
          <w:rFonts w:cs="Arial" w:ascii="Arial" w:hAnsi="Arial"/>
          <w:sz w:val="22"/>
        </w:rPr>
        <w:t xml:space="preserve"> £1.6M lower.</w:t>
      </w:r>
    </w:p>
    <w:p>
      <w:pPr>
        <w:pStyle w:val="Normal"/>
        <w:rPr>
          <w:rFonts w:ascii="Arial" w:hAnsi="Arial" w:cs="Arial"/>
          <w:sz w:val="22"/>
        </w:rPr>
      </w:pPr>
      <w:r>
        <w:rPr>
          <w:rFonts w:cs="Arial" w:ascii="Arial" w:hAnsi="Arial"/>
          <w:sz w:val="22"/>
        </w:rPr>
      </w:r>
    </w:p>
    <w:p>
      <w:pPr>
        <w:pStyle w:val="Normal"/>
        <w:ind w:end="-90"/>
        <w:rPr>
          <w:rFonts w:ascii="Arial" w:hAnsi="Arial" w:cs="Arial"/>
          <w:sz w:val="22"/>
        </w:rPr>
      </w:pPr>
      <w:r>
        <w:rPr>
          <w:rFonts w:cs="Arial" w:ascii="Arial" w:hAnsi="Arial"/>
          <w:sz w:val="22"/>
        </w:rPr>
      </w:r>
    </w:p>
    <w:p>
      <w:pPr>
        <w:pStyle w:val="Normal"/>
        <w:ind w:end="-9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 xml:space="preserve">Cash Flow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 xml:space="preserve">Cash balances at 30 June were £87.4M, being £87.0M in the AEL Debt Service Reserve Account and £0.4M bank balance.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Debt at 30 June was £895.6M, comprising bank overdraft of £2.8M, Wessex Water borrowings of £560.2M and AEL borrowings of £332.6M. Of the AEL borrowings £141.4M has been lent on to affiliates.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t>Current Forecast (changes to future estimates)</w:t>
      </w:r>
    </w:p>
    <w:p>
      <w:pPr>
        <w:pStyle w:val="Normal"/>
        <w:rPr>
          <w:rFonts w:ascii="Arial" w:hAnsi="Arial" w:cs="Arial"/>
          <w:b/>
          <w:sz w:val="22"/>
          <w:u w:val="single"/>
        </w:rPr>
      </w:pPr>
      <w:r>
        <w:rPr>
          <w:rFonts w:cs="Arial" w:ascii="Arial" w:hAnsi="Arial"/>
          <w:b/>
          <w:sz w:val="22"/>
          <w:u w:val="single"/>
        </w:rPr>
      </w:r>
    </w:p>
    <w:p>
      <w:pPr>
        <w:pStyle w:val="BodyText2"/>
        <w:rPr/>
      </w:pPr>
      <w:r>
        <w:rPr/>
        <w:t>A detailed full year forecast was prepared following the period 6 results.</w:t>
      </w:r>
    </w:p>
    <w:p>
      <w:pPr>
        <w:pStyle w:val="BodyText2"/>
        <w:rPr/>
      </w:pPr>
      <w:r>
        <w:rPr/>
      </w:r>
    </w:p>
    <w:p>
      <w:pPr>
        <w:pStyle w:val="BodyText2"/>
        <w:rPr/>
      </w:pPr>
      <w:r>
        <w:rPr/>
        <w:t>Although the sterling net income forecast is unchanged from budget at £39.7M, due to the weakening exchange rate the US dollar forecast is $56.4M compared with the budget of $56.8M.</w:t>
      </w:r>
    </w:p>
    <w:p>
      <w:pPr>
        <w:pStyle w:val="BodyText2"/>
        <w:rPr/>
      </w:pPr>
      <w:r>
        <w:rPr/>
      </w:r>
    </w:p>
    <w:p>
      <w:pPr>
        <w:pStyle w:val="BodyText2"/>
        <w:rPr>
          <w:b/>
        </w:rPr>
      </w:pPr>
      <w:r>
        <w:rPr>
          <w:b/>
        </w:rPr>
        <w:t>RISKS AND OPPORTUNITIES</w:t>
      </w:r>
    </w:p>
    <w:p>
      <w:pPr>
        <w:pStyle w:val="BodyText2"/>
        <w:rPr>
          <w:b/>
        </w:rPr>
      </w:pPr>
      <w:r>
        <w:rPr>
          <w:b/>
        </w:rPr>
      </w:r>
    </w:p>
    <w:p>
      <w:pPr>
        <w:pStyle w:val="BodyText2"/>
        <w:rPr/>
      </w:pPr>
      <w:r>
        <w:rPr/>
        <w:t>The significant factors that will effect the results for the rest of this year are;</w:t>
      </w:r>
    </w:p>
    <w:p>
      <w:pPr>
        <w:pStyle w:val="BodyText2"/>
        <w:rPr/>
      </w:pPr>
      <w:r>
        <w:rPr/>
      </w:r>
    </w:p>
    <w:p>
      <w:pPr>
        <w:pStyle w:val="BodyText2"/>
        <w:rPr/>
      </w:pPr>
      <w:r>
        <w:rPr/>
        <w:t>Length of the Foot and Mouth Disease outbreak</w:t>
      </w:r>
    </w:p>
    <w:p>
      <w:pPr>
        <w:pStyle w:val="BodyText2"/>
        <w:rPr/>
      </w:pPr>
      <w:r>
        <w:rPr/>
        <w:t>Weather patterns in the Wessex area - we assume a "normal" summer</w:t>
      </w:r>
    </w:p>
    <w:p>
      <w:pPr>
        <w:pStyle w:val="BodyText2"/>
        <w:rPr/>
      </w:pPr>
      <w:r>
        <w:rPr/>
        <w:t>Take up of new meters by customers</w:t>
      </w:r>
    </w:p>
    <w:p>
      <w:pPr>
        <w:pStyle w:val="BodyText2"/>
        <w:rPr/>
      </w:pPr>
      <w:r>
        <w:rPr/>
        <w:t>The MBO discussions for Wessex Water Enterprises and Swiss Combi</w:t>
      </w:r>
    </w:p>
    <w:p>
      <w:pPr>
        <w:pStyle w:val="BodyText2"/>
        <w:rPr/>
      </w:pPr>
      <w:r>
        <w:rPr/>
        <w:t>Sterling to dollar exchange rate</w:t>
      </w:r>
    </w:p>
    <w:p>
      <w:pPr>
        <w:pStyle w:val="BodyText2"/>
        <w:rPr/>
      </w:pPr>
      <w:r>
        <w:rPr/>
      </w:r>
    </w:p>
    <w:p>
      <w:pPr>
        <w:pStyle w:val="BodyText2"/>
        <w:rPr/>
      </w:pPr>
      <w:r>
        <w:rPr/>
      </w:r>
    </w:p>
    <w:p>
      <w:pPr>
        <w:pStyle w:val="BodyText2"/>
        <w:rPr/>
      </w:pPr>
      <w:r>
        <w:rPr/>
      </w:r>
    </w:p>
    <w:p>
      <w:pPr>
        <w:pStyle w:val="BodyText2"/>
        <w:rPr/>
      </w:pPr>
      <w:r>
        <w:rPr>
          <w:b/>
        </w:rPr>
        <w:t>CAPITAL EXPENDITURE</w:t>
      </w:r>
      <w:r>
        <w:rPr/>
        <w:t xml:space="preserve"> in Wessex Water, excluding Swiss Combi has been budgeted as £151.5M for 2001, and £59.7M of expenditure has been incurred in the first 6 months. The period 3 forecast was that the expenditure for the year would fall to £143M, and this remains the target for the year.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75"/>
        </w:tabs>
        <w:ind w:start="375" w:hanging="375"/>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sz w:val="22"/>
      <w:u w:val="single"/>
    </w:rPr>
  </w:style>
  <w:style w:type="paragraph" w:styleId="Heading5">
    <w:name w:val="heading 5"/>
    <w:basedOn w:val="Normal"/>
    <w:next w:val="Normal"/>
    <w:qFormat/>
    <w:pPr>
      <w:keepNext w:val="true"/>
      <w:numPr>
        <w:ilvl w:val="4"/>
        <w:numId w:val="1"/>
      </w:numPr>
      <w:outlineLvl w:val="4"/>
    </w:pPr>
    <w:rPr>
      <w:rFonts w:ascii="Arial" w:hAnsi="Arial" w:cs="Arial"/>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44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3">
    <w:name w:val="Body Text 3"/>
    <w:basedOn w:val="Normal"/>
    <w:qFormat/>
    <w:pPr>
      <w:ind w:hanging="0" w:start="0" w:end="-9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2001-07-17T12:30:00Z</dcterms:created>
  <dc:creator>EI</dc:creator>
  <dc:description/>
  <dc:language>en-CA</dc:language>
  <cp:lastModifiedBy>EI</cp:lastModifiedBy>
  <cp:lastPrinted>2001-07-16T13:03:00Z</cp:lastPrinted>
  <dcterms:modified xsi:type="dcterms:W3CDTF">2001-07-17T12:30:00Z</dcterms:modified>
  <cp:revision>2</cp:revision>
  <dc:subject/>
  <dc:title>Azurix XXXXXXXXXX</dc:title>
</cp:coreProperties>
</file>