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Questar Pipeline Company or any other pipeline connected to the Williams Field Services Opal Plant tailgate in Sweetwater County, Wyoming. </w:t>
      </w:r>
    </w:p>
    <w:p>
      <w:pPr>
        <w:pStyle w:val="BodyTextIndent3"/>
        <w:rPr>
          <w:b/>
          <w:bCs/>
        </w:rPr>
      </w:pPr>
      <w:r>
        <w:rPr/>
        <w:t>CONTRACT PRICE (per MMBtu):</w:t>
        <w:tab/>
        <w:t>The average of the settlement prices of the NYMEX Henry Hub gas futures contract for the last three (3) trading days of the applicable Delivery Month minus $0.30</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OTHER:</w:t>
        <w:tab/>
        <w:tab/>
        <w:tab/>
        <w:t xml:space="preserve">                                                                None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/mnt/main-storage/datasets/enron-docs/doc/AEC_opal_Nymex1.doc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AEC_opal_Nymex1.doc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2001-02-15T16:46:00Z</dcterms:created>
  <dc:creator>dhyvl</dc:creator>
  <dc:description/>
  <dc:language>en-CA</dc:language>
  <cp:lastModifiedBy>gnemec</cp:lastModifiedBy>
  <cp:lastPrinted>2001-02-15T13:20:00Z</cp:lastPrinted>
  <dcterms:modified xsi:type="dcterms:W3CDTF">2001-02-15T18:23:00Z</dcterms:modified>
  <cp:revision>8</cp:revision>
  <dc:subject/>
  <dc:title>June 1,  2000</dc:title>
</cp:coreProperties>
</file>