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AEC Marketing (USA),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w:t>
      </w:r>
      <w:r>
        <w:rPr>
          <w:rFonts w:cs="Arial Narrow" w:ascii="Arial Narrow" w:hAnsi="Arial Narrow"/>
          <w:sz w:val="18"/>
          <w:highlight w:val="yellow"/>
        </w:rPr>
        <w:t>All terminated Transactions shall be netted against each other.</w:t>
      </w:r>
      <w:r>
        <w:rPr>
          <w:rFonts w:cs="Arial Narrow" w:ascii="Arial Narrow" w:hAnsi="Arial Narrow"/>
          <w:sz w:val="18"/>
        </w:rPr>
        <w:t xml:space="preserve">  The Notifying Party shall give the Affected Party (defined in </w:t>
      </w:r>
      <w:r>
        <w:rPr>
          <w:rFonts w:cs="Arial Narrow" w:ascii="Arial Narrow" w:hAnsi="Arial Narrow"/>
          <w:sz w:val="18"/>
          <w:u w:val="single"/>
        </w:rPr>
        <w:t>Section 4.2</w:t>
      </w:r>
      <w:r>
        <w:rPr>
          <w:rFonts w:cs="Arial Narrow" w:ascii="Arial Narrow" w:hAnsi="Arial Narrow"/>
          <w:sz w:val="18"/>
        </w:rPr>
        <w:t>) written notice of the amount of the Termination Payment, inclusive of a statement showing its determination</w:t>
      </w:r>
      <w:r>
        <w:rPr>
          <w:rFonts w:cs="Arial Narrow" w:ascii="Arial Narrow" w:hAnsi="Arial Narrow"/>
          <w:sz w:val="18"/>
          <w:highlight w:val="yellow"/>
        </w:rPr>
        <w:t>.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w:t>
      </w:r>
      <w:r>
        <w:rPr>
          <w:rFonts w:cs="Arial Narrow" w:ascii="Arial Narrow" w:hAnsi="Arial Narrow"/>
          <w:sz w:val="18"/>
        </w:rPr>
        <w:t xml:space="preserv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w:t>
      </w:r>
      <w:r>
        <w:rPr>
          <w:rFonts w:cs="Arial Narrow" w:ascii="Arial Narrow" w:hAnsi="Arial Narrow"/>
          <w:sz w:val="18"/>
          <w:highlight w:val="yellow"/>
        </w:rPr>
        <w:t>.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w:t>
      </w:r>
      <w:r>
        <w:rPr>
          <w:rFonts w:cs="Arial Narrow" w:ascii="Arial Narrow" w:hAnsi="Arial Narrow"/>
          <w:sz w:val="18"/>
          <w:highlight w:val="yellow"/>
        </w:rPr>
        <w:t>$100,000,000,</w:t>
      </w:r>
      <w:r>
        <w:rPr>
          <w:rFonts w:cs="Arial Narrow" w:ascii="Arial Narrow" w:hAnsi="Arial Narrow"/>
          <w:sz w:val="18"/>
        </w:rPr>
        <w:t xml:space="preserve"> or with respect to Customer, at any time, </w:t>
      </w:r>
      <w:r>
        <w:rPr>
          <w:rFonts w:cs="Arial Narrow" w:ascii="Arial Narrow" w:hAnsi="Arial Narrow"/>
          <w:sz w:val="18"/>
          <w:highlight w:val="yellow"/>
        </w:rPr>
        <w:t>Alberta Energy Company Ltd.</w:t>
      </w:r>
      <w:r>
        <w:rPr>
          <w:rFonts w:cs="Arial Narrow" w:ascii="Arial Narrow" w:hAnsi="Arial Narrow"/>
          <w:sz w:val="18"/>
        </w:rPr>
        <w:t xml:space="preserve"> shall have defaulted on its indebted</w:t>
        <w:softHyphen/>
        <w:t xml:space="preserve">ness to third parties, resulting in an acceleration of obligations of </w:t>
      </w:r>
      <w:r>
        <w:rPr>
          <w:rFonts w:cs="Arial Narrow" w:ascii="Arial Narrow" w:hAnsi="Arial Narrow"/>
          <w:sz w:val="18"/>
          <w:highlight w:val="yellow"/>
        </w:rPr>
        <w:t>Alberta Energy Company Ltd. in excess of $50,000,000,</w:t>
      </w:r>
      <w:r>
        <w:rPr>
          <w:rFonts w:cs="Arial Narrow" w:ascii="Arial Narrow" w:hAnsi="Arial Narrow"/>
          <w:sz w:val="18"/>
        </w:rPr>
        <w:t xml:space="preserve">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w:t>
      </w:r>
      <w:r>
        <w:rPr>
          <w:rFonts w:cs="Arial Narrow" w:ascii="Arial Narrow" w:hAnsi="Arial Narrow"/>
          <w:sz w:val="18"/>
          <w:highlight w:val="yellow"/>
        </w:rPr>
        <w:t xml:space="preserve">Each Party reserves to itself all rights, set-offs, counterclaims and other remedies and defenses consistent with </w:t>
      </w:r>
      <w:r>
        <w:rPr>
          <w:rFonts w:cs="Arial Narrow" w:ascii="Arial Narrow" w:hAnsi="Arial Narrow"/>
          <w:sz w:val="18"/>
          <w:highlight w:val="yellow"/>
          <w:u w:val="single"/>
        </w:rPr>
        <w:t>Section 8.3</w:t>
      </w:r>
      <w:r>
        <w:rPr>
          <w:rFonts w:cs="Arial Narrow" w:ascii="Arial Narrow" w:hAnsi="Arial Narrow"/>
          <w:sz w:val="18"/>
          <w:highlight w:val="yellow"/>
        </w:rPr>
        <w:t xml:space="preserve"> (to the extent not expressly herein waived or denied) which such Party has or may be entitled.</w:t>
      </w:r>
      <w:r>
        <w:rPr>
          <w:rFonts w:cs="Arial Narrow" w:ascii="Arial Narrow" w:hAnsi="Arial Narrow"/>
          <w:sz w:val="18"/>
        </w:rPr>
        <w:t xml:space="preserve">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highlight w:val="yellow"/>
        </w:rPr>
        <w:t xml:space="preserve">4.6. </w:t>
      </w:r>
      <w:r>
        <w:rPr>
          <w:rFonts w:cs="Arial Narrow" w:ascii="Arial Narrow" w:hAnsi="Arial Narrow"/>
          <w:b/>
          <w:sz w:val="18"/>
          <w:highlight w:val="yellow"/>
          <w:u w:val="single"/>
        </w:rPr>
        <w:t>Collateral Requirement/Termination Payment Threshold</w:t>
      </w:r>
      <w:r>
        <w:rPr>
          <w:rFonts w:cs="Arial Narrow" w:ascii="Arial Narrow" w:hAnsi="Arial Narrow"/>
          <w:sz w:val="18"/>
          <w:highlight w:val="yellow"/>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highlight w:val="yellow"/>
          <w:u w:val="single"/>
        </w:rPr>
        <w:t>any</w:t>
      </w:r>
      <w:r>
        <w:rPr>
          <w:rFonts w:cs="Arial Narrow" w:ascii="Arial Narrow" w:hAnsi="Arial Narrow"/>
          <w:sz w:val="18"/>
          <w:highlight w:val="yellow"/>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highlight w:val="yellow"/>
          <w:u w:val="single"/>
        </w:rPr>
        <w:t>any</w:t>
      </w:r>
      <w:r>
        <w:rPr>
          <w:rFonts w:cs="Arial Narrow" w:ascii="Arial Narrow" w:hAnsi="Arial Narrow"/>
          <w:sz w:val="18"/>
          <w:highlight w:val="yellow"/>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rFonts w:ascii="Arial Narrow" w:hAnsi="Arial Narrow" w:cs="Arial Narrow"/>
          <w:sz w:val="18"/>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w:t>
      </w:r>
      <w:r>
        <w:rPr>
          <w:rFonts w:cs="Arial Narrow" w:ascii="Arial Narrow" w:hAnsi="Arial Narrow"/>
          <w:sz w:val="18"/>
          <w:highlight w:val="yellow"/>
        </w:rPr>
        <w:t xml:space="preserve">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highlight w:val="yellow"/>
          <w:u w:val="single"/>
        </w:rPr>
        <w:t>Section 8.2</w:t>
      </w:r>
      <w:r>
        <w:rPr>
          <w:rFonts w:cs="Arial Narrow" w:ascii="Arial Narrow" w:hAnsi="Arial Narrow"/>
          <w:sz w:val="18"/>
          <w:highlight w:val="yellow"/>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AEC MARKETING (USA),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/mnt/main-storage/datasets/enron-docs/doc/AEC_MARKETING___USA___Highlighted.doc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rPr>
      </w:pPr>
      <w:r>
        <w:rPr>
          <w:rFonts w:cs="Arial Narrow" w:ascii="Arial Narrow" w:hAnsi="Arial Narrow"/>
          <w:sz w:val="18"/>
          <w:highlight w:val="yellow"/>
          <w:u w:val="single"/>
        </w:rPr>
        <w:t>"</w:t>
      </w:r>
      <w:r>
        <w:rPr>
          <w:rFonts w:cs="Arial Narrow" w:ascii="Arial Narrow" w:hAnsi="Arial Narrow"/>
          <w:b/>
          <w:i/>
          <w:sz w:val="18"/>
          <w:highlight w:val="yellow"/>
          <w:u w:val="single"/>
        </w:rPr>
        <w:t>Affiliate</w:t>
      </w:r>
      <w:r>
        <w:rPr>
          <w:rFonts w:cs="Arial Narrow" w:ascii="Arial Narrow" w:hAnsi="Arial Narrow"/>
          <w:sz w:val="18"/>
          <w:highlight w:val="yellow"/>
          <w:u w:val="single"/>
        </w:rPr>
        <w:t>”</w:t>
      </w:r>
      <w:r>
        <w:rPr>
          <w:rFonts w:cs="Arial Narrow" w:ascii="Arial Narrow" w:hAnsi="Arial Narrow"/>
          <w:sz w:val="18"/>
          <w:highlight w:val="yellow"/>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Alberta Energy Company Ltd.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sz w:val="18"/>
        </w:rPr>
      </w:pPr>
      <w:r>
        <w:rPr>
          <w:rFonts w:cs="Arial Narrow" w:ascii="Arial Narrow" w:hAnsi="Arial Narrow"/>
          <w:sz w:val="18"/>
          <w:highlight w:val="yellow"/>
        </w:rPr>
        <w:t>"</w:t>
      </w:r>
      <w:r>
        <w:rPr>
          <w:rFonts w:cs="Arial Narrow" w:ascii="Arial Narrow" w:hAnsi="Arial Narrow"/>
          <w:b/>
          <w:i/>
          <w:sz w:val="18"/>
          <w:highlight w:val="yellow"/>
          <w:u w:val="single"/>
        </w:rPr>
        <w:t>Material Adverse Change</w:t>
      </w:r>
      <w:r>
        <w:rPr>
          <w:rFonts w:cs="Arial Narrow" w:ascii="Arial Narrow" w:hAnsi="Arial Narrow"/>
          <w:sz w:val="18"/>
          <w:highlight w:val="yellow"/>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AEC Marketing (USA),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AEC Marketing (USA),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AEC MARKETING (USA),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1,2001, is made and entered into between Alberta Energy Company Ltd.,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AEC Marketing (USA),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ALBERTA ENERGY COMPANY LTD.</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2001-02-16T16:43:00Z</dcterms:created>
  <dc:creator>dperlin</dc:creator>
  <dc:description/>
  <dc:language>en-CA</dc:language>
  <cp:lastModifiedBy>gnemec</cp:lastModifiedBy>
  <cp:lastPrinted>2001-02-15T09:50:00Z</cp:lastPrinted>
  <dcterms:modified xsi:type="dcterms:W3CDTF">2001-02-16T16:49:00Z</dcterms:modified>
  <cp:revision>3</cp:revision>
  <dc:subject/>
  <dc:title>ENFOLIO® MASTER FIRM PURCHASE/SALE AGREEMENT</dc:title>
</cp:coreProperties>
</file>