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Queries from ADS will be saved into CSV format and are arranged in order as provided below.  The column titled “Data” contains the field titles in the query.  The column “Data Type” contains the data type of the field as defined in the originating ISO database.  Within this column, the numbers in parenthesis represent the maximum width of the field.  In the case of a NUMBER data type followed by two numbers separated by a comma, the first number represents the maximum width and the second number represents the maximum number of decimal places.</w:t>
      </w:r>
    </w:p>
    <w:p>
      <w:pPr>
        <w:pStyle w:val="Normal"/>
        <w:rPr>
          <w:sz w:val="24"/>
        </w:rPr>
      </w:pPr>
      <w:r>
        <w:rPr>
          <w:sz w:val="24"/>
        </w:rPr>
      </w:r>
    </w:p>
    <w:p>
      <w:pPr>
        <w:pStyle w:val="Normal"/>
        <w:ind w:start="-1080" w:end="0"/>
        <w:rPr>
          <w:rFonts w:ascii="Arial" w:hAnsi="Arial" w:cs="Arial"/>
          <w:color w:val="000000"/>
          <w:sz w:val="18"/>
        </w:rPr>
      </w:pPr>
      <w:r>
        <w:rPr>
          <w:rFonts w:cs="Arial" w:ascii="Arial" w:hAnsi="Arial"/>
          <w:color w:val="000000"/>
          <w:sz w:val="18"/>
        </w:rPr>
      </w:r>
    </w:p>
    <w:tbl>
      <w:tblPr>
        <w:tblW w:w="10207" w:type="dxa"/>
        <w:jc w:val="start"/>
        <w:tblInd w:w="108" w:type="dxa"/>
        <w:tblLayout w:type="fixed"/>
        <w:tblCellMar>
          <w:top w:w="0" w:type="dxa"/>
          <w:start w:w="108" w:type="dxa"/>
          <w:bottom w:w="0" w:type="dxa"/>
          <w:end w:w="108" w:type="dxa"/>
        </w:tblCellMar>
      </w:tblPr>
      <w:tblGrid>
        <w:gridCol w:w="2556"/>
        <w:gridCol w:w="2844"/>
        <w:gridCol w:w="2250"/>
        <w:gridCol w:w="2557"/>
      </w:tblGrid>
      <w:tr>
        <w:trPr>
          <w:trHeight w:val="282"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ind w:start="-18" w:end="0"/>
              <w:jc w:val="center"/>
              <w:rPr>
                <w:b/>
                <w:color w:val="000000"/>
                <w:sz w:val="24"/>
              </w:rPr>
            </w:pPr>
            <w:r>
              <w:rPr>
                <w:b/>
                <w:color w:val="000000"/>
                <w:sz w:val="24"/>
              </w:rPr>
              <w:t>Data</w:t>
            </w:r>
          </w:p>
        </w:tc>
        <w:tc>
          <w:tcPr>
            <w:tcW w:w="2844" w:type="dxa"/>
            <w:tcBorders>
              <w:top w:val="single" w:sz="12" w:space="0" w:color="000000"/>
              <w:start w:val="single" w:sz="12" w:space="0" w:color="000000"/>
              <w:bottom w:val="single" w:sz="12" w:space="0" w:color="000000"/>
              <w:end w:val="single" w:sz="12" w:space="0" w:color="000000"/>
            </w:tcBorders>
          </w:tcPr>
          <w:p>
            <w:pPr>
              <w:pStyle w:val="Heading6"/>
              <w:ind w:start="0" w:end="0"/>
              <w:rPr>
                <w:rFonts w:ascii="Times New Roman" w:hAnsi="Times New Roman" w:cs="Times New Roman"/>
                <w:sz w:val="24"/>
              </w:rPr>
            </w:pPr>
            <w:r>
              <w:rPr>
                <w:rFonts w:cs="Times New Roman" w:ascii="Times New Roman" w:hAnsi="Times New Roman"/>
                <w:sz w:val="24"/>
              </w:rPr>
              <w:t>Description</w:t>
            </w:r>
          </w:p>
        </w:tc>
        <w:tc>
          <w:tcPr>
            <w:tcW w:w="2250" w:type="dxa"/>
            <w:tcBorders>
              <w:top w:val="single" w:sz="12" w:space="0" w:color="000000"/>
              <w:start w:val="single" w:sz="12" w:space="0" w:color="000000"/>
              <w:bottom w:val="single" w:sz="12" w:space="0" w:color="000000"/>
              <w:end w:val="single" w:sz="12" w:space="0" w:color="000000"/>
            </w:tcBorders>
          </w:tcPr>
          <w:p>
            <w:pPr>
              <w:pStyle w:val="Heading7"/>
              <w:rPr>
                <w:rFonts w:ascii="Times New Roman" w:hAnsi="Times New Roman" w:cs="Times New Roman"/>
                <w:sz w:val="24"/>
              </w:rPr>
            </w:pPr>
            <w:r>
              <w:rPr>
                <w:rFonts w:cs="Times New Roman" w:ascii="Times New Roman" w:hAnsi="Times New Roman"/>
                <w:sz w:val="24"/>
              </w:rPr>
              <w:t>Data Type</w:t>
            </w:r>
          </w:p>
        </w:tc>
        <w:tc>
          <w:tcPr>
            <w:tcW w:w="2557" w:type="dxa"/>
            <w:tcBorders>
              <w:top w:val="single" w:sz="12" w:space="0" w:color="000000"/>
              <w:start w:val="single" w:sz="12" w:space="0" w:color="000000"/>
              <w:bottom w:val="single" w:sz="12" w:space="0" w:color="000000"/>
              <w:end w:val="single" w:sz="12" w:space="0" w:color="000000"/>
            </w:tcBorders>
          </w:tcPr>
          <w:p>
            <w:pPr>
              <w:pStyle w:val="Heading8"/>
              <w:rPr>
                <w:rFonts w:ascii="Times New Roman" w:hAnsi="Times New Roman" w:cs="Times New Roman"/>
                <w:sz w:val="24"/>
              </w:rPr>
            </w:pPr>
            <w:r>
              <w:rPr>
                <w:rFonts w:cs="Times New Roman" w:ascii="Times New Roman" w:hAnsi="Times New Roman"/>
                <w:sz w:val="24"/>
              </w:rPr>
              <w:t>Possible Entries</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Operation|Date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Operating date of dispatch instruction.</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DATE</w:t>
            </w:r>
          </w:p>
        </w:tc>
        <w:tc>
          <w:tcPr>
            <w:tcW w:w="2557" w:type="dxa"/>
            <w:tcBorders>
              <w:top w:val="single" w:sz="12" w:space="0" w:color="000000"/>
              <w:start w:val="single" w:sz="12" w:space="0" w:color="000000"/>
              <w:bottom w:val="single" w:sz="12" w:space="0" w:color="000000"/>
              <w:end w:val="single" w:sz="12" w:space="0" w:color="000000"/>
            </w:tcBorders>
          </w:tcPr>
          <w:p>
            <w:pPr>
              <w:pStyle w:val="Normal"/>
              <w:snapToGrid w:val="false"/>
              <w:ind w:start="-37" w:end="0"/>
              <w:jc w:val="center"/>
              <w:rPr>
                <w:color w:val="000000"/>
                <w:sz w:val="24"/>
              </w:rPr>
            </w:pPr>
            <w:r>
              <w:rPr>
                <w:color w:val="000000"/>
                <w:sz w:val="24"/>
              </w:rPr>
            </w:r>
          </w:p>
        </w:tc>
      </w:tr>
      <w:tr>
        <w:trPr>
          <w:trHeight w:val="303"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ind w:start="-18" w:end="0"/>
              <w:jc w:val="center"/>
              <w:rPr>
                <w:color w:val="000000"/>
                <w:sz w:val="24"/>
              </w:rPr>
            </w:pPr>
            <w:r>
              <w:rPr>
                <w:color w:val="000000"/>
                <w:sz w:val="24"/>
                <w:lang w:eastAsia="en-US"/>
              </w:rPr>
              <w:t>Oper Hour|Ending</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Operating interval for the dispatch instruction.  Hour ending format.</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1-25</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Operation|Minute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Minute of the hour that the dispatch was sent.</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1 – 60</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ind w:start="-18" w:end="0"/>
              <w:jc w:val="center"/>
              <w:rPr>
                <w:color w:val="000000"/>
                <w:sz w:val="24"/>
              </w:rPr>
            </w:pPr>
            <w:r>
              <w:rPr>
                <w:color w:val="000000"/>
                <w:sz w:val="24"/>
                <w:lang w:eastAsia="en-US"/>
              </w:rPr>
              <w:t>Interval</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Operating interval for the dispatch instruction.</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NUMBER(1)</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1-6</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Instr|Class</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sz w:val="24"/>
              </w:rPr>
              <w:t>Denotes In-Sequence vs Pre-Dispatch vs Out-of Sequence instructions.  In-Sequence (SEQ) represents standard sequence instructions.  Pre-Dispatch (PRE) represents instructions that were arranged and agreed to prior to the operating hour.  Out-of-Sequence (OOS) represents out-of sequence, out-of-market, and reliability-must-run instructions.</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VARCHAR2(3)</w:t>
            </w:r>
          </w:p>
        </w:tc>
        <w:tc>
          <w:tcPr>
            <w:tcW w:w="2557" w:type="dxa"/>
            <w:tcBorders>
              <w:top w:val="single" w:sz="12" w:space="0" w:color="000000"/>
              <w:start w:val="single" w:sz="12" w:space="0" w:color="000000"/>
              <w:bottom w:val="single" w:sz="12" w:space="0" w:color="000000"/>
              <w:end w:val="single" w:sz="12" w:space="0" w:color="000000"/>
            </w:tcBorders>
          </w:tcPr>
          <w:p>
            <w:pPr>
              <w:pStyle w:val="Normal"/>
              <w:rPr>
                <w:sz w:val="24"/>
              </w:rPr>
            </w:pPr>
            <w:r>
              <w:rPr>
                <w:sz w:val="24"/>
              </w:rPr>
              <w:t>SEQ, PRE, OOS</w:t>
            </w:r>
          </w:p>
          <w:p>
            <w:pPr>
              <w:pStyle w:val="Normal"/>
              <w:ind w:start="-37" w:end="0"/>
              <w:rPr>
                <w:color w:val="000000"/>
                <w:sz w:val="24"/>
              </w:rPr>
            </w:pPr>
            <w:r>
              <w:rPr>
                <w:sz w:val="24"/>
              </w:rPr>
              <w:t>Instructions that are both OOS and PRE will be labeled as PRE.</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Resource ID</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Resource ID.</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VARCHAR2(32)</w:t>
            </w:r>
          </w:p>
        </w:tc>
        <w:tc>
          <w:tcPr>
            <w:tcW w:w="2557" w:type="dxa"/>
            <w:tcBorders>
              <w:top w:val="single" w:sz="12" w:space="0" w:color="000000"/>
              <w:start w:val="single" w:sz="12" w:space="0" w:color="000000"/>
              <w:bottom w:val="single" w:sz="12" w:space="0" w:color="000000"/>
              <w:end w:val="single" w:sz="12" w:space="0" w:color="000000"/>
            </w:tcBorders>
          </w:tcPr>
          <w:p>
            <w:pPr>
              <w:pStyle w:val="Normal"/>
              <w:snapToGrid w:val="false"/>
              <w:ind w:start="-37" w:end="0"/>
              <w:jc w:val="center"/>
              <w:rPr>
                <w:color w:val="000000"/>
                <w:sz w:val="24"/>
              </w:rPr>
            </w:pPr>
            <w:r>
              <w:rPr>
                <w:color w:val="000000"/>
                <w:sz w:val="24"/>
              </w:rPr>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Interchange ID</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Unique interchange identifier.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sz w:val="24"/>
              </w:rPr>
            </w:pPr>
            <w:r>
              <w:rPr>
                <w:sz w:val="24"/>
              </w:rPr>
              <w:t>VARCHAR2(32)</w:t>
            </w:r>
          </w:p>
        </w:tc>
        <w:tc>
          <w:tcPr>
            <w:tcW w:w="2557" w:type="dxa"/>
            <w:tcBorders>
              <w:top w:val="single" w:sz="12" w:space="0" w:color="000000"/>
              <w:start w:val="single" w:sz="12" w:space="0" w:color="000000"/>
              <w:bottom w:val="single" w:sz="12" w:space="0" w:color="000000"/>
              <w:end w:val="single" w:sz="12" w:space="0" w:color="000000"/>
            </w:tcBorders>
          </w:tcPr>
          <w:p>
            <w:pPr>
              <w:pStyle w:val="Normal"/>
              <w:snapToGrid w:val="false"/>
              <w:ind w:start="-37" w:end="0"/>
              <w:jc w:val="center"/>
              <w:rPr>
                <w:color w:val="000000"/>
                <w:sz w:val="24"/>
              </w:rPr>
            </w:pPr>
            <w:r>
              <w:rPr>
                <w:color w:val="000000"/>
                <w:sz w:val="24"/>
              </w:rPr>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Service|Type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Type of service provided.</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VARCHAR2(4)</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SPIN, NSPN, RPLC, SUPP, OSM, RMR</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ind w:start="-18" w:end="0"/>
              <w:jc w:val="center"/>
              <w:rPr>
                <w:color w:val="000000"/>
                <w:sz w:val="24"/>
              </w:rPr>
            </w:pPr>
            <w:r>
              <w:rPr>
                <w:color w:val="000000"/>
                <w:sz w:val="24"/>
                <w:lang w:eastAsia="en-US"/>
              </w:rPr>
              <w:t>Status</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Accept Status.  Will be null for pre-dispatch and cancelled instructions, as well as non-responses that were not manually changed by the ISO dispatcher.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VARCHAR2(8)</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ACCEPT, PARTIAL, DECLINE, [NULL]</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SC ID</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Scheduling Coordinator ID</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VARCHAR2(12)</w:t>
            </w:r>
          </w:p>
        </w:tc>
        <w:tc>
          <w:tcPr>
            <w:tcW w:w="2557" w:type="dxa"/>
            <w:tcBorders>
              <w:top w:val="single" w:sz="12" w:space="0" w:color="000000"/>
              <w:start w:val="single" w:sz="12" w:space="0" w:color="000000"/>
              <w:bottom w:val="single" w:sz="12" w:space="0" w:color="000000"/>
              <w:end w:val="single" w:sz="12" w:space="0" w:color="000000"/>
            </w:tcBorders>
          </w:tcPr>
          <w:p>
            <w:pPr>
              <w:pStyle w:val="Normal"/>
              <w:snapToGrid w:val="false"/>
              <w:ind w:start="-37" w:end="0"/>
              <w:jc w:val="center"/>
              <w:rPr>
                <w:color w:val="000000"/>
                <w:sz w:val="24"/>
              </w:rPr>
            </w:pPr>
            <w:r>
              <w:rPr>
                <w:color w:val="000000"/>
                <w:sz w:val="24"/>
              </w:rPr>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Cong|Zone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Congestion zone in which the resource ID is located.</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VARCHAR2(32)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NP15, SP15, SF, ZP26, HUMB</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Ramp|Rate</w:t>
            </w:r>
          </w:p>
        </w:tc>
        <w:tc>
          <w:tcPr>
            <w:tcW w:w="2844" w:type="dxa"/>
            <w:tcBorders>
              <w:top w:val="single" w:sz="12" w:space="0" w:color="000000"/>
              <w:start w:val="single" w:sz="12" w:space="0" w:color="000000"/>
              <w:bottom w:val="single" w:sz="12" w:space="0" w:color="000000"/>
              <w:end w:val="single" w:sz="12" w:space="0" w:color="000000"/>
            </w:tcBorders>
          </w:tcPr>
          <w:p>
            <w:pPr>
              <w:pStyle w:val="Normal"/>
              <w:ind w:end="-86"/>
              <w:jc w:val="center"/>
              <w:rPr>
                <w:color w:val="000000"/>
                <w:sz w:val="24"/>
              </w:rPr>
            </w:pPr>
            <w:r>
              <w:rPr>
                <w:color w:val="000000"/>
                <w:sz w:val="24"/>
              </w:rPr>
              <w:t>Resource ramp rate.</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86"/>
              <w:jc w:val="center"/>
              <w:rPr>
                <w:color w:val="000000"/>
                <w:sz w:val="24"/>
              </w:rPr>
            </w:pPr>
            <w:r>
              <w:rPr>
                <w:color w:val="000000"/>
                <w:sz w:val="24"/>
              </w:rPr>
              <w:t>NUMBER(5,2)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86"/>
              <w:jc w:val="center"/>
              <w:rPr>
                <w:color w:val="000000"/>
                <w:sz w:val="24"/>
              </w:rPr>
            </w:pPr>
            <w:r>
              <w:rPr>
                <w:color w:val="000000"/>
                <w:sz w:val="24"/>
              </w:rPr>
              <w:t>0-999.99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Bid|Price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Bid price for the block of energy requested.  Will be the most expensive block of energy taken, or the target price, whichever is greater.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keepNext w:val="true"/>
              <w:jc w:val="center"/>
              <w:rPr>
                <w:color w:val="000000"/>
                <w:sz w:val="24"/>
                <w:lang w:eastAsia="en-US"/>
              </w:rPr>
            </w:pPr>
            <w:r>
              <w:rPr>
                <w:color w:val="000000"/>
                <w:sz w:val="24"/>
                <w:lang w:eastAsia="en-US"/>
              </w:rPr>
              <w:t>Instr|MW</w:t>
            </w:r>
          </w:p>
        </w:tc>
        <w:tc>
          <w:tcPr>
            <w:tcW w:w="2844" w:type="dxa"/>
            <w:tcBorders>
              <w:top w:val="single" w:sz="12" w:space="0" w:color="000000"/>
              <w:start w:val="single" w:sz="12" w:space="0" w:color="000000"/>
              <w:bottom w:val="single" w:sz="12" w:space="0" w:color="000000"/>
              <w:end w:val="single" w:sz="12" w:space="0" w:color="000000"/>
            </w:tcBorders>
          </w:tcPr>
          <w:p>
            <w:pPr>
              <w:pStyle w:val="Normal"/>
              <w:keepNext w:val="true"/>
              <w:jc w:val="center"/>
              <w:rPr>
                <w:color w:val="000000"/>
                <w:sz w:val="24"/>
              </w:rPr>
            </w:pPr>
            <w:r>
              <w:rPr>
                <w:color w:val="000000"/>
                <w:sz w:val="24"/>
              </w:rPr>
              <w:t>MW value of the current requested instruction.</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Heading5"/>
              <w:ind w:hanging="0" w:start="0"/>
              <w:rPr/>
            </w:pPr>
            <w:r>
              <w:rPr/>
              <w:t>Cum|MW</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Accumulated MW dispatch for the hour, through the last accepted instruction.</w:t>
            </w:r>
          </w:p>
        </w:tc>
        <w:tc>
          <w:tcPr>
            <w:tcW w:w="2250" w:type="dxa"/>
            <w:tcBorders>
              <w:top w:val="single" w:sz="12" w:space="0" w:color="000000"/>
              <w:start w:val="single" w:sz="12" w:space="0" w:color="000000"/>
              <w:bottom w:val="single" w:sz="12" w:space="0" w:color="000000"/>
              <w:end w:val="single" w:sz="12" w:space="0" w:color="000000"/>
            </w:tcBorders>
          </w:tcPr>
          <w:p>
            <w:pPr>
              <w:pStyle w:val="Heading9"/>
              <w:spacing w:before="0" w:after="0"/>
              <w:ind w:start="0" w:end="0"/>
              <w:rPr/>
            </w:pPr>
            <w:r>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Heading5"/>
              <w:ind w:hanging="0" w:start="0"/>
              <w:rPr/>
            </w:pPr>
            <w:r>
              <w:rPr/>
              <w:t>Final|HA</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Final Hour Ahead energy schedule.</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Meter|MW</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Actual MW telemetry reading from the resource as reported to the EMS system.</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Accept|MW</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MW value accepted by the participant.</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NUMBER(6,2)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-9999.99 – 9999.99</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Start Hr|Ending</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Operating hour in which the participant responds to the instruction.  Hour ending format. Will be null for pre-dispatch and cancelled instructions, as well as non-responses that were not manually changed by the ISO dispatcher.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1-25, [NULL]</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Heading5"/>
              <w:keepNext w:val="false"/>
              <w:ind w:hanging="0" w:start="0"/>
              <w:rPr/>
            </w:pPr>
            <w:r>
              <w:rPr/>
              <w:t>Start|Minute</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Operating minute in which the participant responds to the instruction. Will be null for pre-dispatch and cancelled instructions, as well as non-responses that were not manually changed by the ISO dispatcher.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NUMBER(2)</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1-60, [NULL]</w:t>
            </w:r>
          </w:p>
        </w:tc>
      </w:tr>
      <w:tr>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Reason</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Reason provided by MP in the event of a Partial Accept or Decline response.</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NUMBER(3)</w:t>
            </w:r>
          </w:p>
        </w:tc>
        <w:tc>
          <w:tcPr>
            <w:tcW w:w="2557" w:type="dxa"/>
            <w:tcBorders>
              <w:top w:val="single" w:sz="12" w:space="0" w:color="000000"/>
              <w:start w:val="single" w:sz="12" w:space="0" w:color="000000"/>
              <w:bottom w:val="single" w:sz="12" w:space="0" w:color="000000"/>
              <w:end w:val="single" w:sz="12" w:space="0" w:color="000000"/>
            </w:tcBorders>
          </w:tcPr>
          <w:p>
            <w:pPr>
              <w:pStyle w:val="Header"/>
              <w:widowControl/>
              <w:tabs>
                <w:tab w:val="clear" w:pos="4320"/>
                <w:tab w:val="clear" w:pos="8640"/>
                <w:tab w:val="left" w:pos="323" w:leader="none"/>
              </w:tabs>
              <w:rPr>
                <w:lang w:eastAsia="en-CA"/>
              </w:rPr>
            </w:pPr>
            <w:r>
              <w:rPr>
                <w:lang w:eastAsia="en-CA"/>
              </w:rPr>
              <w:t>1=</w:t>
              <w:tab/>
              <w:t>Water Management</w:t>
            </w:r>
          </w:p>
          <w:p>
            <w:pPr>
              <w:pStyle w:val="Header"/>
              <w:widowControl/>
              <w:tabs>
                <w:tab w:val="clear" w:pos="4320"/>
                <w:tab w:val="clear" w:pos="8640"/>
                <w:tab w:val="left" w:pos="323" w:leader="none"/>
              </w:tabs>
              <w:rPr>
                <w:lang w:eastAsia="en-CA"/>
              </w:rPr>
            </w:pPr>
            <w:r>
              <w:rPr>
                <w:lang w:eastAsia="en-CA"/>
              </w:rPr>
              <w:t>2=</w:t>
              <w:tab/>
              <w:t>Equipment Failure</w:t>
            </w:r>
          </w:p>
          <w:p>
            <w:pPr>
              <w:pStyle w:val="Header"/>
              <w:widowControl/>
              <w:tabs>
                <w:tab w:val="clear" w:pos="4320"/>
                <w:tab w:val="clear" w:pos="8640"/>
                <w:tab w:val="left" w:pos="323" w:leader="none"/>
              </w:tabs>
              <w:rPr>
                <w:lang w:eastAsia="en-CA"/>
              </w:rPr>
            </w:pPr>
            <w:r>
              <w:rPr>
                <w:lang w:eastAsia="en-CA"/>
              </w:rPr>
              <w:t>3=</w:t>
              <w:tab/>
              <w:t>Unit Forced Out</w:t>
            </w:r>
          </w:p>
          <w:p>
            <w:pPr>
              <w:pStyle w:val="Header"/>
              <w:widowControl/>
              <w:tabs>
                <w:tab w:val="clear" w:pos="4320"/>
                <w:tab w:val="clear" w:pos="8640"/>
                <w:tab w:val="left" w:pos="323" w:leader="none"/>
              </w:tabs>
              <w:rPr>
                <w:lang w:eastAsia="en-CA"/>
              </w:rPr>
            </w:pPr>
            <w:r>
              <w:rPr>
                <w:lang w:eastAsia="en-CA"/>
              </w:rPr>
              <w:t>4=</w:t>
              <w:tab/>
              <w:t>Safety</w:t>
            </w:r>
          </w:p>
          <w:p>
            <w:pPr>
              <w:pStyle w:val="Header"/>
              <w:widowControl/>
              <w:tabs>
                <w:tab w:val="clear" w:pos="4320"/>
                <w:tab w:val="clear" w:pos="8640"/>
                <w:tab w:val="left" w:pos="323" w:leader="none"/>
              </w:tabs>
              <w:rPr>
                <w:lang w:eastAsia="en-CA"/>
              </w:rPr>
            </w:pPr>
            <w:r>
              <w:rPr>
                <w:lang w:eastAsia="en-CA"/>
              </w:rPr>
              <w:t>5=</w:t>
              <w:tab/>
              <w:t>Fuel Constraint</w:t>
            </w:r>
          </w:p>
          <w:p>
            <w:pPr>
              <w:pStyle w:val="Header"/>
              <w:widowControl/>
              <w:tabs>
                <w:tab w:val="clear" w:pos="4320"/>
                <w:tab w:val="clear" w:pos="8640"/>
                <w:tab w:val="left" w:pos="323" w:leader="none"/>
              </w:tabs>
              <w:rPr>
                <w:lang w:eastAsia="en-CA"/>
              </w:rPr>
            </w:pPr>
            <w:r>
              <w:rPr>
                <w:lang w:eastAsia="en-CA"/>
              </w:rPr>
              <w:t>6=</w:t>
              <w:tab/>
              <w:t>Emission Constraint</w:t>
            </w:r>
          </w:p>
          <w:p>
            <w:pPr>
              <w:pStyle w:val="Header"/>
              <w:widowControl/>
              <w:tabs>
                <w:tab w:val="clear" w:pos="4320"/>
                <w:tab w:val="clear" w:pos="8640"/>
                <w:tab w:val="left" w:pos="323" w:leader="none"/>
              </w:tabs>
              <w:rPr>
                <w:lang w:eastAsia="en-CA"/>
              </w:rPr>
            </w:pPr>
            <w:r>
              <w:rPr>
                <w:lang w:eastAsia="en-CA"/>
              </w:rPr>
              <w:t>7=</w:t>
              <w:tab/>
              <w:t>Environment Constraint</w:t>
            </w:r>
          </w:p>
          <w:p>
            <w:pPr>
              <w:pStyle w:val="Header"/>
              <w:widowControl/>
              <w:tabs>
                <w:tab w:val="clear" w:pos="4320"/>
                <w:tab w:val="clear" w:pos="8640"/>
                <w:tab w:val="left" w:pos="323" w:leader="none"/>
              </w:tabs>
              <w:rPr>
                <w:lang w:eastAsia="en-CA"/>
              </w:rPr>
            </w:pPr>
            <w:r>
              <w:rPr>
                <w:lang w:eastAsia="en-CA"/>
              </w:rPr>
              <w:t>8=</w:t>
              <w:tab/>
              <w:t>Intertie Reasons</w:t>
            </w:r>
          </w:p>
          <w:p>
            <w:pPr>
              <w:pStyle w:val="Header"/>
              <w:widowControl/>
              <w:tabs>
                <w:tab w:val="clear" w:pos="4320"/>
                <w:tab w:val="clear" w:pos="8640"/>
                <w:tab w:val="left" w:pos="323" w:leader="none"/>
              </w:tabs>
              <w:rPr>
                <w:lang w:eastAsia="en-CA"/>
              </w:rPr>
            </w:pPr>
            <w:r>
              <w:rPr>
                <w:lang w:eastAsia="en-CA"/>
              </w:rPr>
              <w:t>9=</w:t>
              <w:tab/>
              <w:t>Line derate</w:t>
            </w:r>
          </w:p>
          <w:p>
            <w:pPr>
              <w:pStyle w:val="Header"/>
              <w:widowControl/>
              <w:tabs>
                <w:tab w:val="clear" w:pos="4320"/>
                <w:tab w:val="clear" w:pos="8640"/>
                <w:tab w:val="left" w:pos="323" w:leader="none"/>
              </w:tabs>
              <w:rPr>
                <w:lang w:eastAsia="en-CA"/>
              </w:rPr>
            </w:pPr>
            <w:r>
              <w:rPr>
                <w:lang w:eastAsia="en-CA"/>
              </w:rPr>
              <w:t>10=</w:t>
              <w:tab/>
              <w:t>Line down</w:t>
            </w:r>
          </w:p>
          <w:p>
            <w:pPr>
              <w:pStyle w:val="Header"/>
              <w:widowControl/>
              <w:tabs>
                <w:tab w:val="clear" w:pos="4320"/>
                <w:tab w:val="clear" w:pos="8640"/>
                <w:tab w:val="left" w:pos="323" w:leader="none"/>
              </w:tabs>
              <w:rPr>
                <w:lang w:eastAsia="en-CA"/>
              </w:rPr>
            </w:pPr>
            <w:r>
              <w:rPr>
                <w:lang w:eastAsia="en-CA"/>
              </w:rPr>
              <w:t>11=</w:t>
              <w:tab/>
              <w:t xml:space="preserve">Economic </w:t>
              <w:tab/>
              <w:t>Considerations</w:t>
            </w:r>
          </w:p>
          <w:p>
            <w:pPr>
              <w:pStyle w:val="Header"/>
              <w:widowControl/>
              <w:tabs>
                <w:tab w:val="clear" w:pos="4320"/>
                <w:tab w:val="clear" w:pos="8640"/>
                <w:tab w:val="left" w:pos="323" w:leader="none"/>
              </w:tabs>
              <w:rPr>
                <w:lang w:eastAsia="en-CA"/>
              </w:rPr>
            </w:pPr>
            <w:r>
              <w:rPr>
                <w:lang w:eastAsia="en-CA"/>
              </w:rPr>
              <w:t>13=</w:t>
              <w:tab/>
              <w:t>Unit Derate</w:t>
            </w:r>
          </w:p>
          <w:p>
            <w:pPr>
              <w:pStyle w:val="Header"/>
              <w:widowControl/>
              <w:tabs>
                <w:tab w:val="clear" w:pos="4320"/>
                <w:tab w:val="clear" w:pos="8640"/>
                <w:tab w:val="left" w:pos="323" w:leader="none"/>
              </w:tabs>
              <w:rPr>
                <w:lang w:eastAsia="en-CA"/>
              </w:rPr>
            </w:pPr>
            <w:r>
              <w:rPr>
                <w:lang w:eastAsia="en-CA"/>
              </w:rPr>
              <w:t>14=</w:t>
              <w:tab/>
              <w:t xml:space="preserve">No Available </w:t>
              <w:tab/>
              <w:t>Transmission</w:t>
            </w:r>
          </w:p>
          <w:p>
            <w:pPr>
              <w:pStyle w:val="Header"/>
              <w:widowControl/>
              <w:tabs>
                <w:tab w:val="clear" w:pos="4320"/>
                <w:tab w:val="clear" w:pos="8640"/>
                <w:tab w:val="left" w:pos="323" w:leader="none"/>
              </w:tabs>
              <w:rPr>
                <w:lang w:eastAsia="en-CA"/>
              </w:rPr>
            </w:pPr>
            <w:r>
              <w:rPr>
                <w:lang w:eastAsia="en-CA"/>
              </w:rPr>
              <w:t>15=</w:t>
              <w:tab/>
              <w:t xml:space="preserve">Timed Out: Minimum </w:t>
              <w:tab/>
              <w:t>Accepted</w:t>
            </w:r>
          </w:p>
          <w:p>
            <w:pPr>
              <w:pStyle w:val="Header"/>
              <w:widowControl/>
              <w:tabs>
                <w:tab w:val="clear" w:pos="4320"/>
                <w:tab w:val="clear" w:pos="8640"/>
                <w:tab w:val="left" w:pos="323" w:leader="none"/>
              </w:tabs>
              <w:rPr>
                <w:lang w:eastAsia="en-CA"/>
              </w:rPr>
            </w:pPr>
            <w:r>
              <w:rPr>
                <w:lang w:eastAsia="en-CA"/>
              </w:rPr>
              <w:t>16=</w:t>
              <w:tab/>
              <w:t xml:space="preserve">Timed Out: Forced </w:t>
              <w:tab/>
              <w:t>Decline</w:t>
            </w:r>
          </w:p>
          <w:p>
            <w:pPr>
              <w:pStyle w:val="Normal"/>
              <w:ind w:start="-37" w:end="0"/>
              <w:rPr>
                <w:color w:val="FF0000"/>
                <w:sz w:val="24"/>
              </w:rPr>
            </w:pPr>
            <w:r>
              <w:rPr/>
              <w:t>[NULL] = pre-dispatches, AGC dispatches, accepted and cancelled instructions, and non-responses.</w:t>
            </w:r>
          </w:p>
        </w:tc>
      </w:tr>
      <w:tr>
        <w:trPr>
          <w:trHeight w:val="267" w:hRule="atLeast"/>
        </w:trPr>
        <w:tc>
          <w:tcPr>
            <w:tcW w:w="2556"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lang w:eastAsia="en-US"/>
              </w:rPr>
            </w:pPr>
            <w:r>
              <w:rPr>
                <w:color w:val="000000"/>
                <w:sz w:val="24"/>
                <w:lang w:eastAsia="en-US"/>
              </w:rPr>
              <w:t>Responder</w:t>
            </w:r>
          </w:p>
        </w:tc>
        <w:tc>
          <w:tcPr>
            <w:tcW w:w="2844" w:type="dxa"/>
            <w:tcBorders>
              <w:top w:val="single" w:sz="12" w:space="0" w:color="000000"/>
              <w:start w:val="single" w:sz="12" w:space="0" w:color="000000"/>
              <w:bottom w:val="single" w:sz="12" w:space="0" w:color="000000"/>
              <w:end w:val="single" w:sz="12" w:space="0" w:color="000000"/>
            </w:tcBorders>
          </w:tcPr>
          <w:p>
            <w:pPr>
              <w:pStyle w:val="Normal"/>
              <w:jc w:val="center"/>
              <w:rPr>
                <w:color w:val="000000"/>
                <w:sz w:val="24"/>
              </w:rPr>
            </w:pPr>
            <w:r>
              <w:rPr>
                <w:color w:val="000000"/>
                <w:sz w:val="24"/>
              </w:rPr>
              <w:t>Name of the person logged into ADS and responding to instructions. Will be null for pre-dispatch, AGC,  and cancelled instructions, as well as non-responses that were not manually changed by the ISO dispatcher.</w:t>
            </w:r>
          </w:p>
        </w:tc>
        <w:tc>
          <w:tcPr>
            <w:tcW w:w="2250" w:type="dxa"/>
            <w:tcBorders>
              <w:top w:val="single" w:sz="12" w:space="0" w:color="000000"/>
              <w:start w:val="single" w:sz="12" w:space="0" w:color="000000"/>
              <w:bottom w:val="single" w:sz="12" w:space="0" w:color="000000"/>
              <w:end w:val="single" w:sz="12" w:space="0" w:color="000000"/>
            </w:tcBorders>
          </w:tcPr>
          <w:p>
            <w:pPr>
              <w:pStyle w:val="Normal"/>
              <w:ind w:start="-1" w:end="0"/>
              <w:jc w:val="center"/>
              <w:rPr>
                <w:color w:val="000000"/>
                <w:sz w:val="24"/>
              </w:rPr>
            </w:pPr>
            <w:r>
              <w:rPr>
                <w:color w:val="000000"/>
                <w:sz w:val="24"/>
              </w:rPr>
              <w:t>VARCHAR2(30)</w:t>
            </w:r>
          </w:p>
        </w:tc>
        <w:tc>
          <w:tcPr>
            <w:tcW w:w="2557" w:type="dxa"/>
            <w:tcBorders>
              <w:top w:val="single" w:sz="12" w:space="0" w:color="000000"/>
              <w:start w:val="single" w:sz="12" w:space="0" w:color="000000"/>
              <w:bottom w:val="single" w:sz="12" w:space="0" w:color="000000"/>
              <w:end w:val="single" w:sz="12" w:space="0" w:color="000000"/>
            </w:tcBorders>
          </w:tcPr>
          <w:p>
            <w:pPr>
              <w:pStyle w:val="Normal"/>
              <w:ind w:start="-37" w:end="0"/>
              <w:jc w:val="center"/>
              <w:rPr>
                <w:color w:val="000000"/>
                <w:sz w:val="24"/>
              </w:rPr>
            </w:pPr>
            <w:r>
              <w:rPr>
                <w:color w:val="000000"/>
                <w:sz w:val="24"/>
              </w:rPr>
              <w:t>ABC1_JohnDoe, [NULL]</w:t>
            </w:r>
          </w:p>
        </w:tc>
      </w:tr>
    </w:tbl>
    <w:p>
      <w:pPr>
        <w:pStyle w:val="Normal"/>
        <w:rPr>
          <w:sz w:val="24"/>
        </w:rPr>
      </w:pPr>
      <w:r>
        <w:rPr>
          <w:sz w:val="24"/>
        </w:rPr>
      </w:r>
    </w:p>
    <w:sectPr>
      <w:headerReference w:type="default" r:id="rId2"/>
      <w:footerReference w:type="default" r:id="rId3"/>
      <w:type w:val="nextPage"/>
      <w:pgSz w:w="12240" w:h="15840"/>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260" w:leader="none"/>
      </w:tabs>
      <w:rPr/>
    </w:pPr>
    <w:r>
      <w:rPr>
        <w:lang w:eastAsia="en-US"/>
      </w:rPr>
      <w:fldChar w:fldCharType="begin"/>
    </w:r>
    <w:r>
      <w:rPr>
        <w:lang w:eastAsia="en-US"/>
      </w:rPr>
      <w:instrText xml:space="preserve"> FILENAME </w:instrText>
    </w:r>
    <w:r>
      <w:rPr>
        <w:lang w:eastAsia="en-US"/>
      </w:rPr>
      <w:fldChar w:fldCharType="separate"/>
    </w:r>
    <w:r>
      <w:rPr>
        <w:lang w:eastAsia="en-US"/>
      </w:rPr>
      <w:t>ADS_Query_File_Data_Dictionary.doc</w:t>
    </w:r>
    <w:r>
      <w:rPr>
        <w:lang w:eastAsia="en-US"/>
      </w:rPr>
      <w:fldChar w:fldCharType="end"/>
    </w:r>
    <w:r>
      <w:rPr>
        <w:lang w:eastAsia="en-US"/>
      </w:rPr>
      <w:tab/>
      <w:tab/>
      <w:t>7/25/01</w:t>
    </w:r>
  </w:p>
  <w:p>
    <w:pPr>
      <w:pStyle w:val="Footer"/>
      <w:tabs>
        <w:tab w:val="clear" w:pos="8640"/>
        <w:tab w:val="center" w:pos="4320" w:leader="none"/>
        <w:tab w:val="right" w:pos="10260" w:leader="none"/>
      </w:tabs>
      <w:rPr/>
    </w:pPr>
    <w:r>
      <w:rPr/>
      <w:t>G. Ford</w:t>
      <w:tab/>
      <w:tab/>
      <w:t>Proposed Rev. 1.3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t>ADS Query File Data Dictionary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480" w:after="60"/>
      <w:outlineLvl w:val="0"/>
    </w:pPr>
    <w:rPr>
      <w:rFonts w:ascii="Arial" w:hAnsi="Arial" w:cs="Arial"/>
      <w:b/>
      <w:color w:val="000000"/>
      <w:kern w:val="2"/>
      <w:sz w:val="28"/>
      <w:lang w:eastAsia="en-US"/>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widowControl w:val="false"/>
      <w:numPr>
        <w:ilvl w:val="2"/>
        <w:numId w:val="1"/>
      </w:numPr>
      <w:spacing w:before="240" w:after="60"/>
      <w:outlineLvl w:val="2"/>
    </w:pPr>
    <w:rPr>
      <w:rFonts w:ascii="Arial" w:hAnsi="Arial" w:cs="Arial"/>
      <w:sz w:val="24"/>
      <w:lang w:eastAsia="en-US"/>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jc w:val="center"/>
      <w:outlineLvl w:val="4"/>
    </w:pPr>
    <w:rPr>
      <w:color w:val="000000"/>
      <w:sz w:val="24"/>
      <w:lang w:eastAsia="en-US"/>
    </w:rPr>
  </w:style>
  <w:style w:type="paragraph" w:styleId="Heading6">
    <w:name w:val="heading 6"/>
    <w:basedOn w:val="Normal"/>
    <w:next w:val="Normal"/>
    <w:qFormat/>
    <w:pPr>
      <w:keepNext w:val="true"/>
      <w:numPr>
        <w:ilvl w:val="5"/>
        <w:numId w:val="1"/>
      </w:numPr>
      <w:ind w:hanging="0" w:start="36" w:end="0"/>
      <w:jc w:val="center"/>
      <w:outlineLvl w:val="5"/>
    </w:pPr>
    <w:rPr>
      <w:rFonts w:ascii="Arial" w:hAnsi="Arial" w:cs="Arial"/>
      <w:b/>
      <w:color w:val="000000"/>
      <w:sz w:val="18"/>
    </w:rPr>
  </w:style>
  <w:style w:type="paragraph" w:styleId="Heading7">
    <w:name w:val="heading 7"/>
    <w:basedOn w:val="Normal"/>
    <w:next w:val="Normal"/>
    <w:qFormat/>
    <w:pPr>
      <w:keepNext w:val="true"/>
      <w:numPr>
        <w:ilvl w:val="6"/>
        <w:numId w:val="1"/>
      </w:numPr>
      <w:ind w:hanging="0" w:start="-1" w:end="0"/>
      <w:jc w:val="center"/>
      <w:outlineLvl w:val="6"/>
    </w:pPr>
    <w:rPr>
      <w:rFonts w:ascii="Arial" w:hAnsi="Arial" w:cs="Arial"/>
      <w:b/>
      <w:color w:val="000000"/>
      <w:sz w:val="18"/>
    </w:rPr>
  </w:style>
  <w:style w:type="paragraph" w:styleId="Heading8">
    <w:name w:val="heading 8"/>
    <w:basedOn w:val="Normal"/>
    <w:next w:val="Normal"/>
    <w:qFormat/>
    <w:pPr>
      <w:keepNext w:val="true"/>
      <w:numPr>
        <w:ilvl w:val="7"/>
        <w:numId w:val="1"/>
      </w:numPr>
      <w:ind w:hanging="0" w:start="-37" w:end="0"/>
      <w:jc w:val="center"/>
      <w:outlineLvl w:val="7"/>
    </w:pPr>
    <w:rPr>
      <w:rFonts w:ascii="Arial" w:hAnsi="Arial" w:cs="Arial"/>
      <w:b/>
      <w:color w:val="000000"/>
      <w:sz w:val="18"/>
    </w:rPr>
  </w:style>
  <w:style w:type="paragraph" w:styleId="Heading9">
    <w:name w:val="heading 9"/>
    <w:basedOn w:val="Normal"/>
    <w:next w:val="Normal"/>
    <w:qFormat/>
    <w:pPr>
      <w:keepNext w:val="true"/>
      <w:numPr>
        <w:ilvl w:val="8"/>
        <w:numId w:val="1"/>
      </w:numPr>
      <w:spacing w:before="240" w:after="0"/>
      <w:ind w:hanging="0" w:start="-1" w:end="0"/>
      <w:jc w:val="center"/>
      <w:outlineLvl w:val="8"/>
    </w:pPr>
    <w:rPr>
      <w:color w:val="000000"/>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7z1">
    <w:name w:val="WW8Num7z1"/>
    <w:qFormat/>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2z0">
    <w:name w:val="WW8Num12z0"/>
    <w:qFormat/>
    <w:rPr>
      <w:rFonts w:ascii="Wingdings" w:hAnsi="Wingdings" w:cs="Wingdings"/>
    </w:rPr>
  </w:style>
  <w:style w:type="character" w:styleId="WW8Num14z0">
    <w:name w:val="WW8Num14z0"/>
    <w:qFormat/>
    <w:rPr>
      <w:rFonts w:ascii="Arial" w:hAnsi="Arial" w:cs="Arial"/>
      <w:b w:val="false"/>
      <w:i w:val="false"/>
      <w:sz w:val="18"/>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8z0">
    <w:name w:val="WW8Num28z0"/>
    <w:qFormat/>
    <w:rPr>
      <w:rFonts w:ascii="Helv" w:hAnsi="Helv" w:cs="Helv"/>
      <w:color w:val="0000FF"/>
      <w:sz w:val="20"/>
    </w:rPr>
  </w:style>
  <w:style w:type="character" w:styleId="WW8Num29z0">
    <w:name w:val="WW8Num29z0"/>
    <w:qFormat/>
    <w:rPr>
      <w:rFonts w:ascii="Wingdings" w:hAnsi="Wingdings" w:cs="Wingdings"/>
    </w:rPr>
  </w:style>
  <w:style w:type="character" w:styleId="WW8Num31z0">
    <w:name w:val="WW8Num31z0"/>
    <w:qFormat/>
    <w:rPr/>
  </w:style>
  <w:style w:type="character" w:styleId="WW8Num36z0">
    <w:name w:val="WW8Num36z0"/>
    <w:qFormat/>
    <w:rPr>
      <w:rFonts w:ascii="Symbol" w:hAnsi="Symbol" w:cs="Symbol"/>
    </w:rPr>
  </w:style>
  <w:style w:type="character" w:styleId="WW8Num37z0">
    <w:name w:val="WW8Num37z0"/>
    <w:qFormat/>
    <w:rPr>
      <w:rFonts w:ascii="Arial" w:hAnsi="Arial" w:cs="Arial"/>
      <w:b w:val="false"/>
      <w:i w:val="false"/>
      <w:sz w:val="18"/>
      <w:u w:val="none"/>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Arial" w:hAnsi="Arial" w:cs="Arial"/>
      <w:b w:val="false"/>
      <w:i w:val="false"/>
      <w:sz w:val="18"/>
    </w:rPr>
  </w:style>
  <w:style w:type="character" w:styleId="WW8Num57z0">
    <w:name w:val="WW8Num57z0"/>
    <w:qFormat/>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b w:val="false"/>
      <w:i w:val="false"/>
      <w:sz w:val="24"/>
    </w:rPr>
  </w:style>
  <w:style w:type="character" w:styleId="WW8Num64z0">
    <w:name w:val="WW8Num64z0"/>
    <w:qFormat/>
    <w:rPr>
      <w:rFonts w:ascii="Arial" w:hAnsi="Arial" w:cs="Arial"/>
      <w:b w:val="false"/>
      <w:i w:val="false"/>
      <w:sz w:val="18"/>
    </w:rPr>
  </w:style>
  <w:style w:type="character" w:styleId="WW8Num67z0">
    <w:name w:val="WW8Num67z0"/>
    <w:qFormat/>
    <w:rPr/>
  </w:style>
  <w:style w:type="character" w:styleId="WW8Num68z0">
    <w:name w:val="WW8Num68z0"/>
    <w:qFormat/>
    <w:rPr>
      <w:rFonts w:ascii="Wingdings" w:hAnsi="Wingdings" w:cs="Wingdings"/>
    </w:rPr>
  </w:style>
  <w:style w:type="character" w:styleId="WW8Num70z0">
    <w:name w:val="WW8Num70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Arial" w:hAnsi="Arial" w:cs="Arial"/>
      <w:b w:val="false"/>
      <w:i w:val="false"/>
      <w:sz w:val="18"/>
    </w:rPr>
  </w:style>
  <w:style w:type="character" w:styleId="WW8Num80z0">
    <w:name w:val="WW8Num80z0"/>
    <w:qFormat/>
    <w:rPr>
      <w:rFonts w:ascii="Symbol" w:hAnsi="Symbol" w:cs="Symbol"/>
    </w:rPr>
  </w:style>
  <w:style w:type="character" w:styleId="WW8Num81z0">
    <w:name w:val="WW8Num81z0"/>
    <w:qFormat/>
    <w:rPr/>
  </w:style>
  <w:style w:type="character" w:styleId="WW8Num83z0">
    <w:name w:val="WW8Num83z0"/>
    <w:qFormat/>
    <w:rPr/>
  </w:style>
  <w:style w:type="character" w:styleId="WW8Num84z0">
    <w:name w:val="WW8Num84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b w:val="false"/>
      <w:i w:val="false"/>
      <w:sz w:val="24"/>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6z0">
    <w:name w:val="WW8Num96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Helv" w:hAnsi="Helv" w:cs="Helv"/>
      <w:color w:val="0000FF"/>
      <w:sz w:val="20"/>
    </w:rPr>
  </w:style>
  <w:style w:type="character" w:styleId="WW8Num100z0">
    <w:name w:val="WW8Num100z0"/>
    <w:qFormat/>
    <w:rPr>
      <w:rFonts w:ascii="Symbol" w:hAnsi="Symbol" w:cs="Symbol"/>
    </w:rPr>
  </w:style>
  <w:style w:type="character" w:styleId="WW8Num101z0">
    <w:name w:val="WW8Num101z0"/>
    <w:qFormat/>
    <w:rPr>
      <w:rFonts w:ascii="Arial" w:hAnsi="Arial" w:cs="Arial"/>
      <w:b w:val="false"/>
      <w:i w:val="false"/>
      <w:sz w:val="18"/>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Wingdings" w:hAnsi="Wingdings" w:cs="Wingdings"/>
    </w:rPr>
  </w:style>
  <w:style w:type="character" w:styleId="WW8Num105z0">
    <w:name w:val="WW8Num105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20z0">
    <w:name w:val="WW8Num120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style>
  <w:style w:type="character" w:styleId="WW8Num128z0">
    <w:name w:val="WW8Num128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6z0">
    <w:name w:val="WW8Num136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8z0">
    <w:name w:val="WW8Num148z0"/>
    <w:qFormat/>
    <w:rPr>
      <w:rFonts w:ascii="Wingdings" w:hAnsi="Wingdings" w:cs="Wingdings"/>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7z0">
    <w:name w:val="WW8Num157z0"/>
    <w:qFormat/>
    <w:rPr>
      <w:rFonts w:ascii="Wingdings" w:hAnsi="Wingdings" w:cs="Wingdings"/>
    </w:rPr>
  </w:style>
  <w:style w:type="character" w:styleId="WW8Num158z0">
    <w:name w:val="WW8Num158z0"/>
    <w:qFormat/>
    <w:rPr/>
  </w:style>
  <w:style w:type="character" w:styleId="WW8Num159z0">
    <w:name w:val="WW8Num159z0"/>
    <w:qFormat/>
    <w:rPr>
      <w:b w:val="false"/>
      <w:i w:val="false"/>
      <w:sz w:val="24"/>
    </w:rPr>
  </w:style>
  <w:style w:type="character" w:styleId="WW8Num160z0">
    <w:name w:val="WW8Num160z0"/>
    <w:qFormat/>
    <w:rPr/>
  </w:style>
  <w:style w:type="character" w:styleId="WW8Num162z0">
    <w:name w:val="WW8Num162z0"/>
    <w:qFormat/>
    <w:rPr>
      <w:rFonts w:ascii="Symbol" w:hAnsi="Symbol" w:cs="Symbol"/>
    </w:rPr>
  </w:style>
  <w:style w:type="character" w:styleId="WW8Num163z0">
    <w:name w:val="WW8Num163z0"/>
    <w:qFormat/>
    <w:rPr>
      <w:rFonts w:ascii="Arial" w:hAnsi="Arial" w:cs="Arial"/>
      <w:b w:val="false"/>
      <w:i w:val="false"/>
      <w:sz w:val="18"/>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style>
  <w:style w:type="character" w:styleId="WW8Num167z0">
    <w:name w:val="WW8Num167z0"/>
    <w:qFormat/>
    <w:rPr>
      <w:rFonts w:ascii="Wingdings" w:hAnsi="Wingdings" w:cs="Wingdings"/>
    </w:rPr>
  </w:style>
  <w:style w:type="character" w:styleId="WW8Num168z0">
    <w:name w:val="WW8Num168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Wingdings" w:hAnsi="Wingdings" w:cs="Wingdings"/>
    </w:rPr>
  </w:style>
  <w:style w:type="character" w:styleId="WW8Num172z0">
    <w:name w:val="WW8Num172z0"/>
    <w:qFormat/>
    <w:rPr>
      <w:rFonts w:ascii="Wingdings" w:hAnsi="Wingdings" w:cs="Wingdings"/>
    </w:rPr>
  </w:style>
  <w:style w:type="character" w:styleId="WW8Num174z0">
    <w:name w:val="WW8Num174z0"/>
    <w:qFormat/>
    <w:rPr>
      <w:rFonts w:ascii="Wingdings" w:hAnsi="Wingdings" w:cs="Wingdings"/>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Wingdings" w:hAnsi="Wingdings" w:cs="Wingdings"/>
    </w:rPr>
  </w:style>
  <w:style w:type="character" w:styleId="WW8Num179z0">
    <w:name w:val="WW8Num179z0"/>
    <w:qFormat/>
    <w:rPr>
      <w:rFonts w:ascii="Symbol" w:hAnsi="Symbol" w:cs="Symbol"/>
    </w:rPr>
  </w:style>
  <w:style w:type="character" w:styleId="WW8Num180z1">
    <w:name w:val="WW8Num180z1"/>
    <w:qFormat/>
    <w:rPr>
      <w:sz w:val="24"/>
    </w:rPr>
  </w:style>
  <w:style w:type="character" w:styleId="WW8Num180z3">
    <w:name w:val="WW8Num180z3"/>
    <w:qFormat/>
    <w:rPr>
      <w:b/>
      <w:i w:val="false"/>
    </w:rPr>
  </w:style>
  <w:style w:type="character" w:styleId="WW8Num181z0">
    <w:name w:val="WW8Num181z0"/>
    <w:qFormat/>
    <w:rPr>
      <w:rFonts w:ascii="Wingdings" w:hAnsi="Wingdings" w:cs="Wingdings"/>
    </w:rPr>
  </w:style>
  <w:style w:type="character" w:styleId="WW8Num182z0">
    <w:name w:val="WW8Num182z0"/>
    <w:qForma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b w:val="false"/>
      <w:i w:val="false"/>
      <w:sz w:val="24"/>
    </w:rPr>
  </w:style>
  <w:style w:type="character" w:styleId="WW8Num191z0">
    <w:name w:val="WW8Num191z0"/>
    <w:qFormat/>
    <w:rPr>
      <w:rFonts w:ascii="Wingdings" w:hAnsi="Wingdings" w:cs="Wingdings"/>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9z0">
    <w:name w:val="WW8Num199z0"/>
    <w:qFormat/>
    <w:rPr>
      <w:rFonts w:ascii="Symbol" w:hAnsi="Symbol" w:cs="Symbol"/>
    </w:rPr>
  </w:style>
  <w:style w:type="character" w:styleId="WW8Num200z0">
    <w:name w:val="WW8Num200z0"/>
    <w:qFormat/>
    <w:rPr>
      <w:sz w:val="24"/>
    </w:rPr>
  </w:style>
  <w:style w:type="character" w:styleId="WW8Num202z0">
    <w:name w:val="WW8Num202z0"/>
    <w:qFormat/>
    <w:rPr>
      <w:rFonts w:ascii="Arial" w:hAnsi="Arial" w:cs="Arial"/>
      <w:color w:val="000000"/>
      <w:sz w:val="18"/>
    </w:rPr>
  </w:style>
  <w:style w:type="character" w:styleId="WW8Num203z0">
    <w:name w:val="WW8Num203z0"/>
    <w:qFormat/>
    <w:rPr>
      <w:rFonts w:ascii="Symbol" w:hAnsi="Symbol" w:cs="Symbol"/>
    </w:rPr>
  </w:style>
  <w:style w:type="character" w:styleId="WW8Num205z0">
    <w:name w:val="WW8Num205z0"/>
    <w:qFormat/>
    <w:rPr>
      <w:rFonts w:ascii="Wingdings" w:hAnsi="Wingdings" w:cs="Wingdings"/>
    </w:rPr>
  </w:style>
  <w:style w:type="character" w:styleId="WW8Num206z0">
    <w:name w:val="WW8Num206z0"/>
    <w:qFormat/>
    <w:rPr>
      <w:rFonts w:ascii="Symbol" w:hAnsi="Symbol" w:cs="Symbol"/>
    </w:rPr>
  </w:style>
  <w:style w:type="character" w:styleId="WW8Num207z0">
    <w:name w:val="WW8Num207z0"/>
    <w:qFormat/>
    <w:rPr>
      <w:rFonts w:ascii="Wingdings" w:hAnsi="Wingdings" w:cs="Wingdings"/>
    </w:rPr>
  </w:style>
  <w:style w:type="character" w:styleId="WW8Num209z0">
    <w:name w:val="WW8Num209z0"/>
    <w:qFormat/>
    <w:rPr>
      <w:rFonts w:ascii="Symbol" w:hAnsi="Symbol" w:cs="Symbol"/>
    </w:rPr>
  </w:style>
  <w:style w:type="character" w:styleId="WW8Num211z0">
    <w:name w:val="WW8Num211z0"/>
    <w:qFormat/>
    <w:rPr/>
  </w:style>
  <w:style w:type="character" w:styleId="WW8Num212z0">
    <w:name w:val="WW8Num212z0"/>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Wingdings" w:hAnsi="Wingdings" w:cs="Wingdings"/>
    </w:rPr>
  </w:style>
  <w:style w:type="character" w:styleId="WW8Num217z0">
    <w:name w:val="WW8Num217z0"/>
    <w:qFormat/>
    <w:rPr>
      <w:rFonts w:ascii="Symbol" w:hAnsi="Symbol" w:cs="Symbol"/>
    </w:rPr>
  </w:style>
  <w:style w:type="character" w:styleId="WW8Num218z1">
    <w:name w:val="WW8Num218z1"/>
    <w:qFormat/>
    <w:rPr/>
  </w:style>
  <w:style w:type="character" w:styleId="WW8Num219z0">
    <w:name w:val="WW8Num219z0"/>
    <w:qFormat/>
    <w:rPr>
      <w:rFonts w:ascii="Arial" w:hAnsi="Arial" w:cs="Arial"/>
      <w:color w:val="000000"/>
      <w:sz w:val="18"/>
    </w:rPr>
  </w:style>
  <w:style w:type="character" w:styleId="WW8Num220z0">
    <w:name w:val="WW8Num220z0"/>
    <w:qFormat/>
    <w:rPr>
      <w:rFonts w:ascii="Wingdings" w:hAnsi="Wingdings" w:cs="Wingdings"/>
    </w:rPr>
  </w:style>
  <w:style w:type="character" w:styleId="WW8Num221z0">
    <w:name w:val="WW8Num221z0"/>
    <w:qFormat/>
    <w:rPr/>
  </w:style>
  <w:style w:type="character" w:styleId="WW8Num222z0">
    <w:name w:val="WW8Num222z0"/>
    <w:qFormat/>
    <w:rPr/>
  </w:style>
  <w:style w:type="character" w:styleId="WW8Num223z0">
    <w:name w:val="WW8Num223z0"/>
    <w:qFormat/>
    <w:rPr>
      <w:rFonts w:ascii="Wingdings" w:hAnsi="Wingdings" w:cs="Wingdings"/>
    </w:rPr>
  </w:style>
  <w:style w:type="character" w:styleId="WW8Num224z0">
    <w:name w:val="WW8Num224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rFonts w:ascii="Symbol" w:hAnsi="Symbol" w:cs="Symbol"/>
    </w:rPr>
  </w:style>
  <w:style w:type="character" w:styleId="WW8Num235z0">
    <w:name w:val="WW8Num235z0"/>
    <w:qFormat/>
    <w:rPr>
      <w:rFonts w:ascii="Wingdings" w:hAnsi="Wingdings" w:cs="Wingdings"/>
    </w:rPr>
  </w:style>
  <w:style w:type="character" w:styleId="WW8Num237z0">
    <w:name w:val="WW8Num237z0"/>
    <w:qFormat/>
    <w:rPr>
      <w:rFonts w:ascii="Wingdings" w:hAnsi="Wingdings" w:cs="Wingdings"/>
    </w:rPr>
  </w:style>
  <w:style w:type="character" w:styleId="WW8Num238z0">
    <w:name w:val="WW8Num238z0"/>
    <w:qFormat/>
    <w:rPr/>
  </w:style>
  <w:style w:type="character" w:styleId="WW8Num239z0">
    <w:name w:val="WW8Num239z0"/>
    <w:qFormat/>
    <w:rPr/>
  </w:style>
  <w:style w:type="character" w:styleId="WW8Num240z0">
    <w:name w:val="WW8Num240z0"/>
    <w:qFormat/>
    <w:rPr>
      <w:b w:val="false"/>
      <w:i w:val="false"/>
      <w:sz w:val="24"/>
    </w:rPr>
  </w:style>
  <w:style w:type="character" w:styleId="WW8Num243z0">
    <w:name w:val="WW8Num243z0"/>
    <w:qFormat/>
    <w:rPr>
      <w:rFonts w:ascii="Wingdings" w:hAnsi="Wingdings" w:cs="Wingdings"/>
    </w:rPr>
  </w:style>
  <w:style w:type="character" w:styleId="WW8NumSt9z0">
    <w:name w:val="WW8NumSt9z0"/>
    <w:qFormat/>
    <w:rPr>
      <w:rFonts w:ascii="Symbol" w:hAnsi="Symbol" w:cs="Symbol"/>
    </w:rPr>
  </w:style>
  <w:style w:type="character" w:styleId="WW8NumSt31z0">
    <w:name w:val="WW8NumSt31z0"/>
    <w:qFormat/>
    <w:rPr>
      <w:rFonts w:ascii="Wingdings" w:hAnsi="Wingdings" w:cs="Wingdings"/>
    </w:rPr>
  </w:style>
  <w:style w:type="character" w:styleId="WW8NumSt35z0">
    <w:name w:val="WW8NumSt35z0"/>
    <w:qFormat/>
    <w:rPr>
      <w:rFonts w:ascii="Symbol" w:hAnsi="Symbol" w:cs="Symbol"/>
    </w:rPr>
  </w:style>
  <w:style w:type="character" w:styleId="WW8NumSt103z0">
    <w:name w:val="WW8NumSt103z0"/>
    <w:qFormat/>
    <w:rPr>
      <w:rFonts w:ascii="Symbol" w:hAnsi="Symbol" w:cs="Symbol"/>
    </w:rPr>
  </w:style>
  <w:style w:type="character" w:styleId="WW8NumSt160z0">
    <w:name w:val="WW8NumSt160z0"/>
    <w:qFormat/>
    <w:rPr>
      <w:rFonts w:ascii="Symbol" w:hAnsi="Symbol" w:cs="Symbol"/>
    </w:rPr>
  </w:style>
  <w:style w:type="character" w:styleId="WW8NumSt245z0">
    <w:name w:val="WW8NumSt24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lang w:eastAsia="en-US"/>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2000-08-11T15:41:00Z</dcterms:created>
  <dc:creator>DWu</dc:creator>
  <dc:description/>
  <dc:language>en-CA</dc:language>
  <cp:lastModifiedBy>Greg R Ford</cp:lastModifiedBy>
  <cp:lastPrinted>2000-12-08T16:33:00Z</cp:lastPrinted>
  <dcterms:modified xsi:type="dcterms:W3CDTF">2001-07-25T16:44:00Z</dcterms:modified>
  <cp:revision>30</cp:revision>
  <dc:subject/>
  <dc:title>Table Name:</dc:title>
</cp:coreProperties>
</file>