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ADS Download File Data Dictionary</w:t>
      </w:r>
    </w:p>
    <w:p>
      <w:pPr>
        <w:pStyle w:val="Normal"/>
        <w:rPr/>
      </w:pPr>
      <w:r>
        <w:rPr/>
      </w:r>
    </w:p>
    <w:p>
      <w:pPr>
        <w:pStyle w:val="Normal"/>
        <w:rPr/>
      </w:pPr>
      <w:r>
        <w:rPr/>
        <w:t>Two files will be downloaded to a user-specified location whenever an instruction set is received by the ADS Market Participant Client Application.  The first file is a record of the initial instruction request made by the CAISO.  The second is a record of the responses to these instructions.  Both files are in CSV format and are arranged in order as provided below.  The column titled “Data” contains the field titles in the query.  The column “Data Type” contains the data type of the field as defined in the originating ISO database.  Within this column, the numbers in parenthesis represent the maximum width of the field.  In the case of a NUMBER data type followed by two numbers separated by a comma, the first number represents the maximum width and the second number represents the maximum number of decimal places.</w:t>
      </w:r>
    </w:p>
    <w:p>
      <w:pPr>
        <w:pStyle w:val="Normal"/>
        <w:rPr/>
      </w:pPr>
      <w:r>
        <w:rPr/>
      </w:r>
    </w:p>
    <w:p>
      <w:pPr>
        <w:pStyle w:val="Heading1"/>
        <w:ind w:hanging="0" w:start="0"/>
        <w:rPr/>
      </w:pPr>
      <w:r>
        <w:rPr/>
        <w:t>Instructions File</w:t>
      </w:r>
    </w:p>
    <w:p>
      <w:pPr>
        <w:pStyle w:val="Normal"/>
        <w:rPr/>
      </w:pPr>
      <w:r>
        <w:rPr/>
      </w:r>
    </w:p>
    <w:p>
      <w:pPr>
        <w:pStyle w:val="Normal"/>
        <w:rPr/>
      </w:pPr>
      <w:r>
        <w:rPr/>
        <w:t>Filename format will be Instruction_YYYYMMDD_HHMM.csv</w:t>
      </w:r>
    </w:p>
    <w:p>
      <w:pPr>
        <w:pStyle w:val="Normal"/>
        <w:rPr/>
      </w:pPr>
      <w:r>
        <w:rPr/>
        <w:t>For Example: Instruction_20000601_1122.csv will be for June 1, 2000 11:22 am (Hour Ending 12).</w:t>
      </w:r>
    </w:p>
    <w:p>
      <w:pPr>
        <w:pStyle w:val="Normal"/>
        <w:rPr/>
      </w:pPr>
      <w:r>
        <w:rPr/>
        <w:t>Exception: for HE 25 during the fall time transition, Instruction_20001029_2515.csv will be for October 29, 2000 1:15 am (extra hour only).</w:t>
      </w:r>
    </w:p>
    <w:p>
      <w:pPr>
        <w:pStyle w:val="Normal"/>
        <w:rPr/>
      </w:pPr>
      <w:r>
        <w:rPr/>
      </w:r>
    </w:p>
    <w:tbl>
      <w:tblPr>
        <w:tblW w:w="9518" w:type="dxa"/>
        <w:jc w:val="start"/>
        <w:tblInd w:w="0" w:type="dxa"/>
        <w:tblLayout w:type="fixed"/>
        <w:tblCellMar>
          <w:top w:w="0" w:type="dxa"/>
          <w:start w:w="108" w:type="dxa"/>
          <w:bottom w:w="0" w:type="dxa"/>
          <w:end w:w="108" w:type="dxa"/>
        </w:tblCellMar>
      </w:tblPr>
      <w:tblGrid>
        <w:gridCol w:w="2088"/>
        <w:gridCol w:w="2970"/>
        <w:gridCol w:w="2070"/>
        <w:gridCol w:w="2390"/>
      </w:tblGrid>
      <w:tr>
        <w:trPr/>
        <w:tc>
          <w:tcPr>
            <w:tcW w:w="2088" w:type="dxa"/>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Data</w:t>
            </w:r>
          </w:p>
        </w:tc>
        <w:tc>
          <w:tcPr>
            <w:tcW w:w="2970" w:type="dxa"/>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Description</w:t>
            </w:r>
          </w:p>
        </w:tc>
        <w:tc>
          <w:tcPr>
            <w:tcW w:w="2070" w:type="dxa"/>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Data Type</w:t>
            </w:r>
          </w:p>
        </w:tc>
        <w:tc>
          <w:tcPr>
            <w:tcW w:w="2390" w:type="dxa"/>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Possible Entries</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OPR_DT</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Operating Date of Dispatch Instruction.</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DATE</w:t>
            </w:r>
          </w:p>
        </w:tc>
        <w:tc>
          <w:tcPr>
            <w:tcW w:w="239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INTERVAL_TIME</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Operating Interval for the Dispatch Instruction in real-time format.</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VARCHAR2(13)</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00:00-00:10 through 23:50-24:00, 25:00-25:10 through 25:50-26:00 for HE 25</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RES_ID</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Resource ID.</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VARCHAR2(32)</w:t>
            </w:r>
          </w:p>
        </w:tc>
        <w:tc>
          <w:tcPr>
            <w:tcW w:w="239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INTERCH_ID</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Unique Interchange Identifier.</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VARCHAR2(32)</w:t>
            </w:r>
          </w:p>
        </w:tc>
        <w:tc>
          <w:tcPr>
            <w:tcW w:w="239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SERVICE_TYPE</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Type of service provided.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VARCHAR2(4)</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SPIN, NSPN, RPLC, SUPP, OSM, RMR </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INSTR_CLASS</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Denotes In-Sequence vs Pre-Dispatch vs Out-of Sequence instructions.  In-Sequence (SEQ) represents standard sequence instructions.  Pre-Dispatch (PRE) represents instructions that were arranged and agreed to prior to the operating hour.  Out-of-Sequence (OOS) represents out-of sequence, out-of-market, and reliability-must-run instructions.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VARCHAR2(3)</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SEQ, PRE, OOS</w:t>
            </w:r>
          </w:p>
          <w:p>
            <w:pPr>
              <w:pStyle w:val="Normal"/>
              <w:rPr/>
            </w:pPr>
            <w:r>
              <w:rPr/>
              <w:t>Instructions that are both OOS and PRE will be labeled as PRE.</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BID_TOT</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Accumulated MW dispatch for the hour, through the last accepted instruction.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Header"/>
              <w:keepNext w:val="true"/>
              <w:tabs>
                <w:tab w:val="clear" w:pos="4320"/>
                <w:tab w:val="clear" w:pos="8640"/>
              </w:tabs>
              <w:rPr/>
            </w:pPr>
            <w:r>
              <w:rPr/>
              <w:t>MIN_ACCEPT</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Indicates minimum MW amount of current instruction that must be accepted.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rHeight w:val="456" w:hRule="atLeast"/>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HRLY_MW</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Final Hour Ahead energy schedule.</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Header"/>
              <w:keepLines/>
              <w:tabs>
                <w:tab w:val="clear" w:pos="4320"/>
                <w:tab w:val="clear" w:pos="8640"/>
              </w:tabs>
              <w:rPr/>
            </w:pPr>
            <w:r>
              <w:rPr/>
              <w:t>TEL_MW</w:t>
            </w:r>
          </w:p>
        </w:tc>
        <w:tc>
          <w:tcPr>
            <w:tcW w:w="2970" w:type="dxa"/>
            <w:tcBorders>
              <w:top w:val="single" w:sz="12" w:space="0" w:color="000000"/>
              <w:start w:val="single" w:sz="12" w:space="0" w:color="000000"/>
              <w:bottom w:val="single" w:sz="12" w:space="0" w:color="000000"/>
              <w:end w:val="single" w:sz="12" w:space="0" w:color="000000"/>
            </w:tcBorders>
          </w:tcPr>
          <w:p>
            <w:pPr>
              <w:pStyle w:val="Header"/>
              <w:keepLines/>
              <w:tabs>
                <w:tab w:val="clear" w:pos="4320"/>
                <w:tab w:val="clear" w:pos="8640"/>
              </w:tabs>
              <w:rPr/>
            </w:pPr>
            <w:r>
              <w:rPr/>
              <w:t>Actual MW telemetry reading from the resource as reported to the EMS system.</w:t>
            </w:r>
          </w:p>
        </w:tc>
        <w:tc>
          <w:tcPr>
            <w:tcW w:w="2070" w:type="dxa"/>
            <w:tcBorders>
              <w:top w:val="single" w:sz="12" w:space="0" w:color="000000"/>
              <w:start w:val="single" w:sz="12" w:space="0" w:color="000000"/>
              <w:bottom w:val="single" w:sz="12" w:space="0" w:color="000000"/>
              <w:end w:val="single" w:sz="12" w:space="0" w:color="000000"/>
            </w:tcBorders>
          </w:tcPr>
          <w:p>
            <w:pPr>
              <w:pStyle w:val="Normal"/>
              <w:keepLines/>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keepLines/>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BID_RAMP</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Resource ramp rate</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NUMBER(5,2) </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0 – 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BID_PRICE</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Bid price for the block of energy requested.  Will be the most expensive block of energy taken, or the target price, whichever is greater.</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INC_DEC_MW</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Represents MW value of current requested instruction.</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REG_FLAG</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Flag to indicate whether or not the resource is on AGC.</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VARCHAR2(1)</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Y or N.  Y indicates unit is providing regulation.</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MIN_MAX</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Flag to indicate whether the value in the GOTO field is a minimum or maximum limit.</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VARCHAR2(1)</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MIN = min limit</w:t>
              <w:br/>
              <w:t>MAX = max limit</w:t>
              <w:br/>
              <w:t>null = GOTO is null</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GOTO</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Target operating level for reliability purposes.</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 null if no reliability requirement.</w:t>
            </w:r>
          </w:p>
        </w:tc>
      </w:tr>
    </w:tbl>
    <w:p>
      <w:pPr>
        <w:pStyle w:val="Normal"/>
        <w:rPr/>
      </w:pPr>
      <w:r>
        <w:rPr/>
      </w:r>
    </w:p>
    <w:p>
      <w:pPr>
        <w:pStyle w:val="Normal"/>
        <w:rPr/>
      </w:pPr>
      <w:r>
        <w:rPr/>
      </w:r>
    </w:p>
    <w:p>
      <w:pPr>
        <w:pStyle w:val="Heading1"/>
        <w:ind w:hanging="0" w:start="0"/>
        <w:rPr/>
      </w:pPr>
      <w:r>
        <w:rPr/>
        <w:t>Response File</w:t>
      </w:r>
    </w:p>
    <w:p>
      <w:pPr>
        <w:pStyle w:val="Normal"/>
        <w:rPr/>
      </w:pPr>
      <w:r>
        <w:rPr/>
      </w:r>
    </w:p>
    <w:p>
      <w:pPr>
        <w:pStyle w:val="Normal"/>
        <w:rPr/>
      </w:pPr>
      <w:r>
        <w:rPr/>
        <w:t>Filename format will be Response_YYYYMMDD_HHMM.csv</w:t>
      </w:r>
    </w:p>
    <w:p>
      <w:pPr>
        <w:pStyle w:val="Normal"/>
        <w:rPr/>
      </w:pPr>
      <w:r>
        <w:rPr/>
        <w:t>For Example: Response_20000601_1123.csv will be for June 1, 2000 11:23 am (Hour Ending 12).</w:t>
      </w:r>
    </w:p>
    <w:p>
      <w:pPr>
        <w:pStyle w:val="Normal"/>
        <w:rPr/>
      </w:pPr>
      <w:r>
        <w:rPr/>
        <w:t>Exception: for HE 25 during the fall time transition, Response_20001029_2515.csv will be for October 29, 2000 1:15 am (extra hour only).</w:t>
      </w:r>
    </w:p>
    <w:p>
      <w:pPr>
        <w:pStyle w:val="Normal"/>
        <w:rPr/>
      </w:pPr>
      <w:r>
        <w:rPr/>
      </w:r>
    </w:p>
    <w:tbl>
      <w:tblPr>
        <w:tblW w:w="9558" w:type="dxa"/>
        <w:jc w:val="start"/>
        <w:tblInd w:w="0" w:type="dxa"/>
        <w:tblLayout w:type="fixed"/>
        <w:tblCellMar>
          <w:top w:w="0" w:type="dxa"/>
          <w:start w:w="108" w:type="dxa"/>
          <w:bottom w:w="0" w:type="dxa"/>
          <w:end w:w="108" w:type="dxa"/>
        </w:tblCellMar>
      </w:tblPr>
      <w:tblGrid>
        <w:gridCol w:w="2088"/>
        <w:gridCol w:w="2970"/>
        <w:gridCol w:w="2070"/>
        <w:gridCol w:w="2390"/>
        <w:gridCol w:w="40"/>
      </w:tblGrid>
      <w:tr>
        <w:trPr/>
        <w:tc>
          <w:tcPr>
            <w:tcW w:w="2088" w:type="dxa"/>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Data</w:t>
            </w:r>
          </w:p>
        </w:tc>
        <w:tc>
          <w:tcPr>
            <w:tcW w:w="2970" w:type="dxa"/>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Description</w:t>
            </w:r>
          </w:p>
        </w:tc>
        <w:tc>
          <w:tcPr>
            <w:tcW w:w="2070" w:type="dxa"/>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Data Type</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jc w:val="center"/>
              <w:rPr>
                <w:b/>
              </w:rPr>
            </w:pPr>
            <w:r>
              <w:rPr>
                <w:b/>
              </w:rPr>
              <w:t>Possible Entries</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OPR_DT</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Operating Date of Dispatch Instruction.</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DATE</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INTERVAL_TIME</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Operating Interval for the Dispatch Instruction in real-time format.</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VARCHAR2(13)</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00:00-00:10 through 23:50-24:00, 25:00-25:10 through 25:50-26:00 for HE 25</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RES_ID</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Resource ID.</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VARCHAR2(32)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INTERCH_ID</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Unique Interchange Identifier.</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VARCHAR2(32)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SERVICE_TYPE</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Type of service provided.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VARCHAR2(4)</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SPIN, NSPN, RPLC, SUPP, OSM, RMR</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INSTR_CLASS</w:t>
            </w:r>
          </w:p>
        </w:tc>
        <w:tc>
          <w:tcPr>
            <w:tcW w:w="2970" w:type="dxa"/>
            <w:tcBorders>
              <w:top w:val="single" w:sz="12" w:space="0" w:color="000000"/>
              <w:start w:val="single" w:sz="12" w:space="0" w:color="000000"/>
              <w:bottom w:val="single" w:sz="12" w:space="0" w:color="000000"/>
              <w:end w:val="single" w:sz="12" w:space="0" w:color="000000"/>
            </w:tcBorders>
          </w:tcPr>
          <w:p>
            <w:pPr>
              <w:pStyle w:val="Header"/>
              <w:tabs>
                <w:tab w:val="clear" w:pos="4320"/>
                <w:tab w:val="clear" w:pos="8640"/>
              </w:tabs>
              <w:rPr/>
            </w:pPr>
            <w:r>
              <w:rPr/>
              <w:t xml:space="preserve">Denotes In-Sequence vs Pre-Dispatch vs Out-of Sequence instructions.  In-Sequence (SEQ) represents standard sequence instructions.  Pre-Dispatch (PRE) represents instructions that were arranged and agreed to prior to the operating hour.  Out-of-Sequence (OOS) represents out-of sequence, out-of-market, and reliability-must-run instructions.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VARCHAR2(3)</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SEQ, PRE, OOS</w:t>
            </w:r>
          </w:p>
          <w:p>
            <w:pPr>
              <w:pStyle w:val="Normal"/>
              <w:rPr/>
            </w:pPr>
            <w:r>
              <w:rPr/>
              <w:t>Instructions that are both OOS and PRE will be labeled as PRE.</w:t>
            </w:r>
          </w:p>
        </w:tc>
        <w:tc>
          <w:tcPr>
            <w:tcW w:w="40" w:type="dxa"/>
            <w:tcBorders/>
            <w:tcMar>
              <w:start w:w="0" w:type="dxa"/>
              <w:end w:w="0" w:type="dxa"/>
            </w:tcMar>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BID_TOT</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Accumulated MW dispatch for the hour, through the last accepted instruction.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c>
          <w:tcPr>
            <w:tcW w:w="40" w:type="dxa"/>
            <w:tcBorders/>
            <w:tcMar>
              <w:start w:w="0" w:type="dxa"/>
              <w:end w:w="0" w:type="dxa"/>
            </w:tcMar>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Header"/>
              <w:keepNext w:val="true"/>
              <w:tabs>
                <w:tab w:val="clear" w:pos="4320"/>
                <w:tab w:val="clear" w:pos="8640"/>
              </w:tabs>
              <w:rPr/>
            </w:pPr>
            <w:r>
              <w:rPr/>
              <w:t>MIN_ACCEPT</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Indicates minimum MW amount of current instruction that must be accepted.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c>
          <w:tcPr>
            <w:tcW w:w="40" w:type="dxa"/>
            <w:tcBorders/>
            <w:tcMar>
              <w:start w:w="0" w:type="dxa"/>
              <w:end w:w="0" w:type="dxa"/>
            </w:tcMar>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HRLY_MW</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Final Hour Ahead energy schedule.</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TEL_MW</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Actual MW telemetry reading from the resource as reported to the EMS system.</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BID_RAMP</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Resource ramp rate</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NUMBER(5,2) </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0 – 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BID_PRICE</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Bid price for the block of energy requested.  Will be the most expensive block of energy taken, or the target price, whichever is greater.</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INC_DEC_MW</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Represents MW value of current requested instruction.</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ACCEPT_MW</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Indicates MW value accepted.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-9999.99 – 9999.99</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Header"/>
              <w:keepNext w:val="true"/>
              <w:tabs>
                <w:tab w:val="clear" w:pos="4320"/>
                <w:tab w:val="clear" w:pos="8640"/>
              </w:tabs>
              <w:rPr/>
            </w:pPr>
            <w:r>
              <w:rPr/>
              <w:t>REASON</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 xml:space="preserve">Reason provided by MP in the event of a Partial Accept or Decline response.   </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NUMBER(3)</w:t>
            </w:r>
          </w:p>
          <w:p>
            <w:pPr>
              <w:pStyle w:val="Normal"/>
              <w:rPr/>
            </w:pPr>
            <w:r>
              <w:rPr/>
              <w:t>Reasons are represented as a numeric code.  Mappings of codes are as follows.</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Header"/>
              <w:tabs>
                <w:tab w:val="clear" w:pos="4320"/>
                <w:tab w:val="clear" w:pos="8640"/>
                <w:tab w:val="left" w:pos="323" w:leader="none"/>
              </w:tabs>
              <w:rPr/>
            </w:pPr>
            <w:r>
              <w:rPr/>
              <w:t>0=</w:t>
              <w:tab/>
              <w:t>Accepted Instruction</w:t>
            </w:r>
          </w:p>
          <w:p>
            <w:pPr>
              <w:pStyle w:val="Header"/>
              <w:tabs>
                <w:tab w:val="clear" w:pos="4320"/>
                <w:tab w:val="clear" w:pos="8640"/>
                <w:tab w:val="left" w:pos="323" w:leader="none"/>
              </w:tabs>
              <w:rPr/>
            </w:pPr>
            <w:r>
              <w:rPr/>
              <w:t>1=</w:t>
              <w:tab/>
              <w:t>Water Management</w:t>
            </w:r>
          </w:p>
          <w:p>
            <w:pPr>
              <w:pStyle w:val="Header"/>
              <w:tabs>
                <w:tab w:val="clear" w:pos="4320"/>
                <w:tab w:val="clear" w:pos="8640"/>
                <w:tab w:val="left" w:pos="323" w:leader="none"/>
              </w:tabs>
              <w:rPr/>
            </w:pPr>
            <w:r>
              <w:rPr/>
              <w:t>2=</w:t>
              <w:tab/>
              <w:t>Equipment Failure</w:t>
            </w:r>
          </w:p>
          <w:p>
            <w:pPr>
              <w:pStyle w:val="Header"/>
              <w:tabs>
                <w:tab w:val="clear" w:pos="4320"/>
                <w:tab w:val="clear" w:pos="8640"/>
                <w:tab w:val="left" w:pos="323" w:leader="none"/>
              </w:tabs>
              <w:rPr/>
            </w:pPr>
            <w:r>
              <w:rPr/>
              <w:t>3=</w:t>
              <w:tab/>
              <w:t>Unit Forced Out</w:t>
            </w:r>
          </w:p>
          <w:p>
            <w:pPr>
              <w:pStyle w:val="Header"/>
              <w:tabs>
                <w:tab w:val="clear" w:pos="4320"/>
                <w:tab w:val="clear" w:pos="8640"/>
                <w:tab w:val="left" w:pos="323" w:leader="none"/>
              </w:tabs>
              <w:rPr/>
            </w:pPr>
            <w:r>
              <w:rPr/>
              <w:t>4=</w:t>
              <w:tab/>
              <w:t>Safety</w:t>
            </w:r>
          </w:p>
          <w:p>
            <w:pPr>
              <w:pStyle w:val="Header"/>
              <w:tabs>
                <w:tab w:val="clear" w:pos="4320"/>
                <w:tab w:val="clear" w:pos="8640"/>
                <w:tab w:val="left" w:pos="323" w:leader="none"/>
              </w:tabs>
              <w:rPr/>
            </w:pPr>
            <w:r>
              <w:rPr/>
              <w:t>5=</w:t>
              <w:tab/>
              <w:t>Fuel Constraint</w:t>
            </w:r>
          </w:p>
          <w:p>
            <w:pPr>
              <w:pStyle w:val="Header"/>
              <w:tabs>
                <w:tab w:val="clear" w:pos="4320"/>
                <w:tab w:val="clear" w:pos="8640"/>
                <w:tab w:val="left" w:pos="323" w:leader="none"/>
              </w:tabs>
              <w:rPr/>
            </w:pPr>
            <w:r>
              <w:rPr/>
              <w:t>6=</w:t>
              <w:tab/>
              <w:t>Emission Constraint</w:t>
            </w:r>
          </w:p>
          <w:p>
            <w:pPr>
              <w:pStyle w:val="Header"/>
              <w:tabs>
                <w:tab w:val="clear" w:pos="4320"/>
                <w:tab w:val="clear" w:pos="8640"/>
                <w:tab w:val="left" w:pos="323" w:leader="none"/>
              </w:tabs>
              <w:rPr/>
            </w:pPr>
            <w:r>
              <w:rPr/>
              <w:t>7=</w:t>
              <w:tab/>
              <w:t xml:space="preserve">Environment </w:t>
              <w:tab/>
              <w:t>Constraint</w:t>
            </w:r>
          </w:p>
          <w:p>
            <w:pPr>
              <w:pStyle w:val="Header"/>
              <w:tabs>
                <w:tab w:val="clear" w:pos="4320"/>
                <w:tab w:val="clear" w:pos="8640"/>
                <w:tab w:val="left" w:pos="323" w:leader="none"/>
              </w:tabs>
              <w:rPr/>
            </w:pPr>
            <w:r>
              <w:rPr/>
              <w:t>8=</w:t>
              <w:tab/>
              <w:t>Intertie Reasons</w:t>
            </w:r>
          </w:p>
          <w:p>
            <w:pPr>
              <w:pStyle w:val="Header"/>
              <w:tabs>
                <w:tab w:val="clear" w:pos="4320"/>
                <w:tab w:val="clear" w:pos="8640"/>
                <w:tab w:val="left" w:pos="323" w:leader="none"/>
              </w:tabs>
              <w:rPr/>
            </w:pPr>
            <w:r>
              <w:rPr/>
              <w:t>9=</w:t>
              <w:tab/>
              <w:t>Line derate</w:t>
            </w:r>
          </w:p>
          <w:p>
            <w:pPr>
              <w:pStyle w:val="Header"/>
              <w:tabs>
                <w:tab w:val="clear" w:pos="4320"/>
                <w:tab w:val="clear" w:pos="8640"/>
                <w:tab w:val="left" w:pos="323" w:leader="none"/>
              </w:tabs>
              <w:rPr/>
            </w:pPr>
            <w:r>
              <w:rPr/>
              <w:t>10=</w:t>
              <w:tab/>
              <w:t>Line down</w:t>
            </w:r>
          </w:p>
          <w:p>
            <w:pPr>
              <w:pStyle w:val="Header"/>
              <w:tabs>
                <w:tab w:val="clear" w:pos="4320"/>
                <w:tab w:val="clear" w:pos="8640"/>
                <w:tab w:val="left" w:pos="323" w:leader="none"/>
              </w:tabs>
              <w:rPr/>
            </w:pPr>
            <w:r>
              <w:rPr/>
              <w:t>11=</w:t>
              <w:tab/>
              <w:t xml:space="preserve">Economic </w:t>
              <w:tab/>
              <w:t>Considerations</w:t>
            </w:r>
          </w:p>
          <w:p>
            <w:pPr>
              <w:pStyle w:val="Header"/>
              <w:tabs>
                <w:tab w:val="clear" w:pos="4320"/>
                <w:tab w:val="clear" w:pos="8640"/>
                <w:tab w:val="left" w:pos="323" w:leader="none"/>
              </w:tabs>
              <w:rPr/>
            </w:pPr>
            <w:r>
              <w:rPr/>
              <w:t>13=</w:t>
              <w:tab/>
              <w:t>Unit Derate</w:t>
            </w:r>
          </w:p>
          <w:p>
            <w:pPr>
              <w:pStyle w:val="Header"/>
              <w:tabs>
                <w:tab w:val="clear" w:pos="4320"/>
                <w:tab w:val="clear" w:pos="8640"/>
                <w:tab w:val="left" w:pos="323" w:leader="none"/>
              </w:tabs>
              <w:rPr/>
            </w:pPr>
            <w:r>
              <w:rPr/>
              <w:t>14=</w:t>
              <w:tab/>
              <w:t xml:space="preserve">No Available </w:t>
              <w:tab/>
              <w:t>Transmission</w:t>
            </w:r>
          </w:p>
          <w:p>
            <w:pPr>
              <w:pStyle w:val="Header"/>
              <w:tabs>
                <w:tab w:val="clear" w:pos="4320"/>
                <w:tab w:val="clear" w:pos="8640"/>
                <w:tab w:val="left" w:pos="323" w:leader="none"/>
              </w:tabs>
              <w:rPr/>
            </w:pPr>
            <w:r>
              <w:rPr/>
              <w:t>15=</w:t>
              <w:tab/>
              <w:t xml:space="preserve">Timed Out: Minimum </w:t>
              <w:tab/>
              <w:t>Accepted</w:t>
            </w:r>
          </w:p>
          <w:p>
            <w:pPr>
              <w:pStyle w:val="Header"/>
              <w:tabs>
                <w:tab w:val="clear" w:pos="4320"/>
                <w:tab w:val="clear" w:pos="8640"/>
                <w:tab w:val="left" w:pos="323" w:leader="none"/>
              </w:tabs>
              <w:rPr/>
            </w:pPr>
            <w:r>
              <w:rPr/>
              <w:t>16=</w:t>
              <w:tab/>
              <w:t xml:space="preserve">Timed Out: Forced </w:t>
              <w:tab/>
              <w:t>Decline</w:t>
            </w:r>
          </w:p>
          <w:p>
            <w:pPr>
              <w:pStyle w:val="Header"/>
              <w:tabs>
                <w:tab w:val="clear" w:pos="4320"/>
                <w:tab w:val="clear" w:pos="8640"/>
                <w:tab w:val="left" w:pos="323" w:leader="none"/>
              </w:tabs>
              <w:rPr/>
            </w:pPr>
            <w:r>
              <w:rPr/>
              <w:t>[NULL] = pre-dispatches, AGC dispatches, and non-responses.</w:t>
            </w:r>
          </w:p>
        </w:tc>
      </w:tr>
      <w:tr>
        <w:trPr/>
        <w:tc>
          <w:tcPr>
            <w:tcW w:w="2088" w:type="dxa"/>
            <w:tcBorders>
              <w:top w:val="single" w:sz="12" w:space="0" w:color="000000"/>
              <w:start w:val="single" w:sz="12" w:space="0" w:color="000000"/>
              <w:end w:val="single" w:sz="12" w:space="0" w:color="000000"/>
            </w:tcBorders>
          </w:tcPr>
          <w:p>
            <w:pPr>
              <w:pStyle w:val="Header"/>
              <w:keepNext w:val="true"/>
              <w:tabs>
                <w:tab w:val="clear" w:pos="4320"/>
                <w:tab w:val="clear" w:pos="8640"/>
              </w:tabs>
              <w:rPr/>
            </w:pPr>
            <w:r>
              <w:rPr/>
              <w:t>ACCEPT_STS</w:t>
            </w:r>
          </w:p>
        </w:tc>
        <w:tc>
          <w:tcPr>
            <w:tcW w:w="2970" w:type="dxa"/>
            <w:tcBorders>
              <w:top w:val="single" w:sz="12" w:space="0" w:color="000000"/>
              <w:start w:val="single" w:sz="12" w:space="0" w:color="000000"/>
              <w:end w:val="single" w:sz="12" w:space="0" w:color="000000"/>
            </w:tcBorders>
          </w:tcPr>
          <w:p>
            <w:pPr>
              <w:pStyle w:val="Normal"/>
              <w:rPr/>
            </w:pPr>
            <w:r>
              <w:rPr/>
              <w:t>Accept Status.  Will be null for pre-dispatch instructions, as well as non-responses.</w:t>
            </w:r>
          </w:p>
        </w:tc>
        <w:tc>
          <w:tcPr>
            <w:tcW w:w="2070" w:type="dxa"/>
            <w:tcBorders>
              <w:top w:val="single" w:sz="12" w:space="0" w:color="000000"/>
              <w:start w:val="single" w:sz="12" w:space="0" w:color="000000"/>
              <w:end w:val="single" w:sz="12" w:space="0" w:color="000000"/>
            </w:tcBorders>
          </w:tcPr>
          <w:p>
            <w:pPr>
              <w:pStyle w:val="Normal"/>
              <w:rPr/>
            </w:pPr>
            <w:r>
              <w:rPr/>
              <w:t>VARCHAR2(8)</w:t>
            </w:r>
          </w:p>
        </w:tc>
        <w:tc>
          <w:tcPr>
            <w:tcW w:w="2430" w:type="dxa"/>
            <w:gridSpan w:val="2"/>
            <w:tcBorders>
              <w:top w:val="single" w:sz="12" w:space="0" w:color="000000"/>
              <w:start w:val="single" w:sz="12" w:space="0" w:color="000000"/>
              <w:end w:val="single" w:sz="12" w:space="0" w:color="000000"/>
            </w:tcBorders>
          </w:tcPr>
          <w:p>
            <w:pPr>
              <w:pStyle w:val="Normal"/>
              <w:rPr/>
            </w:pPr>
            <w:r>
              <w:rPr/>
              <w:t>ACCEPT, PARTIAL, DECLINE, [NULL]</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START_HR</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Indicates operating hour (real-time) in which the Participant responds to the instruction.  A flag of –1 is used to indicate pre-dispatches and non-responses.</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-1, 0-23, 25 for HE 25</w:t>
            </w:r>
          </w:p>
        </w:tc>
      </w:tr>
      <w:tr>
        <w:trPr>
          <w:trHeight w:val="933" w:hRule="atLeast"/>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START_MI</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Indicates operating minute that the instruction is responded to by Participant.  Value is null for pre-dispatches and non-responses.</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NUMBER(2)</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1-60, [NULL]</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RESPONDER</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Indicates name of person logged into ADS and responding to instructions.  Value is null for pre-dispatches, AGC dispatches, and non-responses.</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VARCHAR2(40)</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ABC1_JOHN DOE, [NULL]</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Header"/>
              <w:keepNext w:val="true"/>
              <w:tabs>
                <w:tab w:val="clear" w:pos="4320"/>
                <w:tab w:val="clear" w:pos="8640"/>
              </w:tabs>
              <w:rPr/>
            </w:pPr>
            <w:r>
              <w:rPr/>
              <w:t>REG_FLAG</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Flag to indicate whether or not the resource is on AGC.</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VARCHAR2(1)</w:t>
            </w:r>
          </w:p>
        </w:tc>
        <w:tc>
          <w:tcPr>
            <w:tcW w:w="2430" w:type="dxa"/>
            <w:gridSpan w:val="2"/>
            <w:tcBorders>
              <w:top w:val="single" w:sz="12" w:space="0" w:color="000000"/>
              <w:start w:val="single" w:sz="12" w:space="0" w:color="000000"/>
              <w:bottom w:val="single" w:sz="12" w:space="0" w:color="000000"/>
              <w:end w:val="single" w:sz="12" w:space="0" w:color="000000"/>
            </w:tcBorders>
          </w:tcPr>
          <w:p>
            <w:pPr>
              <w:pStyle w:val="Normal"/>
              <w:rPr/>
            </w:pPr>
            <w:r>
              <w:rPr/>
              <w:t>Y or N.  Y indicates unit is providing regulation.</w:t>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MIN_MAX</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Flag to indicate whether the value in the GOTO field is a minimum or maximum limit.</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VARCHAR2(1)</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MIN = min limit</w:t>
              <w:br/>
              <w:t>MAX = max limit</w:t>
              <w:br/>
              <w:t>null = GOTO is null</w:t>
            </w:r>
          </w:p>
        </w:tc>
        <w:tc>
          <w:tcPr>
            <w:tcW w:w="40" w:type="dxa"/>
            <w:tcBorders/>
            <w:tcMar>
              <w:start w:w="0" w:type="dxa"/>
              <w:end w:w="0" w:type="dxa"/>
            </w:tcMar>
          </w:tcPr>
          <w:p>
            <w:pPr>
              <w:pStyle w:val="Normal"/>
              <w:snapToGrid w:val="false"/>
              <w:rPr/>
            </w:pPr>
            <w:r>
              <w:rPr/>
            </w:r>
          </w:p>
        </w:tc>
      </w:tr>
      <w:tr>
        <w:trPr/>
        <w:tc>
          <w:tcPr>
            <w:tcW w:w="2088" w:type="dxa"/>
            <w:tcBorders>
              <w:top w:val="single" w:sz="12" w:space="0" w:color="000000"/>
              <w:start w:val="single" w:sz="12" w:space="0" w:color="000000"/>
              <w:bottom w:val="single" w:sz="12" w:space="0" w:color="000000"/>
              <w:end w:val="single" w:sz="12" w:space="0" w:color="000000"/>
            </w:tcBorders>
          </w:tcPr>
          <w:p>
            <w:pPr>
              <w:pStyle w:val="Normal"/>
              <w:rPr/>
            </w:pPr>
            <w:r>
              <w:rPr/>
              <w:t>GOTO</w:t>
            </w:r>
          </w:p>
        </w:tc>
        <w:tc>
          <w:tcPr>
            <w:tcW w:w="2970" w:type="dxa"/>
            <w:tcBorders>
              <w:top w:val="single" w:sz="12" w:space="0" w:color="000000"/>
              <w:start w:val="single" w:sz="12" w:space="0" w:color="000000"/>
              <w:bottom w:val="single" w:sz="12" w:space="0" w:color="000000"/>
              <w:end w:val="single" w:sz="12" w:space="0" w:color="000000"/>
            </w:tcBorders>
          </w:tcPr>
          <w:p>
            <w:pPr>
              <w:pStyle w:val="Normal"/>
              <w:rPr/>
            </w:pPr>
            <w:r>
              <w:rPr/>
              <w:t>Target operating level for reliability purposes.</w:t>
            </w:r>
          </w:p>
        </w:tc>
        <w:tc>
          <w:tcPr>
            <w:tcW w:w="2070" w:type="dxa"/>
            <w:tcBorders>
              <w:top w:val="single" w:sz="12" w:space="0" w:color="000000"/>
              <w:start w:val="single" w:sz="12" w:space="0" w:color="000000"/>
              <w:bottom w:val="single" w:sz="12" w:space="0" w:color="000000"/>
              <w:end w:val="single" w:sz="12" w:space="0" w:color="000000"/>
            </w:tcBorders>
          </w:tcPr>
          <w:p>
            <w:pPr>
              <w:pStyle w:val="Normal"/>
              <w:rPr/>
            </w:pPr>
            <w:r>
              <w:rPr/>
              <w:t>NUMBER(6,2)</w:t>
            </w:r>
          </w:p>
        </w:tc>
        <w:tc>
          <w:tcPr>
            <w:tcW w:w="2390" w:type="dxa"/>
            <w:tcBorders>
              <w:top w:val="single" w:sz="12" w:space="0" w:color="000000"/>
              <w:start w:val="single" w:sz="12" w:space="0" w:color="000000"/>
              <w:bottom w:val="single" w:sz="12" w:space="0" w:color="000000"/>
              <w:end w:val="single" w:sz="12" w:space="0" w:color="000000"/>
            </w:tcBorders>
          </w:tcPr>
          <w:p>
            <w:pPr>
              <w:pStyle w:val="Normal"/>
              <w:rPr/>
            </w:pPr>
            <w:r>
              <w:rPr/>
              <w:t>-9999.99 – 9999.99, null if no reliability requirement.</w:t>
            </w:r>
          </w:p>
        </w:tc>
        <w:tc>
          <w:tcPr>
            <w:tcW w:w="40" w:type="dxa"/>
            <w:tcBorders/>
            <w:tcMar>
              <w:start w:w="0" w:type="dxa"/>
              <w:end w:w="0" w:type="dxa"/>
            </w:tcMar>
          </w:tcPr>
          <w:p>
            <w:pPr>
              <w:pStyle w:val="Normal"/>
              <w:snapToGrid w:val="false"/>
              <w:rPr/>
            </w:pPr>
            <w:r>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lang w:eastAsia="en-US"/>
      </w:rPr>
      <w:fldChar w:fldCharType="begin"/>
    </w:r>
    <w:r>
      <w:rPr>
        <w:lang w:eastAsia="en-US"/>
      </w:rPr>
      <w:instrText xml:space="preserve"> FILENAME </w:instrText>
    </w:r>
    <w:r>
      <w:rPr>
        <w:lang w:eastAsia="en-US"/>
      </w:rPr>
      <w:fldChar w:fldCharType="separate"/>
    </w:r>
    <w:r>
      <w:rPr>
        <w:lang w:eastAsia="en-US"/>
      </w:rPr>
      <w:t>ADS_Download_File_Data_Dictionary.doc</w:t>
    </w:r>
    <w:r>
      <w:rPr>
        <w:lang w:eastAsia="en-US"/>
      </w:rPr>
      <w:fldChar w:fldCharType="end"/>
    </w:r>
    <w:r>
      <w:rPr>
        <w:lang w:eastAsia="en-US"/>
      </w:rPr>
      <w:tab/>
      <w:tab/>
      <w:t>7/25/01</w:t>
    </w:r>
  </w:p>
  <w:p>
    <w:pPr>
      <w:pStyle w:val="Footer"/>
      <w:tabs>
        <w:tab w:val="clear" w:pos="8640"/>
        <w:tab w:val="center" w:pos="4320" w:leader="none"/>
        <w:tab w:val="right" w:pos="9180" w:leader="none"/>
      </w:tabs>
      <w:rPr/>
    </w:pPr>
    <w:r>
      <w:rPr/>
      <w:t>G. Ford</w:t>
      <w:tab/>
      <w:tab/>
      <w:t>Proposed Rev. 1.3</w:t>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2000-08-30T21:35:00Z</dcterms:created>
  <dc:creator>ISOUser</dc:creator>
  <dc:description/>
  <dc:language>en-CA</dc:language>
  <cp:lastModifiedBy>Greg R Ford</cp:lastModifiedBy>
  <cp:lastPrinted>2000-12-08T16:34:00Z</cp:lastPrinted>
  <dcterms:modified xsi:type="dcterms:W3CDTF">2001-07-25T16:45:00Z</dcterms:modified>
  <cp:revision>27</cp:revision>
  <dc:subject/>
  <dc:title>ADS Download File Data Dictionary</dc:title>
</cp:coreProperties>
</file>