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M E M O R A N D U M</w:t>
      </w:r>
    </w:p>
    <w:p>
      <w:pPr>
        <w:pStyle w:val="BodyText"/>
        <w:rPr/>
      </w:pPr>
      <w:r>
        <w:rPr/>
      </w:r>
    </w:p>
    <w:p>
      <w:pPr>
        <w:pStyle w:val="BodyText"/>
        <w:rPr/>
      </w:pPr>
      <w:r>
        <w:rPr/>
        <w:t>To:</w:t>
        <w:tab/>
        <w:t xml:space="preserve">RTO Tariff Integration Group </w:t>
      </w:r>
    </w:p>
    <w:p>
      <w:pPr>
        <w:pStyle w:val="BodyText"/>
        <w:rPr/>
      </w:pPr>
      <w:r>
        <w:rPr/>
        <w:t>From:</w:t>
        <w:tab/>
        <w:t>Mary Hain</w:t>
      </w:r>
    </w:p>
    <w:p>
      <w:pPr>
        <w:pStyle w:val="BodyText"/>
        <w:ind w:hanging="720" w:start="720" w:end="0"/>
        <w:rPr/>
      </w:pPr>
      <w:r>
        <w:rPr/>
        <w:t xml:space="preserve">Re: </w:t>
        <w:tab/>
        <w:t>ADR Provision About FERC Filings to Initiate Interconnection and Integration Service in the Absence of an Executed Agreement</w:t>
      </w:r>
    </w:p>
    <w:p>
      <w:pPr>
        <w:pStyle w:val="BodyText"/>
        <w:rPr/>
      </w:pPr>
      <w:r>
        <w:rPr/>
        <w:t>Date:</w:t>
        <w:tab/>
        <w:t>March 2, 2001</w:t>
      </w:r>
    </w:p>
    <w:p>
      <w:pPr>
        <w:pStyle w:val="BodyText"/>
        <w:rPr/>
      </w:pPr>
      <w:r>
        <w:rPr/>
      </w:r>
    </w:p>
    <w:p>
      <w:pPr>
        <w:pStyle w:val="BodyText"/>
        <w:rPr/>
      </w:pPr>
      <w:r>
        <w:rPr/>
      </w:r>
    </w:p>
    <w:p>
      <w:pPr>
        <w:pStyle w:val="BodyText"/>
        <w:rPr>
          <w:b/>
        </w:rPr>
      </w:pPr>
      <w:r>
        <w:rPr>
          <w:b/>
        </w:rPr>
        <w:t>ADR Provision</w:t>
      </w:r>
    </w:p>
    <w:p>
      <w:pPr>
        <w:pStyle w:val="BodyText"/>
        <w:rPr/>
      </w:pPr>
      <w:r>
        <w:rPr/>
      </w:r>
    </w:p>
    <w:p>
      <w:pPr>
        <w:pStyle w:val="BodyText"/>
        <w:rPr/>
      </w:pPr>
      <w:r>
        <w:rPr/>
        <w:t xml:space="preserve">Any dispute between a Transmission Customer and RTO West involving Transmission Services under the Tariff (excluding applications for rate changes or other changes to the Tariff, or to any Service Agreement entered into under the Tariff) . . . . </w:t>
      </w:r>
    </w:p>
    <w:p>
      <w:pPr>
        <w:pStyle w:val="BodyText"/>
        <w:rPr/>
      </w:pPr>
      <w:r>
        <w:rPr/>
      </w:r>
    </w:p>
    <w:p>
      <w:pPr>
        <w:pStyle w:val="BodyText"/>
        <w:rPr/>
      </w:pPr>
      <w:r>
        <w:rPr/>
        <w:t>Drafter’s Note:  As long as we follow the ADR language in the pro forma tariff, I don’t think the ADR provision needs to specifically exclude initiating service without an executed service agreement so long as the tariff also includes a provision similar to that in the pro forma tariff allowing the customer to demand that RTO West file with FERC an unexecuted service agreement.</w:t>
      </w:r>
    </w:p>
    <w:p>
      <w:pPr>
        <w:pStyle w:val="BodyText"/>
        <w:rPr/>
      </w:pPr>
      <w:r>
        <w:rPr/>
      </w:r>
    </w:p>
    <w:p>
      <w:pPr>
        <w:pStyle w:val="BodyText"/>
        <w:rPr>
          <w:b/>
        </w:rPr>
      </w:pPr>
      <w:r>
        <w:rPr>
          <w:b/>
        </w:rPr>
        <w:t>Initiating Service in the Absence of an Executed Service Agreement</w:t>
      </w:r>
    </w:p>
    <w:p>
      <w:pPr>
        <w:pStyle w:val="BodyText"/>
        <w:rPr/>
      </w:pPr>
      <w:r>
        <w:rPr/>
      </w:r>
    </w:p>
    <w:p>
      <w:pPr>
        <w:pStyle w:val="BodyText"/>
        <w:rPr/>
      </w:pPr>
      <w:r>
        <w:rPr/>
        <w:t>If RTO West and the Transmission Customer [Drafter’s note: see definition – it includes someone who requests a generation integration agreement; I think it should also include someone who requests an inteconnection agreement] requesting Transmission Service cannot agree on all the terms and conditions of the Service Agreement, RTO West shall file with the Commission, within thirty (30) days after the date the Transmission Customer provides written notification directing RTO West to file, an unexecuted Service Agreement containing terms and conditions deemed appropriate by RTO West for such requested Transmission Service.  RTO West shall commence providing Transmission Service subject to the Transmission Customer agreeing to (i) compensate RTO West at whatever rate the Commission ultimately determines to be just and reasonable, and (ii) comply with the terms and conditions of the Tariff including posting appropriate security deposits in accordance with the terms of Section 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2001-03-02T16:58:00Z</dcterms:created>
  <dc:creator>mhain</dc:creator>
  <dc:description/>
  <dc:language>en-CA</dc:language>
  <cp:lastModifiedBy>mhain</cp:lastModifiedBy>
  <cp:lastPrinted>2001-03-02T12:07:00Z</cp:lastPrinted>
  <dcterms:modified xsi:type="dcterms:W3CDTF">2001-03-02T17:50:00Z</dcterms:modified>
  <cp:revision>4</cp:revision>
  <dc:subject/>
  <dc:title>Any dispute between a Transmission Customer [Drafter’s note: see definition – it includes someone who requests a generation integration agreement; I think it should also include someone who requests an inteconnection agreement] and the RTO West involving</dc:title>
</cp:coreProperties>
</file>