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t>ARTICLE XII</w:t>
      </w:r>
    </w:p>
    <w:p>
      <w:pPr>
        <w:pStyle w:val="Heading"/>
        <w:numPr>
          <w:ilvl w:val="0"/>
          <w:numId w:val="0"/>
        </w:numPr>
        <w:outlineLvl w:val="0"/>
        <w:rPr>
          <w:color w:val="000000"/>
        </w:rPr>
      </w:pPr>
      <w:r>
        <w:rPr/>
        <w:t>PROPOSED WSCC DISPUTE RESOLUTION PROCEDURES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Times New Roman" w:hAnsi="Times New Roman" w:cs="Times New Roman"/>
          <w:color w:val="000000"/>
        </w:rPr>
      </w:pPr>
      <w:r>
        <w:rPr>
          <w:rFonts w:cs="Times New Roman" w:ascii="Times New Roman" w:hAnsi="Times New Roman"/>
          <w:color w:val="00000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Fonts w:cs="Times New Roman" w:ascii="Times New Roman" w:hAnsi="Times New Roman"/>
        </w:rPr>
        <w:t>12.</w:t>
        <w:tab/>
      </w:r>
      <w:r>
        <w:rPr>
          <w:rFonts w:cs="Times New Roman" w:ascii="Times New Roman" w:hAnsi="Times New Roman"/>
          <w:u w:val="single"/>
        </w:rPr>
        <w:t>DISPUTE RESOLUTION</w:t>
      </w:r>
      <w:r>
        <w:rPr>
          <w:rFonts w:cs="Times New Roman" w:ascii="Times New Roman" w:hAnsi="Times New Roman"/>
        </w:rPr>
        <w:t>.</w:t>
      </w:r>
    </w:p>
    <w:p>
      <w:pPr>
        <w:pStyle w:val="Normal"/>
        <w:numPr>
          <w:ilvl w:val="1"/>
          <w:numId w:val="3"/>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start="0" w:end="0"/>
        <w:rPr>
          <w:rFonts w:ascii="Times New Roman" w:hAnsi="Times New Roman" w:cs="Times New Roman"/>
        </w:rPr>
      </w:pPr>
      <w:r>
        <w:rPr>
          <w:rFonts w:cs="Times New Roman" w:ascii="Times New Roman" w:hAnsi="Times New Roman"/>
          <w:u w:val="single"/>
        </w:rPr>
        <w:t>Obligation To Comply with Dispute Resolution Procedures</w:t>
      </w:r>
      <w:r>
        <w:rPr>
          <w:rFonts w:cs="Times New Roman" w:ascii="Times New Roman" w:hAnsi="Times New Roman"/>
        </w:rPr>
        <w:t xml:space="preserve">.  If any dispute concerning one or more issues identified in Section 12.2 below arises between a Full Member and one or more other Full Members, or between one or more Full Members and the Council, all of the parties to the dispute shall, to the extent permitted by law, be obligated to comply with the dispute resolution procedures specified in Article XII of this Agreement (except to the extent all of the parties to the dispute may agree otherwise as provided in Section 12.4 below).  Only Full Members and the Council have the right to invoke the provisions of Article XII of this Agreement, and, except where all affected parties have separately agreed otherwise with respect to a particular dispute, only Full Members and the Council are obligated to carry out the dispute resolution procedures set forth in Article XII of this Agreement.  Any dispute subject to the provisions of Article XII of this Agreement to which the Council is made a party shall be subject to the additional requirements specified in Section 12.3 below if the dispute is initiated by a party other than the Council.  To the extent permitted by law (and except as otherwise permitted by the provisions of Section 12.6.3 below of this Article XII), no party to a dispute subject to the provisions of Article XII of this Agreement may pursue any other available remedy with respect to the dispute until all of the parties to the dispute have fully complied with the dispute resolution procedures specified in Article XII of this Agreement, </w:t>
      </w:r>
      <w:r>
        <w:rPr>
          <w:rFonts w:cs="Times New Roman" w:ascii="Times New Roman" w:hAnsi="Times New Roman"/>
          <w:i/>
        </w:rPr>
        <w:t>provided, however,</w:t>
      </w:r>
      <w:r>
        <w:rPr>
          <w:rFonts w:cs="Times New Roman" w:ascii="Times New Roman" w:hAnsi="Times New Roman"/>
        </w:rPr>
        <w:t xml:space="preserve"> that if any party to a dispute subject to the provisions of Article XII of this Agreement refuses to comply with the dispute resolution procedures specified in Article XII of this Agreement, all other parties to the dispute shall subsequently be relieved of any further obligation to comply with the dispute resolution procedures specified in Article XII of this Agreement before pursuing other remedies in connection with that dispute.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pPr>
      <w:r>
        <w:rPr>
          <w:rFonts w:cs="Times New Roman" w:ascii="Times New Roman" w:hAnsi="Times New Roman"/>
        </w:rPr>
        <w:t>12.2</w:t>
        <w:tab/>
      </w:r>
      <w:r>
        <w:rPr>
          <w:rFonts w:cs="Times New Roman" w:ascii="Times New Roman" w:hAnsi="Times New Roman"/>
          <w:u w:val="single"/>
        </w:rPr>
        <w:t>Issues Subject to Dispute Resolution Procedures</w:t>
      </w:r>
      <w:r>
        <w:rPr>
          <w:rFonts w:cs="Times New Roman" w:ascii="Times New Roman" w:hAnsi="Times New Roman"/>
        </w:rPr>
        <w:t xml:space="preserve">.  Any dispute between or among the parties identified in Section 12.1 above (that the parties to the dispute do not resolve through negotiations between or among themselves) shall be subject to the dispute resolution procedures set forth in Article XII of this Agreement if the dispute concerns:  (i) the application, implementation, interpretation, or fulfillment of any guidelines, criteria, standards, policies, procedures, or Bylaws of the Council or the North American Electric Reliability Council (or any successor organization); or (ii) any matter specified in Article XII, Section 12.6.2 below.  Notwithstanding the foregoing provisions of this Section 12.2, however, neither the Council nor any Full Member shall be obligated to comply with the dispute resolution procedures of Article XII of this Agreement if:  (a) the matter in dispute falls within the scope of the dispute resolution procedures set forth in the governing agreements of the Western Regional Transmission Association, the Southwest Regional Transmission Association, or the Northwest Regional Transmission Association; (b) the dispute is between two or more Full Members (or the Council), all of which, at the time of the dispute, are parties to the Council’s Reliability Management System Agreement and the matter is within the scope of the dispute resolution procedures set forth in that agreement; or (c) the dispute is between two or more Full Members, all of which, at the time of the dispute, are parties to a separate agreement or treaty or where an applicable tariff, rate schedule, or other legal obligation of one of the parties provides for the parties to resolve the dispute in a manner other than in accordance with the provisions of Article XII of this Agreement.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pPr>
      <w:r>
        <w:rPr>
          <w:rFonts w:cs="Times New Roman" w:ascii="Times New Roman" w:hAnsi="Times New Roman"/>
        </w:rPr>
        <w:t>12.3</w:t>
        <w:tab/>
      </w:r>
      <w:r>
        <w:rPr>
          <w:rFonts w:cs="Times New Roman" w:ascii="Times New Roman" w:hAnsi="Times New Roman"/>
          <w:u w:val="single"/>
        </w:rPr>
        <w:t>Limitations on Full Members’ Rights To Make the Council a Party to a Dispute</w:t>
      </w:r>
      <w:r>
        <w:rPr>
          <w:rFonts w:cs="Times New Roman" w:ascii="Times New Roman" w:hAnsi="Times New Roman"/>
        </w:rPr>
        <w:t>.  In addition to the other provisions of Article XII of this Agreement, any dispute (other than a dispute initiated by the Council) to which the Council is made a party shall be subject to the limitations set forth in Sections 12.3.1 and 12.3.2 below.</w:t>
      </w:r>
    </w:p>
    <w:p>
      <w:pPr>
        <w:pStyle w:val="Normal"/>
        <w:numPr>
          <w:ilvl w:val="2"/>
          <w:numId w:val="2"/>
        </w:numPr>
        <w:tabs>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start="0" w:end="0"/>
        <w:rPr>
          <w:rFonts w:ascii="Times New Roman" w:hAnsi="Times New Roman" w:cs="Times New Roman"/>
        </w:rPr>
      </w:pPr>
      <w:r>
        <w:rPr>
          <w:rFonts w:cs="Times New Roman" w:ascii="Times New Roman" w:hAnsi="Times New Roman"/>
          <w:u w:val="single"/>
        </w:rPr>
        <w:t>Bases for Using Dispute Resolution Procedures To Challenge Council Action</w:t>
      </w:r>
      <w:r>
        <w:rPr>
          <w:rFonts w:cs="Times New Roman" w:ascii="Times New Roman" w:hAnsi="Times New Roman"/>
        </w:rPr>
        <w:t>.  One or more Full Members may use the dispute resolution procedures specified in Article XII of this Agreement to challenge any final action of the Council (including any body, such as a committee, subcommittee, task force, or other group acting under authority of the Council) only on one or more of the following bases:  (i) the action is contrary to applicable law or regulation; (ii) the action is contrary to the Council’s Articles of Incorporation or this Agreement (including the Council’s purposes as set forth in those documents); (iii) the action was taken in violation of applicable procedures of the Council governing that action; or (iv) the action encompasses a decision in which there was plain error material to the decision.  For purposes of Article XII, Section 12.3 of this Agreement, action taken by the Council shall be deemed final if:  (a) the action has been taken or adopted or approved or accepted by the Council’s Board of Trustees (other than by a motion specifically providing that the action is conditional or will have temporary application not to exceed six months); (b) all conditions specified to make any conditional action of the Council’s Board of Trustees effective have been fulfilled; or (c) the action has been taken or adopted or approved or accepted by a committee, subcommittee, task force, or other group acting under authority of the Council without any provision making the action subject to further approval or adoption or acceptance by another body (such as a committee or the Board of Trustees) acting under authority of the Council.  Nothing contained in Article XII of this Agreement shall limit any rights any Full Member (or any other party) may have under applicable law or regulation to initiate or participate in an administrative or legal action to which the Council is made a party in accordance with applicable provisions of law or regulation.</w:t>
      </w:r>
    </w:p>
    <w:p>
      <w:pPr>
        <w:pStyle w:val="Normal"/>
        <w:numPr>
          <w:ilvl w:val="2"/>
          <w:numId w:val="2"/>
        </w:numPr>
        <w:tabs>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start="0" w:end="0"/>
        <w:rPr>
          <w:rFonts w:ascii="Times New Roman" w:hAnsi="Times New Roman" w:cs="Times New Roman"/>
        </w:rPr>
      </w:pPr>
      <w:r>
        <w:rPr>
          <w:rFonts w:cs="Times New Roman" w:ascii="Times New Roman" w:hAnsi="Times New Roman"/>
          <w:u w:val="single"/>
        </w:rPr>
        <w:t>Obligation to Bear Council’s Share of Facilitator Costs</w:t>
      </w:r>
      <w:r>
        <w:rPr>
          <w:rFonts w:cs="Times New Roman" w:ascii="Times New Roman" w:hAnsi="Times New Roman"/>
        </w:rPr>
        <w:t>.  If one or more Full Members initiate a dispute under Article XII of this Agreement to challenge action of the Council, the Full Member(s) initiating the challenge shall be obligated to bear all of the costs of facilitators’ services incurred to comply with the requirement of Article XII, Section 12.5 below, except to the extent the Council agrees to pay a share of the costs of facilitators’ services.</w:t>
      </w:r>
    </w:p>
    <w:p>
      <w:pPr>
        <w:pStyle w:val="Normal"/>
        <w:tabs>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Fonts w:cs="Times New Roman" w:ascii="Times New Roman" w:hAnsi="Times New Roman"/>
        </w:rPr>
        <w:tab/>
        <w:t>12.4</w:t>
        <w:tab/>
      </w:r>
      <w:r>
        <w:rPr>
          <w:rFonts w:cs="Times New Roman" w:ascii="Times New Roman" w:hAnsi="Times New Roman"/>
          <w:u w:val="single"/>
        </w:rPr>
        <w:t>Ability to Modify Dispute Resolution Procedures by Agreement</w:t>
      </w:r>
      <w:r>
        <w:rPr>
          <w:rFonts w:cs="Times New Roman" w:ascii="Times New Roman" w:hAnsi="Times New Roman"/>
        </w:rPr>
        <w:t>.  Any provision of the dispute resolution procedures set forth in Article XII of this Agreement may be modified, waived, or omitted by agreement of all of the parties to the dispute.  Parties to a dispute subject to the provisions of Article XII of this Agreement are obligated to comply with its procedures only to the extent that all of the parties to the dispute do not agree to do otherwise.  The manner in which the dispute resolution procedures set forth in Article XII of this Agreement may be varied include (by way of example and not as limitation):  the manner of selecting a facilitator or arbitrator; the procedures or time lines to be followed during mediation or arbitration; the grounds or forum or right to appeal an arbitrator’s decision; the manner of allocating fees and costs associated with the dispute; whether the parties are obligated to proceed to arbitration if the dispute is not resolved through mediation; and whether a decision rendered through arbitration is binding on the parties.  In addition, any dispute that does not fall within the scope specified in Section 12.2 above may be resolved according to the procedures set forth in Article XII of this Agreement if all of the parties to the dispute agree to do so.</w:t>
      </w:r>
    </w:p>
    <w:p>
      <w:pPr>
        <w:pStyle w:val="Normal"/>
        <w:keepNext w:val="true"/>
        <w:numPr>
          <w:ilvl w:val="1"/>
          <w:numId w:val="6"/>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Times New Roman" w:hAnsi="Times New Roman" w:cs="Times New Roman"/>
        </w:rPr>
      </w:pPr>
      <w:r>
        <w:rPr>
          <w:rFonts w:cs="Times New Roman" w:ascii="Times New Roman" w:hAnsi="Times New Roman"/>
          <w:u w:val="single"/>
        </w:rPr>
        <w:t>Mediation</w:t>
      </w:r>
      <w:r>
        <w:rPr>
          <w:rFonts w:cs="Times New Roman" w:ascii="Times New Roman" w:hAnsi="Times New Roman"/>
        </w:rPr>
        <w:t>.</w:t>
      </w:r>
    </w:p>
    <w:p>
      <w:pPr>
        <w:pStyle w:val="Normal"/>
        <w:keepNext w:val="true"/>
        <w:numPr>
          <w:ilvl w:val="2"/>
          <w:numId w:val="6"/>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start="0" w:end="0"/>
        <w:rPr>
          <w:rFonts w:ascii="Times New Roman" w:hAnsi="Times New Roman" w:cs="Times New Roman"/>
        </w:rPr>
      </w:pPr>
      <w:r>
        <w:rPr>
          <w:rFonts w:cs="Times New Roman" w:ascii="Times New Roman" w:hAnsi="Times New Roman"/>
          <w:u w:val="single"/>
        </w:rPr>
        <w:t>Notice to Other Parties and Council’s Executive Director</w:t>
      </w:r>
      <w:r>
        <w:rPr>
          <w:rFonts w:cs="Times New Roman" w:ascii="Times New Roman" w:hAnsi="Times New Roman"/>
        </w:rPr>
        <w:t xml:space="preserve">.  To initiate the dispute resolution process with respect to a dispute governed by the provisions of Article XII of this Agreement, the Full Member or Council that has elected to initiate the dispute shall deliver to all other parties to the dispute and to the Council’s Executive Director (whether or not the Council is a party to the dispute) written notice invoking the dispute resolution procedures set forth in Article XII of this Agreement (a “Dispute Notice”).  The Dispute Notice shall:  (i) include a brief, general description of the matter(s) in dispute; (ii) include a complete list of all other Full Members the party submitting the Dispute Notice intends to make a party to the dispute; and (iii) state whether or not the Council is to be made a party to the dispute.  Within five business days of receiving a Dispute Notice, any party to the dispute may elect to deliver a brief supplemental description of the dispute to the Council’s Executive Director.  Within 10 business days of receiving an initial Dispute Notice, the Council’s Executive Director shall:  (a) publish (or cause to be published) in the Council’s newsletter or on its electronic bulletin board a notice containing a list of the parties to the dispute and a summary of the descriptions of the matter(s) in dispute provided by the parties to the dispute; and (b) deliver to each party to the dispute a copy of the Council’s then-current standing list of qualified facilitators, knowledgeable in the matters addressed by the Council (as approved by the Board of Trustees).  No person may be listed on the Council’s standing list of qualified facilitators unless the person has agreed to:  (x) disclose, at any time the person is selected to serve as a facilitator under Article XII of this Agreement, any personal or financial interest the facilitator may have with respect to the matter(s) in dispute (including any indirect personal or financial interest that could arise because of interests or relationships affecting any of the facilitator’s immediate family members); (y) disclose any relationship the facilitator may have with any party to the dispute that is not permitted under Article XII, Section 12.5.2 below; and (z) abide by all applicable provisions of this Agreement, including restrictions on disclosure of matters discussed and information exchanged during mediation as provided in Article XII, Section 12.5.3 below. </w:t>
      </w:r>
    </w:p>
    <w:p>
      <w:pPr>
        <w:pStyle w:val="Normal"/>
        <w:numPr>
          <w:ilvl w:val="2"/>
          <w:numId w:val="6"/>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start="0" w:end="0"/>
        <w:rPr>
          <w:rFonts w:ascii="Times New Roman" w:hAnsi="Times New Roman" w:cs="Times New Roman"/>
        </w:rPr>
      </w:pPr>
      <w:r>
        <w:rPr>
          <w:rFonts w:cs="Times New Roman" w:ascii="Times New Roman" w:hAnsi="Times New Roman"/>
          <w:u w:val="single"/>
        </w:rPr>
        <w:t>Selection of a Facilitator</w:t>
      </w:r>
      <w:r>
        <w:rPr>
          <w:rFonts w:cs="Times New Roman" w:ascii="Times New Roman" w:hAnsi="Times New Roman"/>
        </w:rPr>
        <w:t>. Within 10 calendar days after the delivery of a Dispute Notice, the parties to the dispute shall select a neutral facilitator by mutual agreement.  If the parties to the dispute cannot agree on a facilitator within 10 calendar days after delivery of a Dispute Notice, the facilitator shall be selected from the Council’s standing list of qualified facilitators as follows:  The parties to the dispute shall take turns striking names from the Council’s standing list of qualified facilitators until there is only one name remaining.  (The parties to the dispute shall draw lots to determine the order in which they take turns striking names.)  The last person whose name remains on the list shall serve as the facilitator.  No facilitator other than a facilitator chosen by agreement of all the parties to the dispute may (i) have a personal or financial interest in the matter(s) in dispute (including any indirect personal or financial interest that could arise because of interests or relationships affecting any of the facilitator’s immediate family members); or (ii) be (or have an immediate family member who is) a past or present director, commissioner, officer, employee, consultant, agent, or other representative of any of the parties to the dispute.  If the facilitator selected through the process of striking names specified above is disqualified under the preceding sentence, the facilitator whose name was stricken last shall serve in his or her place.  In addition, if the Council is a party to a dispute initiated by one or more Full Members, turns striking names from the standing list of qualified facilitators shall alternate between the Council on the one hand and all other parties to the dispute on the other.</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44"/>
        <w:ind w:firstLine="1440" w:end="0"/>
        <w:rPr/>
      </w:pPr>
      <w:r>
        <w:rPr>
          <w:rFonts w:cs="Times New Roman" w:ascii="Times New Roman" w:hAnsi="Times New Roman"/>
        </w:rPr>
        <w:t>12.5.3</w:t>
        <w:tab/>
      </w:r>
      <w:r>
        <w:rPr>
          <w:rFonts w:cs="Times New Roman" w:ascii="Times New Roman" w:hAnsi="Times New Roman"/>
          <w:u w:val="single"/>
        </w:rPr>
        <w:t>Mediation Process</w:t>
      </w:r>
      <w:r>
        <w:rPr>
          <w:rFonts w:cs="Times New Roman" w:ascii="Times New Roman" w:hAnsi="Times New Roman"/>
        </w:rPr>
        <w:t>.  The facilitator and representatives of all of the parties to the dispute shall meet within 14 calendar days after the facilitator has been selected and attempt in good faith to negotiate a resolution to the dispute.  Each party’s representative designated to participate in the mediation process must have the authority to settle the dispute (or, at a minimum, be authorized to negotiate on behalf of the party and make recommendations with respect to settlement of the dispute if final authority to approve a settlement is reserved to a party’s board, executive committee, commission, or other governing body).  At the parties’ initial meeting with the facilitator, the facilitator shall, after soliciting input from the parties to the dispute, set the schedule for further meetings among the parties to the dispute (subject to the 60-day maximum mediation period specified in Section 12.5.6 below).  The parties to the dispute shall comply with the schedule set by the facilitator and attempt in good faith at every meeting to negotiate a resolution to the dispute.  To the extent permitted by law, neither the facilitator nor any party to the dispute may publicly disclose, rely on, or introduce as evidence in any subsequent arbitration, FERC proceeding, Canadian Regulatory Authority proceeding, proceeding before a Mexican Regulatory Authority, appeal, or litigation concerning the same or any related dispute:  (i) any views expressed or suggestions made by another party to the dispute with respect to a possible settlement of the dispute; (ii) admissions made by another party to the dispute in the course of the mediation proceedings; (iii) proposals made or views expressed by the facilitator; or (iv) the fact that another party to the dispute has or has not indicated willingness to accept a proposal for settlement made by the facilitator.  In those cases in which a party to a dispute subject to the provisions of Article XII of this Agreement is a membership organization (including the Council, if applicable), nothing in the preceding sentence shall prohibit that organization from reasonably communicating with its members and governing body to share general information about the dispute, such as the parties, status, disputed issues, and positions of each of the parties with respect to the disputed issues.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44"/>
        <w:ind w:firstLine="1440" w:end="0"/>
        <w:rPr/>
      </w:pPr>
      <w:r>
        <w:rPr>
          <w:rFonts w:cs="Times New Roman" w:ascii="Times New Roman" w:hAnsi="Times New Roman"/>
        </w:rPr>
        <w:t xml:space="preserve">  </w:t>
      </w:r>
      <w:r>
        <w:rPr>
          <w:rFonts w:cs="Times New Roman" w:ascii="Times New Roman" w:hAnsi="Times New Roman"/>
        </w:rPr>
        <w:t xml:space="preserve">12.5.4  </w:t>
      </w:r>
      <w:r>
        <w:rPr>
          <w:rFonts w:cs="Times New Roman" w:ascii="Times New Roman" w:hAnsi="Times New Roman"/>
          <w:u w:val="single"/>
        </w:rPr>
        <w:t>Referral for Resolution</w:t>
      </w:r>
      <w:r>
        <w:rPr>
          <w:rFonts w:cs="Times New Roman" w:ascii="Times New Roman" w:hAnsi="Times New Roman"/>
        </w:rPr>
        <w:t>.  With the consent of all parties to the dispute, a resolution may include referring the matter to a technical body (such as a technical advisory panel of the Council) for resolution or an advisory opinion, to arbitration, directly to FERC or, in a dispute involving a Canadian Full Member, directly to the appropriate Canadian Regulatory Authority, or, in a dispute involving a Mexican Full Member, directly to the appropriate Mexican Regulatory Authority.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44"/>
        <w:ind w:firstLine="1440" w:end="0"/>
        <w:rPr/>
      </w:pPr>
      <w:r>
        <w:rPr>
          <w:rFonts w:cs="Times New Roman" w:ascii="Times New Roman" w:hAnsi="Times New Roman"/>
        </w:rPr>
        <w:t>12.5.5</w:t>
        <w:tab/>
      </w:r>
      <w:r>
        <w:rPr>
          <w:rFonts w:cs="Times New Roman" w:ascii="Times New Roman" w:hAnsi="Times New Roman"/>
          <w:u w:val="single"/>
        </w:rPr>
        <w:t>Mediation Participation by Council Staff When Council Not a Party</w:t>
      </w:r>
      <w:r>
        <w:rPr>
          <w:rFonts w:cs="Times New Roman" w:ascii="Times New Roman" w:hAnsi="Times New Roman"/>
        </w:rPr>
        <w:t>. If, during the course of mediation to which the Council is not a party, the facilitator or any party to the dispute wishes to solicit the views of Council staff concerning the application, implementation, interpretation, or fulfillment of any guidelines, criteria, standards, policies, or procedures of the Council, the facilitator may request or permit the submission of Council staff views only if:  (i) any participation by Council staff takes place exclusively in the presence of all parties to the dispute; (ii) participating Council staff members agree to be equally available upon request to all parties to the dispute; and (iii) participating Council staff members agree to comply with the restrictions on disclosure contained in Article XII, Section 12.5.3.</w:t>
      </w:r>
      <w:r>
        <w:rPr>
          <w:rFonts w:cs="Times New Roman" w:ascii="Times New Roman" w:hAnsi="Times New Roman"/>
          <w:u w:val="single"/>
        </w:rPr>
        <w:t xml:space="preserve">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20"/>
        <w:ind w:firstLine="1440" w:end="0"/>
        <w:rPr/>
      </w:pPr>
      <w:r>
        <w:rPr>
          <w:rFonts w:cs="Times New Roman" w:ascii="Times New Roman" w:hAnsi="Times New Roman"/>
        </w:rPr>
        <w:t>12.5.6</w:t>
        <w:tab/>
      </w:r>
      <w:r>
        <w:rPr>
          <w:rFonts w:cs="Times New Roman" w:ascii="Times New Roman" w:hAnsi="Times New Roman"/>
          <w:u w:val="single"/>
        </w:rPr>
        <w:t>Mediation Deemed at Impasse After 60 Days</w:t>
      </w:r>
      <w:r>
        <w:rPr>
          <w:rFonts w:cs="Times New Roman" w:ascii="Times New Roman" w:hAnsi="Times New Roman"/>
        </w:rPr>
        <w:t>.  If the parties to the dispute have met and negotiated in good faith in accordance with the schedule set by the facilitator but have not succeeded in negotiating a resolution of the dispute within 60 calendar days after the first meeting with the facilitator pursuant to Section 12.5.3 above, the parties to the dispute shall be deemed to be at impasse and, except as otherwise provided in Section 12.5.6.2 below, shall also be deemed to have fulfilled their obligations under Article XII, Section 12.1 of this Agreement to fully comply with the dispute resolution provisions of this Agreement before pursuing any other available remedy.  If any party participating in the mediation process is subject to a contractual or statutory limitations period with respect to the matter in dispute, and the limitations period will expire before the 60-day period for mediation under this Section 12.5.6 is completed, then the parties shall be deemed at impasse on the seventh calendar day preceding the expiration of the shortest applicable limitations period.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20"/>
        <w:ind w:firstLine="1440" w:end="0"/>
        <w:rPr/>
      </w:pPr>
      <w:r>
        <w:rPr>
          <w:rFonts w:cs="Times New Roman" w:ascii="Times New Roman" w:hAnsi="Times New Roman"/>
        </w:rPr>
        <w:tab/>
        <w:t xml:space="preserve">12.5.6.1  </w:t>
      </w:r>
      <w:r>
        <w:rPr>
          <w:rFonts w:cs="Times New Roman" w:ascii="Times New Roman" w:hAnsi="Times New Roman"/>
          <w:u w:val="single"/>
        </w:rPr>
        <w:t>Disputes Not Subject to Provisions of Section 12.6.2.</w:t>
      </w:r>
      <w:r>
        <w:rPr>
          <w:rFonts w:cs="Times New Roman" w:ascii="Times New Roman" w:hAnsi="Times New Roman"/>
        </w:rPr>
        <w:t xml:space="preserve">  Unless the matter in dispute is subject to the provisions of Article XII, Section 12.6.2 below, at any time after the parties to the dispute are deemed at impasse, the dispute may be submitted to binding arbitration in accordance with the procedures set forth in Article XII, Section 12.7 of this Agreement (but only by agreement of all of the parties to the dispute).  If the matter in dispute is subject to the provisions of Article XII, Section 12.6.2 below, the parties’ obligations with respect to submitting the matter to binding arbitration under Article XII, Sections 12.6 and 12.7 of this Agreement shall be as specified in Section 12.5.6.2 below.  In all other cases, if the parties to the dispute do not agree to submit the dispute to binding arbitration in accordance with the procedures set forth in Article XII, Section 12.7 of this Agreement, any party to the dispute may at any time thereafter pursue any other remedy available under regulation, law, or equity (subject to the restrictions on disclosure set forth in Article XII, Section 12.5.3 above).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20"/>
        <w:ind w:firstLine="1440" w:end="0"/>
        <w:rPr>
          <w:rFonts w:ascii="Times New Roman" w:hAnsi="Times New Roman" w:cs="Times New Roman"/>
          <w:u w:val="single"/>
        </w:rPr>
      </w:pPr>
      <w:r>
        <w:rPr>
          <w:rFonts w:cs="Times New Roman" w:ascii="Times New Roman" w:hAnsi="Times New Roman"/>
        </w:rPr>
        <w:tab/>
        <w:t xml:space="preserve">12.5.6.2  </w:t>
      </w:r>
      <w:r>
        <w:rPr>
          <w:rFonts w:cs="Times New Roman" w:ascii="Times New Roman" w:hAnsi="Times New Roman"/>
          <w:u w:val="single"/>
        </w:rPr>
        <w:t>Disputes Covered by Section 12.6.2.</w:t>
      </w:r>
      <w:r>
        <w:rPr>
          <w:rFonts w:cs="Times New Roman" w:ascii="Times New Roman" w:hAnsi="Times New Roman"/>
        </w:rPr>
        <w:t xml:space="preserve">  If the parties to a dispute concerning a matter subject to the provisions of Article XII, Section 12.6.2 either:  (i) are deemed at impasse after attempting to resolve the matter through mediation as provided in Article XII, Sections 12.5.1 through 12.5.6 above; or (ii) have agreed to submit the matter directly to binding arbitration without attempting to resolve the matter through mediation as provided in Article XII, Sections 12.5.1 through 12.5.6 above, the parties to the dispute shall submit the matter to binding arbitration in accordance with the procedures set forth in Article XII, Sections 12.6 and 12.7 of this Agreement.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20"/>
        <w:rPr/>
      </w:pPr>
      <w:r>
        <w:rPr>
          <w:rFonts w:cs="Times New Roman" w:ascii="Times New Roman" w:hAnsi="Times New Roman"/>
        </w:rPr>
        <w:tab/>
        <w:tab/>
        <w:t>12.5.7</w:t>
        <w:tab/>
      </w:r>
      <w:r>
        <w:rPr>
          <w:rFonts w:cs="Times New Roman" w:ascii="Times New Roman" w:hAnsi="Times New Roman"/>
          <w:u w:val="single"/>
        </w:rPr>
        <w:t>Costs of Facilitator’s Services</w:t>
      </w:r>
      <w:r>
        <w:rPr>
          <w:rFonts w:cs="Times New Roman" w:ascii="Times New Roman" w:hAnsi="Times New Roman"/>
        </w:rPr>
        <w:t>.  Except as otherwise provided under Article XII, Section 12.3.2 of this Agreement, the costs of the facilitator’s services shall be born equally by all parties to the dispute unless the parties to the dispute agree otherwise, but the parties also intend that the costs of mediation should be taken into account in any resolution proposed through the mediation process.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20"/>
        <w:rPr/>
      </w:pPr>
      <w:r>
        <w:rPr>
          <w:rFonts w:cs="Times New Roman" w:ascii="Times New Roman" w:hAnsi="Times New Roman"/>
        </w:rPr>
        <w:tab/>
        <w:tab/>
        <w:t>12.5.8</w:t>
        <w:tab/>
      </w:r>
      <w:r>
        <w:rPr>
          <w:rFonts w:cs="Times New Roman" w:ascii="Times New Roman" w:hAnsi="Times New Roman"/>
          <w:u w:val="single"/>
        </w:rPr>
        <w:t>Notice to Council of Completion of Mediation</w:t>
      </w:r>
      <w:r>
        <w:rPr>
          <w:rFonts w:cs="Times New Roman" w:ascii="Times New Roman" w:hAnsi="Times New Roman"/>
        </w:rPr>
        <w:t>.  Within 10 calendar days after either:  (i) reaching a negotiated resolution through the mediation process set forth in Article XII, Section 12.5 of this Agreement; or (ii) reaching deemed impasse in accordance with Article XII, Section 12.5.6 above, the parties to the dispute shall jointly deliver to the Council’s Executive Director a written notice briefly describing the outcome of the mediation process.  Promptly after receiving written notice describing the outcome of a mediation conducted in accordance with Article XII, Section 12.5 of this Agreement, the Council’s Executive Director shall publish (or cause to be published) in the Council’s newsletter or on its electronic bulletin board a brief description of the outcome of the mediation, together with a list of all of the parties to the dispute.</w:t>
      </w:r>
    </w:p>
    <w:p>
      <w:pPr>
        <w:pStyle w:val="Normal"/>
        <w:keepNext w:val="true"/>
        <w:keepLines/>
        <w:numPr>
          <w:ilvl w:val="1"/>
          <w:numId w:val="5"/>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start="0" w:end="0"/>
        <w:rPr>
          <w:rFonts w:ascii="Times New Roman" w:hAnsi="Times New Roman" w:cs="Times New Roman"/>
        </w:rPr>
      </w:pPr>
      <w:r>
        <w:rPr>
          <w:rFonts w:cs="Times New Roman" w:ascii="Times New Roman" w:hAnsi="Times New Roman"/>
          <w:u w:val="single"/>
        </w:rPr>
        <w:t>General Provisions Relating to Binding Arbitration</w:t>
      </w:r>
      <w:r>
        <w:rPr>
          <w:rFonts w:cs="Times New Roman" w:ascii="Times New Roman" w:hAnsi="Times New Roman"/>
        </w:rPr>
        <w:t xml:space="preserve">.  </w:t>
      </w:r>
    </w:p>
    <w:p>
      <w:pPr>
        <w:pStyle w:val="Normal"/>
        <w:keepNext w:val="true"/>
        <w:keepLines/>
        <w:numPr>
          <w:ilvl w:val="2"/>
          <w:numId w:val="5"/>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start="0" w:end="0"/>
        <w:rPr>
          <w:rFonts w:ascii="Times New Roman" w:hAnsi="Times New Roman" w:cs="Times New Roman"/>
        </w:rPr>
      </w:pPr>
      <w:r>
        <w:rPr>
          <w:rFonts w:cs="Times New Roman" w:ascii="Times New Roman" w:hAnsi="Times New Roman"/>
          <w:u w:val="single"/>
        </w:rPr>
        <w:t>Matters for Which Binding Arbitration is Elective.</w:t>
      </w:r>
      <w:r>
        <w:rPr>
          <w:rFonts w:cs="Times New Roman" w:ascii="Times New Roman" w:hAnsi="Times New Roman"/>
        </w:rPr>
        <w:t xml:space="preserve">  Except with respect to any dispute that concerns one or more matters specified in Article XII, Section 12.6.2 below, the binding arbitration procedures set forth in Article XII, Section 12.7 of this Agreement may be invoked only by agreement of all of the parties to the dispute to be arbitrated and are solely for the convenience of the Council and its Full Members.  If a dispute governed by Article XII of this Agreement does not concern a matter specified in Article XII, Section 12.6.2 below, a party to the dispute shall be deemed to have fulfilled its obligations to comply with Article XII of this Agreement (irrespective of whether the parties to the dispute agree to proceed with binding arbitration) to the extent that either:  (i) that party has fully performed the obligations set forth in Article XII, Sections 12.1 through 12.5.8; or (ii) all of the parties to the dispute have agreed to a different process for resolving the dispute and the agreed-upon process has been fully carried out.</w:t>
      </w:r>
    </w:p>
    <w:p>
      <w:pPr>
        <w:pStyle w:val="Normal"/>
        <w:numPr>
          <w:ilvl w:val="2"/>
          <w:numId w:val="5"/>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start="0" w:end="0"/>
        <w:rPr>
          <w:rFonts w:ascii="Times New Roman" w:hAnsi="Times New Roman" w:cs="Times New Roman"/>
        </w:rPr>
      </w:pPr>
      <w:r>
        <w:rPr>
          <w:rFonts w:cs="Times New Roman" w:ascii="Times New Roman" w:hAnsi="Times New Roman"/>
          <w:u w:val="single"/>
        </w:rPr>
        <w:t>Matters for Which Binding Arbitration Is Obligatory.</w:t>
      </w:r>
      <w:r>
        <w:rPr>
          <w:rFonts w:cs="Times New Roman" w:ascii="Times New Roman" w:hAnsi="Times New Roman"/>
        </w:rPr>
        <w:t xml:space="preserve">  If a dispute is governed by Article XII of this Agreement and is not resolved through the process of mediation in accordance with Article XII, Sections 12.5.1 though 12.5.6 above, the parties shall be obligated to submit the matter to binding arbitration in accordance with the procedures set forth in Article XII, Section 12.7 of this Agreement (subject to the limitations on the arbitrator’s authority set forth in Section 12.6.3 below) if the dispute concerns one or more of the following matters:</w:t>
      </w:r>
    </w:p>
    <w:p>
      <w:pPr>
        <w:pStyle w:val="Normal"/>
        <w:numPr>
          <w:ilvl w:val="0"/>
          <w:numId w:val="1"/>
        </w:numPr>
        <w:tabs>
          <w:tab w:val="clear" w:pos="720"/>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Times New Roman" w:hAnsi="Times New Roman" w:cs="Times New Roman"/>
        </w:rPr>
      </w:pPr>
      <w:r>
        <w:rPr>
          <w:rFonts w:cs="Times New Roman" w:ascii="Times New Roman" w:hAnsi="Times New Roman"/>
        </w:rPr>
        <w:t>a decision of the Council’s Operating Transfer Capability Policy Group (“OTCPG”) or successor;</w:t>
      </w:r>
    </w:p>
    <w:p>
      <w:pPr>
        <w:pStyle w:val="Normal"/>
        <w:numPr>
          <w:ilvl w:val="0"/>
          <w:numId w:val="1"/>
        </w:numPr>
        <w:tabs>
          <w:tab w:val="clear" w:pos="720"/>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Times New Roman" w:hAnsi="Times New Roman" w:cs="Times New Roman"/>
        </w:rPr>
      </w:pPr>
      <w:r>
        <w:rPr>
          <w:rFonts w:cs="Times New Roman" w:ascii="Times New Roman" w:hAnsi="Times New Roman"/>
        </w:rPr>
        <w:t>a transmission path rating, or a modification to a transmission path rating, assigned to one or more transmission paths operated by a Full Member (or jointly operated by more than one Full Member); or</w:t>
      </w:r>
    </w:p>
    <w:p>
      <w:pPr>
        <w:pStyle w:val="Normal"/>
        <w:numPr>
          <w:ilvl w:val="0"/>
          <w:numId w:val="1"/>
        </w:numPr>
        <w:tabs>
          <w:tab w:val="clear" w:pos="720"/>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Times New Roman" w:hAnsi="Times New Roman" w:cs="Times New Roman"/>
        </w:rPr>
      </w:pPr>
      <w:r>
        <w:rPr>
          <w:rFonts w:cs="Times New Roman" w:ascii="Times New Roman" w:hAnsi="Times New Roman"/>
        </w:rPr>
        <w:t>any matter that, by vote of both the Council’s Board of Trustees and the Council’s Full Membership, is designated as a matter to be subject to the provisions of Article XII, Section 12.6.2 of this Agreement, provided that any matter submitted to the Council’s Full Membership pursuant to this provision must be approved by at least the number of votes required to amend this Agreement under Article X.</w:t>
      </w:r>
    </w:p>
    <w:p>
      <w:pPr>
        <w:pStyle w:val="Norma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Times New Roman" w:hAnsi="Times New Roman" w:cs="Times New Roman"/>
          <w:u w:val="single"/>
        </w:rPr>
      </w:pPr>
      <w:r>
        <w:rPr>
          <w:rFonts w:cs="Times New Roman" w:ascii="Times New Roman" w:hAnsi="Times New Roman"/>
        </w:rPr>
        <w:tab/>
        <w:t>12.6.3</w:t>
        <w:tab/>
      </w:r>
      <w:r>
        <w:rPr>
          <w:rFonts w:cs="Times New Roman" w:ascii="Times New Roman" w:hAnsi="Times New Roman"/>
          <w:u w:val="single"/>
        </w:rPr>
        <w:t>Limitations on Arbitrator’s Authority with Respect to Matters Specified in Section 12.6.2.</w:t>
      </w:r>
      <w:r>
        <w:rPr>
          <w:rFonts w:cs="Times New Roman" w:ascii="Times New Roman" w:hAnsi="Times New Roman"/>
        </w:rPr>
        <w:t xml:space="preserve">  Unless all of the parties to a dispute agree otherwise, an arbitrator rendering a decision with respect to any matter specified in Article XII, Section 12.6.2 above shall have no authority to consider or award remedies for past economic harm or damages of any kind, including without limitation actual or direct damages; indirect, consequential, or incidental damages; or exemplary or punitive damages.  Nothing in this Section 12.6.3 shall: (i) limit any rights that a party to a dispute concerning a matter specified in Article XII, Section 12.6.2 above may have to pursue legal claims for damages or other economic remedies after the arbitrator has rendered his or her decision on that matter (within the scope of his or her authority under this Section 12.6.3); or (ii) limit an arbitrator’s authority under Article XII, Section 12.8 above to shift costs or impose monetary sanctions for “good cause” (as that term is defined under Article XII, Section 12.8).</w:t>
      </w:r>
    </w:p>
    <w:p>
      <w:pPr>
        <w:pStyle w:val="Norma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Fonts w:cs="Times New Roman" w:ascii="Times New Roman" w:hAnsi="Times New Roman"/>
        </w:rPr>
        <w:tab/>
        <w:t>12.6.4</w:t>
        <w:tab/>
      </w:r>
      <w:r>
        <w:rPr>
          <w:rFonts w:cs="Times New Roman" w:ascii="Times New Roman" w:hAnsi="Times New Roman"/>
          <w:u w:val="single"/>
        </w:rPr>
        <w:t>Arbitration Decisions Not To Modify Underlying Rights and Obligations.</w:t>
      </w:r>
      <w:r>
        <w:rPr>
          <w:rFonts w:cs="Times New Roman" w:ascii="Times New Roman" w:hAnsi="Times New Roman"/>
        </w:rPr>
        <w:t xml:space="preserve"> Unless all of the parties to a dispute agree otherwise, the resolution through binding arbitration of any dispute governed by Article XII of this Agreement shall not have the effect of increasing, decreasing, or otherwise modifying the Council’s or any Full Member’s obligation to abide by, or ability to enforce or impose penalties or sanctions with respect to, any guidelines, criteria, standards, policies, procedures, decisions, or Bylaws of the Council (including any body, such as a committee, subcommittee, task force, or other group acting under authority of the Council), or any limitation on the foregoing, whether established by law; regulation; judicial, executive, or administrative order, decree, or decision; tariff; contract; course of performance; treaty; or otherwise.</w:t>
      </w:r>
    </w:p>
    <w:p>
      <w:pPr>
        <w:pStyle w:val="Norma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Fonts w:cs="Times New Roman" w:ascii="Times New Roman" w:hAnsi="Times New Roman"/>
        </w:rPr>
        <w:tab/>
        <w:t>12.6.5</w:t>
        <w:tab/>
      </w:r>
      <w:r>
        <w:rPr>
          <w:rFonts w:cs="Times New Roman" w:ascii="Times New Roman" w:hAnsi="Times New Roman"/>
          <w:u w:val="single"/>
        </w:rPr>
        <w:t>Laws Relating to Binding Arbitration</w:t>
      </w:r>
      <w:r>
        <w:rPr>
          <w:rFonts w:cs="Times New Roman" w:ascii="Times New Roman" w:hAnsi="Times New Roman"/>
        </w:rPr>
        <w:t>. The Council and its Full Members recognize that some Full Members may be subject to laws (including without limitation United States federal or state laws, Canadian or provincial laws, or Mexican laws) that limit or define those Full Members’ ability to agree in advance to be subject to binding arbitration.  If a Full Member has the right or obligation under applicable law to refuse to submit to binding arbitration in connection with any dispute that would otherwise be subject to binding arbitration under Article XII, Section 12.6.2 of this Agreement, that Full Member shall not be obligated to comply with the binding arbitration procedures set forth in Article XII, Sections 12.6 and 12.7 of this Agreement.  Any Full Member subject to any law or other legally binding authority that may limit (or permit the Full Member to limit) its obligation to comply with the provisions requiring binding arbitration under Article XII, Sections 12.6 and 12.7 of this Agreement or to fully comply with a valid arbitrator’s decision rendered in accordance with Article XII of this Agreement shall provide notice to this effect to all other disputing parties and the Council’s Executive Director upon initiation of any dispute involving that Full Member if the dispute is subject to Article XII, Section 12.6.2 of this Agreement.  Upon receiving a notice under Article XII, Section 12.6.5 of this Agreement, any other party to the dispute shall thereafter be relieved of any obligation to comply with the provisions Article XII, Sections 12.6 and 12.7 of this Agreement in connection with that dispute, except to the extent that the Full Member giving notice agrees to be fully bound by procedures governing and results of any arbitration proceeding.  If there are more than two parties to a dispute covered by the preceding sentence, however, then all parties to the dispute other than the party giving notice under Article XII, Section 12.6.5 of this Agreement shall make good faith efforts to establish a mutually acceptable approach for resolving among themselves whatever aspects of the dispute can reasonably be resolved through the procedures set forth in Article XII of this Agreement without the participation of the party giving notice under Section 12.6.5.  If any Full Member fails to submit to binding arbitration, or fails to abide by a valid arbitrator’s decision rendered in accordance with Article XII of this Agreement, that Full Member shall thereafter have no right to enforce any of the provisions of Article XII, Section 12.6.2 of this Agreement (concerning obligations to submit specified disputes to binding arbitration) against any other Full Member or the Council.</w:t>
      </w:r>
    </w:p>
    <w:p>
      <w:pPr>
        <w:pStyle w:val="Norma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Fonts w:cs="Times New Roman" w:ascii="Times New Roman" w:hAnsi="Times New Roman"/>
        </w:rPr>
        <w:tab/>
        <w:t>12.6.6</w:t>
        <w:tab/>
      </w:r>
      <w:r>
        <w:rPr>
          <w:rFonts w:cs="Times New Roman" w:ascii="Times New Roman" w:hAnsi="Times New Roman"/>
          <w:u w:val="single"/>
        </w:rPr>
        <w:t>Consistency with Laws, Regulatory Jurisdiction and Orders, Etc</w:t>
      </w:r>
      <w:r>
        <w:rPr>
          <w:rFonts w:cs="Times New Roman" w:ascii="Times New Roman" w:hAnsi="Times New Roman"/>
        </w:rPr>
        <w:t>.  Nothing contained in Article XII of this Agreement and no arbitrator’s decision rendered in accordance with Article XII, Section 12.7 of this Agreement shall be construed to require or shall otherwise operate to cause any Full Member or the Council to incur any obligation or take any action that is contrary to:  (i) any applicable law or regulation; (ii) any applicable authority, order, decree, rule, or decision of a regulatory, judicial, administrative, executive, or other governmental body having jurisdiction over one or more of the matters or parties subject to Article XII of this Agreement or covered by an arbitrator’s decision; or (iii) any applicable rate schedule, tariff, treaty, or valid, pre-existing contractual obligation with which any party subject to Article XII of this Agreement or covered by an arbitrator’s decision is legally obligated to comply.</w:t>
      </w:r>
    </w:p>
    <w:p>
      <w:pPr>
        <w:pStyle w:val="Normal"/>
        <w:numPr>
          <w:ilvl w:val="1"/>
          <w:numId w:val="5"/>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Times New Roman" w:hAnsi="Times New Roman" w:cs="Times New Roman"/>
        </w:rPr>
      </w:pPr>
      <w:r>
        <w:rPr>
          <w:rFonts w:cs="Times New Roman" w:ascii="Times New Roman" w:hAnsi="Times New Roman"/>
          <w:u w:val="single"/>
        </w:rPr>
        <w:t>Arbitration Procedures.</w:t>
      </w:r>
    </w:p>
    <w:p>
      <w:pPr>
        <w:pStyle w:val="Normal"/>
        <w:numPr>
          <w:ilvl w:val="2"/>
          <w:numId w:val="5"/>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start="0" w:end="0"/>
        <w:rPr>
          <w:rFonts w:ascii="Times New Roman" w:hAnsi="Times New Roman" w:cs="Times New Roman"/>
        </w:rPr>
      </w:pPr>
      <w:r>
        <w:rPr>
          <w:rFonts w:cs="Times New Roman" w:ascii="Times New Roman" w:hAnsi="Times New Roman"/>
          <w:u w:val="single"/>
        </w:rPr>
        <w:t>Notice to Council of Initiation of Binding Arbitration.</w:t>
      </w:r>
      <w:r>
        <w:rPr>
          <w:rFonts w:cs="Times New Roman" w:ascii="Times New Roman" w:hAnsi="Times New Roman"/>
        </w:rPr>
        <w:t xml:space="preserve">  Within 10 calendar days after all of the parties to a dispute have agreed (or become obligated under Article XII, Section 12.6.2 above) to submit the dispute to binding arbitration under Article XII, Sections 12.6 and 12.7 of this Agreement, the parties to the dispute shall deliver written notice of their agreement to the Council’s Executive Director (an “Arbitration Notice”).  The Arbitration Notice shall:  (i) include a brief, general description of the issues to be arbitrated; and (ii) identify all parties who have agreed (or become obligated) to submit the dispute to binding arbitration under Article XII, Sections 12.6 and 12.7 of this Agreement.  Within five business days of receiving an Arbitration Notice, the Council’s Executive Director shall:  (a) publish (or cause to be published) in the Council’s newsletter or on its electronic bulletin board a notice containing a list of the parties to the arbitration and the parties’ brief, general description of the issues to be arbitrated; and (b) deliver to each party to the dispute a copy of the Council’s then-current standing list of qualified arbitrators, knowledgeable in the matters addressed by the Council (as approved by the Board of Trustees).  No person may be listed on the Council’s standing list of qualified arbitrators unless the person has agreed to:  (a) disclose, at any time the person is selected to serve as a arbitrator under Article XII of this Agreement, any personal or financial interest the arbitrator may have with respect to the matter(s) in dispute (including any indirect personal or financial interest that could arise because of interests or relationships affecting any of the arbitrator’s immediate family members); (b) disclose any relationship the arbitrator may have with any party to the dispute that is not permitted under Article XII, Section 12.7.2 below; (c) assemble a complete record of the arbitration process and the materials received as evidence by the arbitrator if any of the parties to the dispute elect to appeal or contest the arbitrator’s decision; and (d) abide by all applicable provisions of and procedures specified by Article XII, Sections 12.6 and 12.7 of this Agreement.</w:t>
      </w:r>
    </w:p>
    <w:p>
      <w:pPr>
        <w:pStyle w:val="Normal"/>
        <w:numPr>
          <w:ilvl w:val="2"/>
          <w:numId w:val="5"/>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start="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u w:val="single"/>
        </w:rPr>
        <w:t>Selection of an Arbitrator</w:t>
      </w:r>
      <w:r>
        <w:rPr>
          <w:rFonts w:cs="Times New Roman" w:ascii="Times New Roman" w:hAnsi="Times New Roman"/>
        </w:rPr>
        <w:t>.   Within 10 calendar days after all of the parties to a dispute have agreed (or become obligated) to submit the dispute to binding arbitration under Article XII, Sections 12.6 and 12.7 of this Agreement, the parties to the dispute shall select an arbitrator by mutual agreement.  If the parties cannot agree on an arbitrator within 10 calendar days after agreeing to arbitrate their dispute, the arbitrator shall be selected from the Council’s standing list of qualified arbitrators as follows:  The parties to the dispute shall take turns striking names from the Council’s standing list of qualified arbitrators until there is only one name remaining.  (The parties to the dispute shall draw lots to determine the order in which they take turns striking names.)  The last person whose name remains on the list shall serve as the arbitrator.  No arbitrator other than an arbitrator chosen by agreement of all the parties to the dispute may (i) have a personal or financial interest in the matter(s) in dispute (including any indirect personal or financial interest that could arise because of interests or relationships affecting any of the arbitrator’s immediate family members); or (ii) be (or have an immediate family member who is) a past or present director, commissioner, officer, employee, consultant, agent, or other representative of any of the parties to the dispute.  If the arbitrator selected through the process of striking names specified above is disqualified under the preceding sentence, the arbitrator whose name was stricken last shall serve in his or her place.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end="0"/>
        <w:rPr/>
      </w:pPr>
      <w:r>
        <w:rPr>
          <w:rFonts w:cs="Times New Roman" w:ascii="Times New Roman" w:hAnsi="Times New Roman"/>
        </w:rPr>
        <w:t>12.7.3</w:t>
        <w:tab/>
      </w:r>
      <w:r>
        <w:rPr>
          <w:rFonts w:cs="Times New Roman" w:ascii="Times New Roman" w:hAnsi="Times New Roman"/>
          <w:u w:val="single"/>
        </w:rPr>
        <w:t>Initial Statements and Proposed Arbitration Decisions.</w:t>
      </w:r>
      <w:r>
        <w:rPr>
          <w:rFonts w:cs="Times New Roman" w:ascii="Times New Roman" w:hAnsi="Times New Roman"/>
        </w:rPr>
        <w:t xml:space="preserve">  Within 10 calendar days after the selection of an arbitrator under Article XII, Section 12.7.2 above, each party to the dispute shall submit a statement in writing to all other parties to the dispute and to the arbitrator.  Each disputing party’s statement shall set forth in reasonable detail the nature of the dispute, the issues to be arbitrated, and the party’s reasonable, good faith proposal for resolving the dispute.  As provided in Article XII, Section 12.5.3 above, to the extent permitted by law, no party to an arbitration conducted under Article XII, Sections 12.6 and 12.7 shall publicly disclose, rely on, or introduce as evidence in any arbitration, FERC proceeding, Canadian Regulatory Authority proceeding, proceeding before a Mexican Regulatory Authority, appeal, or litigation concerning the same or any related dispute any information required to be kept confidential by the terms of Article XII, Section 12.5.3.</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end="0"/>
        <w:rPr/>
      </w:pPr>
      <w:r>
        <w:rPr>
          <w:rFonts w:cs="Times New Roman" w:ascii="Times New Roman" w:hAnsi="Times New Roman"/>
        </w:rPr>
        <w:t>12.7.4</w:t>
        <w:tab/>
      </w:r>
      <w:r>
        <w:rPr>
          <w:rFonts w:cs="Times New Roman" w:ascii="Times New Roman" w:hAnsi="Times New Roman"/>
          <w:u w:val="single"/>
        </w:rPr>
        <w:t>Procedural Matters.</w:t>
      </w:r>
      <w:r>
        <w:rPr>
          <w:rFonts w:cs="Times New Roman" w:ascii="Times New Roman" w:hAnsi="Times New Roman"/>
        </w:rPr>
        <w:t xml:space="preserve">  The arbitrator shall determine discovery procedures, how evidence shall be taken, what written submittals may be made, and other such procedural matters, taking into account the complexity of the issues involved, the extent to which factual matters are disputed and the extent to which the credibility of witnesses is relevant to a resolution.  Each party to the dispute shall produce all evidence determined by the arbitrator to be relevant and material to the issues presented.  If such evidence involves proprietary or confidential information, the party submitting the evidence shall petition the arbitrator for a protective order, and to the extent the arbitrator determines there is good cause the arbitrator shall issue an appropriate protective order and all parties to the dispute shall comply with the protective order.  The arbitrator may elect to resolve the arbitration matter solely on the basis of written evidence and arguments.</w:t>
      </w:r>
    </w:p>
    <w:p>
      <w:pPr>
        <w:sectPr>
          <w:headerReference w:type="default" r:id="rId2"/>
          <w:footerReference w:type="default" r:id="rId3"/>
          <w:type w:val="nextPage"/>
          <w:pgSz w:w="12240" w:h="15840"/>
          <w:pgMar w:left="1440" w:right="1440" w:gutter="0" w:header="1440" w:top="1496" w:footer="792" w:bottom="1152"/>
          <w:pgNumType w:fmt="decimal"/>
          <w:formProt w:val="false"/>
          <w:textDirection w:val="lrTb"/>
          <w:docGrid w:type="default" w:linePitch="360" w:charSpace="0"/>
        </w:sectPr>
      </w:pP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end="0"/>
        <w:rPr/>
      </w:pPr>
      <w:r>
        <w:rPr>
          <w:rFonts w:cs="Times New Roman" w:ascii="Times New Roman" w:hAnsi="Times New Roman"/>
        </w:rPr>
        <w:t>12.7.5</w:t>
        <w:tab/>
      </w:r>
      <w:r>
        <w:rPr>
          <w:rFonts w:cs="Times New Roman" w:ascii="Times New Roman" w:hAnsi="Times New Roman"/>
          <w:u w:val="single"/>
        </w:rPr>
        <w:t>Out-of-Court Sworn Testimony</w:t>
      </w:r>
      <w:r>
        <w:rPr>
          <w:rFonts w:cs="Times New Roman" w:ascii="Times New Roman" w:hAnsi="Times New Roman"/>
        </w:rPr>
        <w:t>.  At the request of any disputing party, the arbitrator shall have the discretion to allow that party to examine witnesses through sworn out-of-court testimony (referred to in the United States as “deposition” and in Canada as “discovery”) to the extent the arbitrator deems the evidence sought to be relevant and appropriate.  In general, out-of-court witness examinations shall be limited to a maximum of three per party and shall be held within 30 calendar days after the making of a request.  Each witness examination shall be limited to a maximum of three hours’ duration.  The arbitrator shall have the discretion to permit the number and duration of examination sessions allowed under this Section 12.7.5 to be increased, and to extend the 30-day time limit, upon request for good cause shown.  All objections are reserved for the arbitration hearing except for objections based on privilege and proprietary or confidential information.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end="0"/>
        <w:rPr/>
      </w:pPr>
      <w:r>
        <w:rPr>
          <w:rFonts w:cs="Times New Roman" w:ascii="Times New Roman" w:hAnsi="Times New Roman"/>
        </w:rPr>
        <w:t>12.7.6</w:t>
        <w:tab/>
      </w:r>
      <w:r>
        <w:rPr>
          <w:rFonts w:cs="Times New Roman" w:ascii="Times New Roman" w:hAnsi="Times New Roman"/>
          <w:u w:val="single"/>
        </w:rPr>
        <w:t>Intervention by Other Parties</w:t>
      </w:r>
      <w:r>
        <w:rPr>
          <w:rFonts w:cs="Times New Roman" w:ascii="Times New Roman" w:hAnsi="Times New Roman"/>
        </w:rPr>
        <w:t>.  Unless all of the parties to the dispute agree otherwise, no one (whether a Full Member, an Affiliate Member, the Council, or any other entity or person) that is not a party to a dispute at the initiation of arbitration under Article XII, Sections 12.6 and 12.7 of this Agreement shall have the right to intervene in the arbitration.  Any party wishing to intervene in an arbitration under Article XII, Sections 12.6 and 12.7 of this Agreement may petition the arbitrator for permission to intervene, provided that the petition is submitted to the arbitrator not more than 30 calendar days after notice of the arbitration is posted by the Council’s Executive Director in accordance with Article XII, Section 12.7.1 of this Agreement.  The arbitrator shall have the discretion to permit a party to intervene if the arbitrator determines that the party petitioning to intervene has a direct and substantial interest in the outcome of the arbitration.  In exercising his or her discretion concerning a requested intervention, the arbitrator shall also consider any additional complexity or delay that may be caused by allowing the intervention and also any other remedies available to the party requesting intervention.  Any party that is granted the privilege of intervening in an arbitration under Article XII, Sections 12.6 and 12.7 of this Agreement shall be permitted to intervene subject to the same terms, conditions, limitations, rights, and obligations of all other parties to the dispute, including without limitation the binding effect of arbitrator’s decision, limitations on rights of appeal, the obligation to share equally in the costs of the arbitrator, and the obligation to be subject to the provisions of Article XII, Section 12.8 of this Agreement.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end="0"/>
        <w:rPr/>
      </w:pPr>
      <w:r>
        <w:rPr>
          <w:rFonts w:cs="Times New Roman" w:ascii="Times New Roman" w:hAnsi="Times New Roman"/>
        </w:rPr>
        <w:t>12.7.7</w:t>
        <w:tab/>
      </w:r>
      <w:r>
        <w:rPr>
          <w:rFonts w:cs="Times New Roman" w:ascii="Times New Roman" w:hAnsi="Times New Roman"/>
          <w:u w:val="single"/>
        </w:rPr>
        <w:t>Consideration of Council Criteria, Etc</w:t>
      </w:r>
      <w:r>
        <w:rPr>
          <w:rFonts w:cs="Times New Roman" w:ascii="Times New Roman" w:hAnsi="Times New Roman"/>
        </w:rPr>
        <w:t>.  The Arbitrator shall give due consideration to the reliability criteria, standards, guidelines, policies, and procedures of the Council and the North American Electric Reliability Council (or any successor organization) to the extent they are relevant to resolution of the matter(s) in dispute.  If the arbitrator’s decision will include interpretation of any of the Council’s reliability criteria, standards, guidelines, policies, and procedures, (and the Council is not a party to the arbitration), the arbitrator shall, before rendering his or her decision, consult the Council (subject to the provisions of Section 12.7.10 below) concerning the interpretation of the Council’s applicable reliability criteria, standards, guidelines, policies, and procedures.</w:t>
      </w:r>
    </w:p>
    <w:p>
      <w:pPr>
        <w:sectPr>
          <w:type w:val="continuous"/>
          <w:pgSz w:w="12240" w:h="15840"/>
          <w:pgMar w:left="1440" w:right="1440" w:gutter="0" w:header="1440" w:top="1496" w:footer="792" w:bottom="1152"/>
          <w:formProt w:val="false"/>
          <w:textDirection w:val="lrTb"/>
          <w:docGrid w:type="default" w:linePitch="360" w:charSpace="0"/>
        </w:sectPr>
      </w:pP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end="0"/>
        <w:rPr/>
      </w:pPr>
      <w:r>
        <w:rPr>
          <w:rFonts w:cs="Times New Roman" w:ascii="Times New Roman" w:hAnsi="Times New Roman"/>
        </w:rPr>
        <w:t>12.7.8</w:t>
        <w:tab/>
      </w:r>
      <w:r>
        <w:rPr>
          <w:rFonts w:cs="Times New Roman" w:ascii="Times New Roman" w:hAnsi="Times New Roman"/>
          <w:u w:val="single"/>
        </w:rPr>
        <w:t>Evidence and Rebuttal.</w:t>
      </w:r>
      <w:r>
        <w:rPr>
          <w:rFonts w:cs="Times New Roman" w:ascii="Times New Roman" w:hAnsi="Times New Roman"/>
        </w:rPr>
        <w:t xml:space="preserve">  The arbitrator shall consider all issues material to the matter(s) in dispute.  The arbitrator shall take evidence submitted by the parties to the dispute in accordance with procedures established by the arbitrator and may request additional information the arbitrator deems material to the resolution of the dispute.  With the consent of all parties to the dispute, the arbitrator’s request for additional information may include the opinion of any individual or organization with recognized expertise in the matter(s) in dispute, subject to the following conditions:  (i) any verbal communication with an expert consulted by the arbitrator must takes place exclusively in the presence of all parties to the dispute and copies of any written communications must be provided to all parties to the dispute; (ii) any expert consulted by the arbitrator must agree to be equally available upon request to all parties to the dispute; (iii) any expert consulted by the arbitrator must agree to comply with the restrictions on disclosure contained in Article XII, Section 12.5.3; and (iv) all parties to the dispute shall be afforded a reasonable opportunity to question the expert and to rebut any additional information submitted by the expert at the request of the arbitrator.</w:t>
      </w:r>
    </w:p>
    <w:p>
      <w:pPr>
        <w:sectPr>
          <w:type w:val="continuous"/>
          <w:pgSz w:w="12240" w:h="15840"/>
          <w:pgMar w:left="1440" w:right="1440" w:gutter="0" w:header="1440" w:top="1496" w:footer="792" w:bottom="1152"/>
          <w:formProt w:val="false"/>
          <w:textDirection w:val="lrTb"/>
          <w:docGrid w:type="default" w:linePitch="360" w:charSpace="0"/>
        </w:sectPr>
      </w:pPr>
    </w:p>
    <w:p>
      <w:pPr>
        <w:pStyle w:val="Normal"/>
        <w:spacing w:lineRule="auto" w:line="480"/>
        <w:ind w:firstLine="1440" w:end="0"/>
        <w:rPr/>
      </w:pPr>
      <w:r>
        <w:rPr>
          <w:rFonts w:cs="Times New Roman" w:ascii="Times New Roman" w:hAnsi="Times New Roman"/>
        </w:rPr>
        <w:t>12.7.9</w:t>
        <w:tab/>
      </w:r>
      <w:r>
        <w:rPr>
          <w:rFonts w:cs="Times New Roman" w:ascii="Times New Roman" w:hAnsi="Times New Roman"/>
          <w:u w:val="single"/>
        </w:rPr>
        <w:t>Arbitrator’s Decision</w:t>
      </w:r>
      <w:r>
        <w:rPr>
          <w:rFonts w:cs="Times New Roman" w:ascii="Times New Roman" w:hAnsi="Times New Roman"/>
        </w:rPr>
        <w:t>.  The arbitrator shall make all reasonable efforts to complete hearings (if applicable) and submissions of written evidence not more than 90 calendar days after receiving initial statements submitted under Section 12.7.3 above.  As soon as practicable, but in no event more than 30 calendar days after the completion of hearings and evidence submittals, the arbitrator shall render his or her final decision for resolving the dispute.  By agreement of all of the parties to the dispute or at the discretion of the arbitrator for good cause, the foregoing deadline for delivery of the arbitrator’s decision may be extended.  The arbitrator’s decision shall be based on the arbitrator’s good faith determination of a resolution that will:  (i) be consistent with any laws, rules, and regulations applicable to the matter(s) in dispute; (ii) be consistent with any valid pre-existing agreements among the parties to the dispute that bear on the matter(s) in dispute; (iii) not require any party to the dispute to take action that is not in compliance with any of the Council’s reliability criteria, standards, guidelines, policies, and procedures; and (iv) best serve to promote or maintain reliable operation of the interconnected bulk power systems of the Western Interconnection, without imposing inequitable burdens or benefits on any of the parties to the dispute or others that may be affected by implementation of the arbitrator’s decision.  The arbitrator shall deliver to each of the parties to the dispute, along with his or her decision, a written statement including specific findings of fact, conclusions of law (if applicable), and an explanation of the arbitrator’s basis for rendering his or her decision.  Subject to any protective order that may have been issued under Section 12.7.4 above, the Council’s Executive Director shall publish (or cause to be published) in the Council’s newsletter or electronic bulletin board a brief summary of the arbitrator’s decision.  An arbitrator’s decision that is not appealed shall not be deemed to be precedential in any other arbitration related to a different dispute.</w:t>
      </w:r>
    </w:p>
    <w:p>
      <w:pPr>
        <w:pStyle w:val="Normal"/>
        <w:spacing w:lineRule="auto" w:line="480"/>
        <w:rPr/>
      </w:pPr>
      <w:r>
        <w:rPr>
          <w:rFonts w:cs="Times New Roman" w:ascii="Times New Roman" w:hAnsi="Times New Roman"/>
        </w:rPr>
        <w:tab/>
        <w:tab/>
        <w:t xml:space="preserve">12.7.10  </w:t>
      </w:r>
      <w:r>
        <w:rPr>
          <w:rFonts w:cs="Times New Roman" w:ascii="Times New Roman" w:hAnsi="Times New Roman"/>
          <w:u w:val="single"/>
        </w:rPr>
        <w:t>Council Staff Participation in Arbitration When Council Not a Party</w:t>
      </w:r>
      <w:r>
        <w:rPr>
          <w:rFonts w:cs="Times New Roman" w:ascii="Times New Roman" w:hAnsi="Times New Roman"/>
        </w:rPr>
        <w:t>.  If, during the course of binding arbitration conducted under Article XII, Sections 12.6 and 12.7 of this Agreement (in which the Council is not a party) the arbitrator or any party to the dispute wishes to solicit the views of Council staff concerning the application, implementation, interpretation, or fulfillment of any guidelines, criteria, standards, policies, or procedures of the Council, the arbitrator may request or permit the submission of Council staff views only with the consent of all of the parties to the dispute and only if:  (i) any participation by Council staff takes place exclusively in the presence of all parties to the dispute; (ii) participating Council staff members agree to be equally available upon request to all parties to the dispute; and (iii) participating Council staff members agree to comply with the restrictions on disclosure contained in Article XII, Section 12.5.3.</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rPr/>
      </w:pPr>
      <w:r>
        <w:rPr>
          <w:rFonts w:cs="Times New Roman" w:ascii="Times New Roman" w:hAnsi="Times New Roman"/>
        </w:rPr>
        <w:tab/>
        <w:t xml:space="preserve">12.7.11  </w:t>
      </w:r>
      <w:r>
        <w:rPr>
          <w:rFonts w:cs="Times New Roman" w:ascii="Times New Roman" w:hAnsi="Times New Roman"/>
          <w:u w:val="single"/>
        </w:rPr>
        <w:t>Compliance and Costs</w:t>
      </w:r>
      <w:r>
        <w:rPr>
          <w:rFonts w:cs="Times New Roman" w:ascii="Times New Roman" w:hAnsi="Times New Roman"/>
        </w:rPr>
        <w:t>.  Unless one or more of the parties to the dispute initiates and notifies all other parties to the dispute that it has initiated a process to contest or appeal the arbitrator’s decision under Article XII, Sections 12.9 through 12.12 of this Agreement, upon the decision by the arbitrator, the parties to the dispute shall, within the time frame specified by the arbitrator, and, subject to Section 12.6.6 above, take whatever action is required to comply with the arbitrator’s decision to the extent the arbitrator’s decision does not require regulatory action.  To the extent the arbitrator’s decision affects jurisdictional rates, terms and conditions of service, or facilities or otherwise requires local, state, federal, or provincial approval or regulatory action, or a FERC filing or a Canadian Regulatory Authority filing by a Canadian Full Member or a Mexican Regulatory Authority filing by a Mexican Full Member, the affected Full Member (or the Council, if the Council is the party with the obligation to seek regulatory action) shall, within the time frame specified by the arbitrator, submit the arbitrator’s decision or an appropriate filing to implement the arbitrator’s decision and support the appropriate authority’s acceptance or approval of the arbitrator’s decision or implementation filing, except in cases where any party to the dispute has given notice of its intent to contest or appeal the arbitrator’s decision.  All costs associated with the arbitration (not including costs associated with attorney and expert witness fees incurred by the parties to the dispute) shall be divided equally among the parties to the dispute unless:  (i) all of the parties to the dispute agree to an alternate method of allocating costs; or (ii) in rendering his or her decision, the arbitrator exercises his or her discretion under Article XII, Section 12.8 below to assess fees, costs, or other monetary sanctions against one or more of the parties to the dispute for good cause.</w:t>
      </w:r>
    </w:p>
    <w:p>
      <w:pPr>
        <w:pStyle w:val="Normal"/>
        <w:spacing w:lineRule="auto" w:line="480"/>
        <w:rPr/>
      </w:pPr>
      <w:r>
        <w:rPr>
          <w:rFonts w:cs="Times New Roman" w:ascii="Times New Roman" w:hAnsi="Times New Roman"/>
        </w:rPr>
        <w:tab/>
        <w:t xml:space="preserve">12.7.12  </w:t>
      </w:r>
      <w:r>
        <w:rPr>
          <w:rFonts w:cs="Times New Roman" w:ascii="Times New Roman" w:hAnsi="Times New Roman"/>
          <w:u w:val="single"/>
        </w:rPr>
        <w:t>Entry of Judgment.</w:t>
      </w:r>
      <w:r>
        <w:rPr>
          <w:rFonts w:cs="Times New Roman" w:ascii="Times New Roman" w:hAnsi="Times New Roman"/>
        </w:rPr>
        <w:t xml:space="preserve">  At any time after an arbitrator has rendered his or her decision in an arbitration conducted under Article XII, Sections 12.6 and 12.7 of this Agreement (provided that the time provided for initiating an appeal under Article XII, Section 12.10.4 and 12.11 below has expired and no appeal or other means of contesting the arbitrator’s decision has been initiated), judgment on the decision rendered by the arbitrator may be entered by any court of competent jurisdiction (subject to the provisions of Article XII, Sections 12.6.3, 12.6.4, and 12.6.6 above).  If the award is against the United States, a party to the arbitration may apply to the United States District Court for the district in which the principal office of the applicable United States department or agency is located for an order confirming the award pursuant to 5 U.S.C § 580.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Fonts w:cs="Times New Roman" w:ascii="Times New Roman" w:hAnsi="Times New Roman"/>
        </w:rPr>
        <w:tab/>
        <w:t>12.8</w:t>
        <w:tab/>
      </w:r>
      <w:r>
        <w:rPr>
          <w:rFonts w:cs="Times New Roman" w:ascii="Times New Roman" w:hAnsi="Times New Roman"/>
          <w:u w:val="single"/>
        </w:rPr>
        <w:t>Arbitrator’s Discretion to Shift Costs or Impose Sanctions for Cause</w:t>
      </w:r>
      <w:r>
        <w:rPr>
          <w:rFonts w:cs="Times New Roman" w:ascii="Times New Roman" w:hAnsi="Times New Roman"/>
        </w:rPr>
        <w:t>.  Each party to any dispute submitted to arbitration under Article XII, Sections 12.6 and 12.7 of this Agreement shall bear its own costs and fees associated with representation and participation in the arbitration process, and shall share equally in the arbitrator’s fees except that the arbitrator shall have the discretion, to the extent permitted by law, to require one or more of the parties to the dispute to pay part or all of the costs and fees (including without limitation attorneys’ and arbitrator’s fees) of one or more other parties to the dispute, or to impose monetary sanctions on some other basis that is reasonable under the circumstances, for good cause.  As used in this Section 12.8, “good cause” means conduct involving serious abuse of or failure to comply with the dispute resolution process set forth in Article XII of this Agreement, willfully undertaken to harass or delay other parties to the dispute or to substantially impede the arbitrator’s ability to render a decision consistent with the provisions set forth in Article XII, Section 12.7.9 of this Agreement.</w:t>
      </w:r>
    </w:p>
    <w:p>
      <w:pPr>
        <w:pStyle w:val="Normal"/>
        <w:tabs>
          <w:tab w:val="left" w:pos="720" w:leader="none"/>
          <w:tab w:val="left" w:pos="1440" w:leader="none"/>
        </w:tabs>
        <w:spacing w:lineRule="auto" w:line="480"/>
        <w:rPr/>
      </w:pPr>
      <w:r>
        <w:rPr>
          <w:rFonts w:cs="Times New Roman" w:ascii="Times New Roman" w:hAnsi="Times New Roman"/>
        </w:rPr>
        <w:tab/>
        <w:t>12.9</w:t>
        <w:tab/>
      </w:r>
      <w:r>
        <w:rPr>
          <w:rFonts w:cs="Times New Roman" w:ascii="Times New Roman" w:hAnsi="Times New Roman"/>
          <w:u w:val="single"/>
        </w:rPr>
        <w:t>Rights to Appeal Arbitration Decisions</w:t>
      </w:r>
      <w:r>
        <w:rPr>
          <w:rFonts w:cs="Times New Roman" w:ascii="Times New Roman" w:hAnsi="Times New Roman"/>
        </w:rPr>
        <w:t>.  Except to the extent otherwise provided by applicable United States state or federal law, applicable Canadian or provincial law, or applicable Mexican law, a party to a dispute resolved by arbitration under Article XII, Sections 12.6 and 12.7 of this Agreement may appeal or contest the arbitrator’s decision only on one or more of the bases specified in Section 12.9.1 below and only in accordance with the procedures set forth in Sections 12.9.2 through 12.12 of this Agreement.</w:t>
      </w:r>
    </w:p>
    <w:p>
      <w:pPr>
        <w:pStyle w:val="Normal"/>
        <w:tabs>
          <w:tab w:val="clear" w:pos="720"/>
          <w:tab w:val="left" w:pos="1440" w:leader="none"/>
          <w:tab w:val="left" w:pos="2160" w:leader="none"/>
        </w:tabs>
        <w:spacing w:lineRule="auto" w:line="480"/>
        <w:rPr/>
      </w:pPr>
      <w:r>
        <w:rPr>
          <w:rFonts w:cs="Times New Roman" w:ascii="Times New Roman" w:hAnsi="Times New Roman"/>
        </w:rPr>
        <w:tab/>
        <w:t>12.9.1</w:t>
        <w:tab/>
      </w:r>
      <w:r>
        <w:rPr>
          <w:rFonts w:cs="Times New Roman" w:ascii="Times New Roman" w:hAnsi="Times New Roman"/>
          <w:u w:val="single"/>
        </w:rPr>
        <w:t>Grounds for Appealing Arbitration Decisions</w:t>
      </w:r>
      <w:r>
        <w:rPr>
          <w:rFonts w:cs="Times New Roman" w:ascii="Times New Roman" w:hAnsi="Times New Roman"/>
        </w:rPr>
        <w:t>.  A party to a dispute resolved by arbitration under Article XII, Sections 12.6 and 12.7 of this Agreement may contest or appeal the arbitrator’s decision only on the basis that:  (i) the arbitrator’s decision is contrary to applicable law or regulation (including without limitation the FPA or FERC’s then-applicable standards or policies, or comparable types of provisions that may apply under applicable Canadian, provincial, Mexican, or other laws and regulations); (ii) the arbitrator’s decision is demonstrably arbitrary and capricious and without support in the record assembled during the arbitration; (iii) the arbitrator failed to afford one or more parties to the dispute an opportunity for a fair and meaningful hearing; (iv) the arbitrator engaged in serious misconduct in connection with the arbitration; (v) the arbitrator exceeded the authority conferred upon him or her under Article XII of this Agreement or as otherwise established by agreement of all the parties to the dispute; or (vi) the arbitrator’s decision is contrary to the provisions of Article XII, Section 12.6.6 of this Agreement.</w:t>
      </w:r>
    </w:p>
    <w:p>
      <w:pPr>
        <w:pStyle w:val="Normal"/>
        <w:tabs>
          <w:tab w:val="clear" w:pos="720"/>
          <w:tab w:val="left" w:pos="1440" w:leader="none"/>
          <w:tab w:val="left" w:pos="2160" w:leader="none"/>
        </w:tabs>
        <w:spacing w:lineRule="auto" w:line="480"/>
        <w:rPr/>
      </w:pPr>
      <w:r>
        <w:rPr>
          <w:rFonts w:cs="Times New Roman" w:ascii="Times New Roman" w:hAnsi="Times New Roman"/>
        </w:rPr>
        <w:tab/>
        <w:t>12.9.2</w:t>
        <w:tab/>
      </w:r>
      <w:r>
        <w:rPr>
          <w:rFonts w:cs="Times New Roman" w:ascii="Times New Roman" w:hAnsi="Times New Roman"/>
          <w:u w:val="single"/>
        </w:rPr>
        <w:t>Matter and One or More Parties to Dispute Subject to FERC Jurisdiction</w:t>
      </w:r>
      <w:r>
        <w:rPr>
          <w:rFonts w:cs="Times New Roman" w:ascii="Times New Roman" w:hAnsi="Times New Roman"/>
        </w:rPr>
        <w:t>.  If:  (i) the subject matter of a dispute arbitrated under Article XII, Sections 12.6 and 12.7 of this Agreement is within the jurisdiction of FERC, and (ii) the conditions specified in Section 12.11.1 or 12.11.2 are satisfied, the rights of the parties to contest or appeal the arbitrator’s decision shall be as set forth in Section 12.11 below (subject also to the provisions of Section 12.9.1 above).  Notwithstanding the foregoing, nothing in Articles XII of this Agreement shall be construed or operate to require any Canadian or Mexican party or any other party that is not a “public utility” within the meaning of the FPA to make any filing with FERC under Sections 205 or 206 of the FPA.</w:t>
      </w:r>
    </w:p>
    <w:p>
      <w:pPr>
        <w:pStyle w:val="Normal"/>
        <w:tabs>
          <w:tab w:val="clear" w:pos="720"/>
          <w:tab w:val="left" w:pos="1440" w:leader="none"/>
          <w:tab w:val="left" w:pos="2160" w:leader="none"/>
        </w:tabs>
        <w:spacing w:lineRule="auto" w:line="480"/>
        <w:rPr/>
      </w:pPr>
      <w:r>
        <w:rPr>
          <w:rFonts w:cs="Times New Roman" w:ascii="Times New Roman" w:hAnsi="Times New Roman"/>
        </w:rPr>
        <w:tab/>
        <w:t>12.9.3</w:t>
        <w:tab/>
      </w:r>
      <w:r>
        <w:rPr>
          <w:rFonts w:cs="Times New Roman" w:ascii="Times New Roman" w:hAnsi="Times New Roman"/>
          <w:u w:val="single"/>
        </w:rPr>
        <w:t>All Parties and Matters in Dispute Subject to Jurisdiction of a Canadian Regulatory Authority</w:t>
      </w:r>
      <w:r>
        <w:rPr>
          <w:rFonts w:cs="Times New Roman" w:ascii="Times New Roman" w:hAnsi="Times New Roman"/>
        </w:rPr>
        <w:t>.  If all of the parties to an arbitrated dispute are subject to the jurisdiction of a particular Canadian Regulatory Authority, and if all matters in dispute are also subject to the jurisdiction of the same Canadian Regulatory Authority, any disputing party may appeal an arbitrator’s decision to that Canadian Regulatory Authority, where such Canadian Regulatory Authority has jurisdiction to hear the appeal, or to the appropriate Canadian court.  Any appeal to a Canadian Regulatory Authority or Canadian court shall be subject to the provisions set forth in Article XII, Section 12.10 below.</w:t>
      </w:r>
    </w:p>
    <w:p>
      <w:pPr>
        <w:pStyle w:val="Normal"/>
        <w:tabs>
          <w:tab w:val="clear" w:pos="720"/>
          <w:tab w:val="left" w:pos="1440" w:leader="none"/>
          <w:tab w:val="left" w:pos="2160" w:leader="none"/>
        </w:tabs>
        <w:spacing w:lineRule="auto" w:line="480"/>
        <w:rPr/>
      </w:pPr>
      <w:r>
        <w:rPr>
          <w:rFonts w:cs="Times New Roman" w:ascii="Times New Roman" w:hAnsi="Times New Roman"/>
        </w:rPr>
        <w:tab/>
        <w:t>12.9.4</w:t>
        <w:tab/>
      </w:r>
      <w:r>
        <w:rPr>
          <w:rFonts w:cs="Times New Roman" w:ascii="Times New Roman" w:hAnsi="Times New Roman"/>
          <w:u w:val="single"/>
        </w:rPr>
        <w:t>All Parties and the Matter in Dispute Subject to Jurisdiction of a Mexican Regulatory Authority.</w:t>
      </w:r>
      <w:r>
        <w:rPr>
          <w:rFonts w:cs="Times New Roman" w:ascii="Times New Roman" w:hAnsi="Times New Roman"/>
        </w:rPr>
        <w:t xml:space="preserve">  If all of the parties to an arbitrated dispute are subject to the jurisdiction of a particular Mexican Regulatory Authority, and if all matters in dispute are also subject to the jurisdiction of the same Mexican Regulatory Authority, any disputing party may appeal an arbitrator’s decision to the appropriate Mexican Regulatory Authority, subject to the provisions set forth in Article XII, Section 12.10 below.</w:t>
      </w:r>
    </w:p>
    <w:p>
      <w:pPr>
        <w:pStyle w:val="Normal"/>
        <w:tabs>
          <w:tab w:val="clear" w:pos="720"/>
          <w:tab w:val="left" w:pos="1440" w:leader="none"/>
          <w:tab w:val="left" w:pos="2160" w:leader="none"/>
        </w:tabs>
        <w:spacing w:lineRule="auto" w:line="480"/>
        <w:rPr/>
      </w:pPr>
      <w:r>
        <w:rPr>
          <w:rFonts w:cs="Times New Roman" w:ascii="Times New Roman" w:hAnsi="Times New Roman"/>
        </w:rPr>
        <w:tab/>
        <w:t>12.9.5</w:t>
        <w:tab/>
      </w:r>
      <w:r>
        <w:rPr>
          <w:rFonts w:cs="Times New Roman" w:ascii="Times New Roman" w:hAnsi="Times New Roman"/>
          <w:u w:val="single"/>
        </w:rPr>
        <w:t>Appeal to Court.</w:t>
      </w:r>
      <w:r>
        <w:rPr>
          <w:rFonts w:cs="Times New Roman" w:ascii="Times New Roman" w:hAnsi="Times New Roman"/>
        </w:rPr>
        <w:t xml:space="preserve">  If none of the preceding provisions concerning appealing or contesting an arbitrator’s decision before FERC, a Canadian Regulatory Authority, or a Mexican Regulatory Authority apply to an arbitrated dispute, any party to an arbitrator’s decision rendered in accordance with the provisions of Article XII, Sections 12.6 and 12.7 of this Agreement may appeal the arbitrator’s decision to a court of competent jurisdiction as provided under Article XII, Section 12.12 below.</w:t>
      </w:r>
    </w:p>
    <w:p>
      <w:pPr>
        <w:pStyle w:val="Normal"/>
        <w:keepNext w:val="tru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Fonts w:cs="Times New Roman" w:ascii="Times New Roman" w:hAnsi="Times New Roman"/>
        </w:rPr>
        <w:tab/>
        <w:t>12.10</w:t>
        <w:tab/>
      </w:r>
      <w:r>
        <w:rPr>
          <w:rFonts w:cs="Times New Roman" w:ascii="Times New Roman" w:hAnsi="Times New Roman"/>
          <w:u w:val="single"/>
        </w:rPr>
        <w:t>Appealing or Contesting Arbitrator’s Decision to FERC or a Presiding Authority</w:t>
      </w:r>
      <w:r>
        <w:rPr>
          <w:rFonts w:cs="Times New Roman" w:ascii="Times New Roman" w:hAnsi="Times New Roman"/>
        </w:rPr>
        <w:t>.  Subject to the conditions specified in Sections 12.9.1 through 12.9.5 above, any disputing party may appeal or contest an arbitrator’s decision to FERC or an appropriate Presiding Authority as follows:</w:t>
      </w:r>
    </w:p>
    <w:p>
      <w:pPr>
        <w:pStyle w:val="Normal"/>
        <w:tabs>
          <w:tab w:val="clear" w:pos="720"/>
          <w:tab w:val="left" w:pos="-720" w:leader="none"/>
          <w:tab w:val="left" w:pos="2160" w:leader="none"/>
          <w:tab w:val="left" w:pos="23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end="0"/>
        <w:rPr/>
      </w:pPr>
      <w:r>
        <w:rPr>
          <w:rFonts w:cs="Times New Roman" w:ascii="Times New Roman" w:hAnsi="Times New Roman"/>
        </w:rPr>
        <w:t>12.10.1</w:t>
        <w:tab/>
      </w:r>
      <w:r>
        <w:rPr>
          <w:rFonts w:cs="Times New Roman" w:ascii="Times New Roman" w:hAnsi="Times New Roman"/>
          <w:u w:val="single"/>
        </w:rPr>
        <w:t>Record on Appeal</w:t>
      </w:r>
      <w:r>
        <w:rPr>
          <w:rFonts w:cs="Times New Roman" w:ascii="Times New Roman" w:hAnsi="Times New Roman"/>
        </w:rPr>
        <w:t>.  Except as otherwise provided in Section 12.10.3 below, any appeal or action to contest an arbitrator’s decision to FERC or a Presiding Authority shall be based solely upon the record assembled by the arbitrator.  All parties to arbitrations conducted under Article XII, Sections 12.6 and 12.7 of this Agreement intend that: (i) the Presiding Authority should afford substantial deference to the factual findings of the arbitrator; (ii) the portion, if any, of the arbitrator’s decision relating to issues not of first impression (i.e., matters previously decided by the Presiding Authority or a court of competent jurisdiction in cases involving comparable facts and circumstances) should be afforded appropriate deference by the Presiding Authority; and (iii) the portion, if any, of the arbitrator’s decision relating to issues of first impression should be afforded no deference by the Presiding Authority.</w:t>
      </w:r>
    </w:p>
    <w:p>
      <w:pPr>
        <w:pStyle w:val="Normal"/>
        <w:tabs>
          <w:tab w:val="clear" w:pos="720"/>
          <w:tab w:val="left" w:pos="-720" w:leader="none"/>
          <w:tab w:val="left" w:pos="2160" w:leader="none"/>
          <w:tab w:val="left" w:pos="23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end="0"/>
        <w:rPr/>
      </w:pPr>
      <w:r>
        <w:rPr>
          <w:rFonts w:cs="Times New Roman" w:ascii="Times New Roman" w:hAnsi="Times New Roman"/>
        </w:rPr>
        <w:t>12.10.2</w:t>
        <w:tab/>
      </w:r>
      <w:r>
        <w:rPr>
          <w:rFonts w:cs="Times New Roman" w:ascii="Times New Roman" w:hAnsi="Times New Roman"/>
          <w:u w:val="single"/>
        </w:rPr>
        <w:t>No Expansion of Record on Appeal</w:t>
      </w:r>
      <w:r>
        <w:rPr>
          <w:rFonts w:cs="Times New Roman" w:ascii="Times New Roman" w:hAnsi="Times New Roman"/>
        </w:rPr>
        <w:t>.  Except as otherwise provided in Section 12.10.3 below, no Full Member, Affiliate Member, non-Member, or the Council that has been a party to an arbitration under Article XII, Sections 12.6 and 12.7 of this Agreement shall seek to expand the factual record before FERC or a Presiding Authority beyond that assembled by the arbitrator.</w:t>
      </w:r>
    </w:p>
    <w:p>
      <w:pPr>
        <w:pStyle w:val="Normal"/>
        <w:tabs>
          <w:tab w:val="clear" w:pos="720"/>
          <w:tab w:val="left" w:pos="-720" w:leader="none"/>
          <w:tab w:val="left" w:pos="2160" w:leader="none"/>
          <w:tab w:val="left" w:pos="23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end="0"/>
        <w:rPr/>
      </w:pPr>
      <w:r>
        <w:rPr>
          <w:rFonts w:cs="Times New Roman" w:ascii="Times New Roman" w:hAnsi="Times New Roman"/>
        </w:rPr>
        <w:t>12.10.3</w:t>
        <w:tab/>
      </w:r>
      <w:r>
        <w:rPr>
          <w:rFonts w:cs="Times New Roman" w:ascii="Times New Roman" w:hAnsi="Times New Roman"/>
          <w:u w:val="single"/>
        </w:rPr>
        <w:t>Exceptions to Limitations on Record on Appeal</w:t>
      </w:r>
      <w:r>
        <w:rPr>
          <w:rFonts w:cs="Times New Roman" w:ascii="Times New Roman" w:hAnsi="Times New Roman"/>
        </w:rPr>
        <w:t>.  If the arbitrator fails to assemble a complete record with respect to an arbitrated decision that is appealed pursuant to Article XII, Sections 12.9 through 12.12 of this Agreement, the parties to the appeal shall, notwithstanding the provisions of Sections 12.10.1 and 12.10.2 above, have the right to supplement the arbitrator’s record before FERC or the Presiding Authority with any materials received into evidence by the arbitrator but omitted from the record assembled by the arbitrator.  If an arbitrator’s decisions is appealed under Section 12.9.1(iii) or (iv) above on the grounds that the arbitrator improperly excluded evidence so as to materially prejudice the outcome of the arbitration with respect to one or more of the parties to the dispute, any party to the appeal may submit the evidence asserted to be improperly excluded, but only as a basis to request that FERC or the Presiding Authority vacate the arbitrator’s decision and remand the matter to the arbitrator (or, if FERC or the Presiding Authority determines that the arbitrator engaged in serious misconduct, to a newly selected arbitrator) for reconsideration of the matter with inclusion of the improperly excluded evidence.  If an arbitrator’s decision is appealed under Section 12.9.1(iv) above on the grounds of serious misconduct by the arbitrator, any party to the appeal may offer new evidence relating to the arbitrator’s alleged misconduct.</w:t>
      </w:r>
    </w:p>
    <w:p>
      <w:pPr>
        <w:pStyle w:val="Normal"/>
        <w:tabs>
          <w:tab w:val="left" w:pos="-720" w:leader="none"/>
          <w:tab w:val="left" w:pos="0" w:leader="none"/>
          <w:tab w:val="left" w:pos="720" w:leader="none"/>
          <w:tab w:val="left" w:pos="1440" w:leader="none"/>
          <w:tab w:val="left" w:pos="2160" w:leader="none"/>
          <w:tab w:val="left" w:pos="23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Fonts w:cs="Times New Roman" w:ascii="Times New Roman" w:hAnsi="Times New Roman"/>
        </w:rPr>
        <w:tab/>
        <w:tab/>
        <w:t>12.10.4</w:t>
        <w:tab/>
      </w:r>
      <w:r>
        <w:rPr>
          <w:rFonts w:cs="Times New Roman" w:ascii="Times New Roman" w:hAnsi="Times New Roman"/>
          <w:u w:val="single"/>
        </w:rPr>
        <w:t>Procedures for Appeals to Presiding Authority</w:t>
      </w:r>
      <w:r>
        <w:rPr>
          <w:rFonts w:cs="Times New Roman" w:ascii="Times New Roman" w:hAnsi="Times New Roman"/>
        </w:rPr>
        <w:t>.  If any party to an arbitration under Article XII, Sections 12.6 and 12.7 of this Agreement desires to appeal an arbitrator’s decision to an appropriate Presiding Authority, it shall provide written notice to that effect to all other parties to the arbitration, the arbitrator, and the Council’s Executive Director within 14 calendar days following the date of the arbitrator’s decision.  If notice of appeal is timely provided: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2160" w:end="0"/>
        <w:rPr>
          <w:rFonts w:ascii="Times New Roman" w:hAnsi="Times New Roman" w:cs="Times New Roman"/>
        </w:rPr>
      </w:pPr>
      <w:r>
        <w:rPr>
          <w:rFonts w:cs="Times New Roman" w:ascii="Times New Roman" w:hAnsi="Times New Roman"/>
        </w:rPr>
        <w:t>(1)</w:t>
        <w:tab/>
        <w:t>Within 30 calendar days after the date of the appealing party’s first notice of appeal, the party providing notice of appeal shall file its statement of position regarding the appeal with the Presiding Authority, together with the complete evidentiary record of the arbitration and a copy of the arbitrator’s decision.  The statement of position shall state that the appeal requested has been the subject of an arbitration pursuant to this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2160" w:end="0"/>
        <w:rPr>
          <w:rFonts w:ascii="Times New Roman" w:hAnsi="Times New Roman" w:cs="Times New Roman"/>
        </w:rPr>
      </w:pPr>
      <w:r>
        <w:rPr>
          <w:rFonts w:cs="Times New Roman" w:ascii="Times New Roman" w:hAnsi="Times New Roman"/>
        </w:rPr>
        <w:t>(2)</w:t>
        <w:tab/>
        <w:t>Within 30 calendar days after the date of the appealing party’s first notice of appeal, any other party that was a party to the arbitration may file its statement of position regarding the appeal with the Presiding Authority.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2160" w:end="0"/>
        <w:rPr>
          <w:rFonts w:ascii="Times New Roman" w:hAnsi="Times New Roman" w:cs="Times New Roman"/>
        </w:rPr>
      </w:pPr>
      <w:r>
        <w:rPr>
          <w:rFonts w:cs="Times New Roman" w:ascii="Times New Roman" w:hAnsi="Times New Roman"/>
        </w:rPr>
        <w:t>(3)</w:t>
        <w:tab/>
        <w:t>Copies of all materials filed with the Presiding Authority by any party during the course of an appeal shall be delivered to all other parties to the arbitration and to the Council’s Executive Director.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2160" w:end="0"/>
        <w:rPr>
          <w:rFonts w:ascii="Times New Roman" w:hAnsi="Times New Roman" w:cs="Times New Roman"/>
        </w:rPr>
      </w:pPr>
      <w:r>
        <w:rPr>
          <w:rFonts w:cs="Times New Roman" w:ascii="Times New Roman" w:hAnsi="Times New Roman"/>
        </w:rPr>
        <w:t>(4)</w:t>
        <w:tab/>
        <w:t xml:space="preserve">Implementation of the arbitrator’s decision shall be deemed stayed pending an appeal unless and until, at the request of a disputing party, the Presiding Authority issues an order shortening or extending the stay of implementation.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2160" w:end="0"/>
        <w:rPr>
          <w:rFonts w:ascii="Times New Roman" w:hAnsi="Times New Roman" w:cs="Times New Roman"/>
        </w:rPr>
      </w:pPr>
      <w:r>
        <w:rPr>
          <w:rFonts w:cs="Times New Roman" w:ascii="Times New Roman" w:hAnsi="Times New Roman"/>
        </w:rPr>
        <w:t>(5)</w:t>
        <w:tab/>
        <w:t>The Council’s Executive Director shall publish (or cause to be published) a summary of each appeal in the Council’s newsletter or electronic bulletin board.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2160" w:end="0"/>
        <w:rPr>
          <w:rFonts w:ascii="Times New Roman" w:hAnsi="Times New Roman" w:cs="Times New Roman"/>
        </w:rPr>
      </w:pPr>
      <w:r>
        <w:rPr>
          <w:rFonts w:cs="Times New Roman" w:ascii="Times New Roman" w:hAnsi="Times New Roman"/>
        </w:rPr>
        <w:t>(6)</w:t>
        <w:tab/>
        <w:t>The Full Members and the Council intend that any Presiding Authority’s order resulting from an appeal under Article XII, Sections 12.9 and 12.10 of this Agreement shall be subject to judicial review pursuant to laws governing the Presiding Authority and the matter in dispute that provide for judicial review of Presiding Authority action.</w:t>
      </w:r>
    </w:p>
    <w:p>
      <w:pPr>
        <w:pStyle w:val="Normal"/>
        <w:numPr>
          <w:ilvl w:val="1"/>
          <w:numId w:val="4"/>
        </w:numPr>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start="0" w:end="0"/>
        <w:rPr>
          <w:rFonts w:ascii="Times New Roman" w:hAnsi="Times New Roman" w:cs="Times New Roman"/>
        </w:rPr>
      </w:pPr>
      <w:r>
        <w:rPr>
          <w:rFonts w:cs="Times New Roman" w:ascii="Times New Roman" w:hAnsi="Times New Roman"/>
          <w:u w:val="single"/>
        </w:rPr>
        <w:t>Procedures for Contesting or Appealing Arbitrator’s Decision Before FERC</w:t>
      </w:r>
      <w:r>
        <w:rPr>
          <w:rFonts w:cs="Times New Roman" w:ascii="Times New Roman" w:hAnsi="Times New Roman"/>
        </w:rPr>
        <w:t>.  If any party to a dispute arbitrated under Article XII, Sections 12.6 and 12.7 of this Agreement elects, subject to the limitations set forth in Sections 12.9.1 through 12.9.5 above, to contest or appeal an arbitrator’s decision before FERC, the party so electing shall provide written notice to that effect to all other parties to the arbitration, the arbitrator, and the Council’s Executive Director within 14 calendar days following the date of the arbitrator’s decision.  The provisions contained in Sections 12.10.1, 12.10.2, and 12.10.3 above shall apply with respect to the record of the arbitration submitted to FERC.  In addition, the following provisions shall apply:</w:t>
      </w:r>
    </w:p>
    <w:p>
      <w:pPr>
        <w:pStyle w:val="Normal"/>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Fonts w:cs="Times New Roman" w:ascii="Times New Roman" w:hAnsi="Times New Roman"/>
        </w:rPr>
        <w:tab/>
        <w:t xml:space="preserve">12.11.1  </w:t>
      </w:r>
      <w:r>
        <w:rPr>
          <w:rFonts w:cs="Times New Roman" w:ascii="Times New Roman" w:hAnsi="Times New Roman"/>
          <w:u w:val="single"/>
        </w:rPr>
        <w:t>FERC Filing by Prevailing Party</w:t>
      </w:r>
      <w:r>
        <w:rPr>
          <w:rFonts w:cs="Times New Roman" w:ascii="Times New Roman" w:hAnsi="Times New Roman"/>
        </w:rPr>
        <w:t>.  If the arbitrator’s decision requires the prevailing party to take action that must have FERC approval or involves the provision of FERC-jurisdictional service by the prevailing party, the prevailing party shall file the arbitrator’s decision or make an appropriate filing with FERC to implement the arbitrator’s decision.  Provided that it has given notice as required under Section 12.11 above, any non-prevailing party may contest the prevailing party’s filing in accordance’s with FERC’s applicable rules and regulations.</w:t>
      </w:r>
    </w:p>
    <w:p>
      <w:pPr>
        <w:pStyle w:val="Normal"/>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Fonts w:cs="Times New Roman" w:ascii="Times New Roman" w:hAnsi="Times New Roman"/>
        </w:rPr>
        <w:tab/>
        <w:t xml:space="preserve">12.11.2  </w:t>
      </w:r>
      <w:r>
        <w:rPr>
          <w:rFonts w:cs="Times New Roman" w:ascii="Times New Roman" w:hAnsi="Times New Roman"/>
          <w:u w:val="single"/>
        </w:rPr>
        <w:t>Complaint to FERC by Prevailing Party</w:t>
      </w:r>
      <w:r>
        <w:rPr>
          <w:rFonts w:cs="Times New Roman" w:ascii="Times New Roman" w:hAnsi="Times New Roman"/>
        </w:rPr>
        <w:t>.  If the arbitrator’s decision requires a non-prevailing party to take action that must have FERC approval or involves the provision of FERC-jurisdictional service by any non-prevailing party, then, if the non-prevailing party has given notice as required under Section 12.11 above, the prevailing party may submit the arbitrator’s decision to FERC in the form of a complaint.</w:t>
      </w:r>
    </w:p>
    <w:p>
      <w:pPr>
        <w:pStyle w:val="Normal"/>
        <w:spacing w:lineRule="auto" w:line="480"/>
        <w:ind w:firstLine="720" w:end="0"/>
        <w:rPr/>
      </w:pPr>
      <w:r>
        <w:rPr>
          <w:rFonts w:cs="Times New Roman" w:ascii="Times New Roman" w:hAnsi="Times New Roman"/>
        </w:rPr>
        <w:t>12.12</w:t>
        <w:tab/>
      </w:r>
      <w:r>
        <w:rPr>
          <w:rFonts w:cs="Times New Roman" w:ascii="Times New Roman" w:hAnsi="Times New Roman"/>
          <w:u w:val="single"/>
        </w:rPr>
        <w:t>Appeal to Court</w:t>
      </w:r>
      <w:r>
        <w:rPr>
          <w:rFonts w:cs="Times New Roman" w:ascii="Times New Roman" w:hAnsi="Times New Roman"/>
        </w:rPr>
        <w:t>.  If none of the provisions that govern appealing or contesting an arbitrator’s decision before FERC, a Canadian Regulatory Authority, or a Mexican Regulatory Authority as set forth in Article XII, Sections 12.9.2, 12.9.3, or 12.9.4 above apply, any disputing party may appeal an arbitrator’s decision to any court of competent jurisdiction, subject to the conditions specified in Section 12.9.1 above.  Except as otherwise provided in Section 12.10.3 above (substituting the words “court of competent jurisdiction” for “FERC or the Presiding Authority”), any appeal to a court shall be based solely upon the record assembled by the arbitrator, and no Full Member, Affiliate Member, non-Member, or the Council who is a party to an arbitration under Article XII, Sections 12.6 and 12.7 of this Agreement shall seek to expand the factual record before the court beyond that assembled by the arbitrator.</w:t>
      </w:r>
      <w:r>
        <w:br w:type="page"/>
      </w:r>
    </w:p>
    <w:p>
      <w:pPr>
        <w:pStyle w:val="Normal"/>
        <w:jc w:val="center"/>
        <w:rPr>
          <w:rFonts w:ascii="Times New Roman" w:hAnsi="Times New Roman" w:cs="Times New Roman"/>
          <w:b/>
          <w:sz w:val="28"/>
        </w:rPr>
      </w:pPr>
      <w:r>
        <w:rPr>
          <w:rFonts w:cs="Times New Roman" w:ascii="Times New Roman" w:hAnsi="Times New Roman"/>
          <w:b/>
          <w:sz w:val="28"/>
        </w:rPr>
        <w:t xml:space="preserve">Supplemental Definitions to be Incorporated </w:t>
      </w:r>
    </w:p>
    <w:p>
      <w:pPr>
        <w:pStyle w:val="Normal"/>
        <w:jc w:val="center"/>
        <w:rPr>
          <w:rFonts w:ascii="Times New Roman" w:hAnsi="Times New Roman" w:cs="Times New Roman"/>
          <w:b/>
        </w:rPr>
      </w:pPr>
      <w:r>
        <w:rPr>
          <w:rFonts w:cs="Times New Roman" w:ascii="Times New Roman" w:hAnsi="Times New Roman"/>
          <w:b/>
          <w:sz w:val="28"/>
        </w:rPr>
        <w:t>Alphabetically in Article II of the WSCC Agreement and Bylaws</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u w:val="single"/>
        </w:rPr>
        <w:t>Arbitration Notice</w:t>
      </w:r>
      <w:r>
        <w:rPr>
          <w:rFonts w:cs="Times New Roman" w:ascii="Times New Roman" w:hAnsi="Times New Roman"/>
        </w:rPr>
        <w:t xml:space="preserve"> has the meaning specified in Article XII, Section 12.7.1 of this Agreement.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u w:val="single"/>
        </w:rPr>
        <w:t>Canadian Regulatory Authority</w:t>
      </w:r>
      <w:r>
        <w:rPr>
          <w:rFonts w:cs="Times New Roman" w:ascii="Times New Roman" w:hAnsi="Times New Roman"/>
        </w:rPr>
        <w:t>.  The agency or agencies established under the laws of Canada or the applicable Provinces of Canada and having jurisdiction over facilities, interconnections, transmission rates, charges, terms, and conditions of service of a Canadian Full Member.</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u w:val="single"/>
        </w:rPr>
        <w:t>Dispute Notice</w:t>
      </w:r>
      <w:r>
        <w:rPr>
          <w:rFonts w:cs="Times New Roman" w:ascii="Times New Roman" w:hAnsi="Times New Roman"/>
        </w:rPr>
        <w:t xml:space="preserve"> has the meaning specified in Article XII, Section 12.5.1 of this Agreement.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u w:val="single"/>
        </w:rPr>
        <w:t>FERC</w:t>
      </w:r>
      <w:r>
        <w:rPr>
          <w:rFonts w:cs="Times New Roman" w:ascii="Times New Roman" w:hAnsi="Times New Roman"/>
        </w:rPr>
        <w:t>.  The Federal Energy Regulatory Commission or a successor agency.</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u w:val="single"/>
        </w:rPr>
        <w:t>FPA</w:t>
      </w:r>
      <w:r>
        <w:rPr>
          <w:rFonts w:cs="Times New Roman" w:ascii="Times New Roman" w:hAnsi="Times New Roman"/>
        </w:rPr>
        <w:t xml:space="preserve">.  The Federal Power Act (16 U.S.C. §§ 824 </w:t>
      </w:r>
      <w:r>
        <w:rPr>
          <w:rFonts w:cs="Times New Roman" w:ascii="Times New Roman" w:hAnsi="Times New Roman"/>
          <w:i/>
        </w:rPr>
        <w:t>et. seq.</w:t>
      </w:r>
      <w:r>
        <w:rPr>
          <w:rFonts w:cs="Times New Roman" w:ascii="Times New Roman" w:hAnsi="Times New Roman"/>
        </w:rPr>
        <w:t>), as it may be amended from time to time.</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u w:val="single"/>
        </w:rPr>
        <w:t>Mexican Regulatory Authority</w:t>
      </w:r>
      <w:r>
        <w:rPr>
          <w:rFonts w:cs="Times New Roman" w:ascii="Times New Roman" w:hAnsi="Times New Roman"/>
        </w:rPr>
        <w:t>.  The agency or agencies established under the laws of Mexico or the applicable states of Mexico and having jurisdiction over facilities, interconnections, transmission rates, charges, terms, and conditions of service of a Mexican Full Member.</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u w:val="single"/>
        </w:rPr>
        <w:t>Presiding Authority</w:t>
      </w:r>
      <w:r>
        <w:rPr>
          <w:rFonts w:cs="Times New Roman" w:ascii="Times New Roman" w:hAnsi="Times New Roman"/>
        </w:rPr>
        <w:t>.  As used in Article XII, Section 12.10 of this Agreement, the term “Presiding Authority” has the following meanings:  with respect to an appeal to an appropriate Canadian Regulatory Authority, “Presiding Authority” means the presiding Canadian Regulatory Authority or Canadian court with jurisdiction to hear the appeal; and with respect to an appeal to an appropriate Mexican Regulatory Authority, “Presiding Authority” means the presiding Mexican Regulatory Authority or Mexican court with jurisdiction to hear the appeal.</w:t>
      </w:r>
    </w:p>
    <w:sectPr>
      <w:type w:val="continuous"/>
      <w:pgSz w:w="12240" w:h="15840"/>
      <w:pgMar w:left="1440" w:right="1440" w:gutter="0" w:header="1440" w:top="1496" w:footer="792" w:bottom="115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cent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34</w:t>
    </w:r>
    <w:r>
      <w:rPr>
        <w:rStyle w:val="PageNumber"/>
        <w:sz w:val="20"/>
      </w:rPr>
      <w:fldChar w:fldCharType="end"/>
    </w:r>
  </w:p>
  <w:p>
    <w:pPr>
      <w:pStyle w:val="Footer"/>
      <w:rPr>
        <w:rStyle w:val="PageNumber"/>
        <w:i/>
        <w:i/>
        <w:sz w:val="20"/>
      </w:rPr>
    </w:pPr>
    <w:r>
      <w:rPr/>
    </w:r>
  </w:p>
  <w:p>
    <w:pPr>
      <w:pStyle w:val="Footer"/>
      <w:rPr/>
    </w:pPr>
    <w:r>
      <w:rPr>
        <w:rStyle w:val="PageNumber"/>
        <w:i/>
        <w:sz w:val="20"/>
      </w:rPr>
      <w:t>Proposed WSCC ADR Language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sz w:val="20"/>
      </w:rPr>
    </w:pPr>
    <w:r>
      <w:rPr>
        <w:i/>
        <w:sz w:val="20"/>
      </w:rPr>
      <w:t>Clean Revised Discussion Draft</w:t>
    </w:r>
  </w:p>
  <w:p>
    <w:pPr>
      <w:pStyle w:val="Header"/>
      <w:jc w:val="end"/>
      <w:rPr>
        <w:i/>
        <w:i/>
        <w:sz w:val="20"/>
      </w:rPr>
    </w:pPr>
    <w:r>
      <w:rPr>
        <w:i/>
        <w:sz w:val="20"/>
      </w:rPr>
      <w:t>November 13, 2000</w:t>
    </w:r>
  </w:p>
  <w:p>
    <w:pPr>
      <w:pStyle w:val="Header"/>
      <w:jc w:val="end"/>
      <w:rPr>
        <w:i/>
        <w:i/>
        <w:sz w:val="20"/>
      </w:rPr>
    </w:pPr>
    <w:r>
      <w:rPr>
        <w:i/>
        <w:sz w:val="20"/>
      </w:rPr>
    </w:r>
  </w:p>
  <w:p>
    <w:pPr>
      <w:pStyle w:val="Header"/>
      <w:rPr>
        <w:i/>
        <w:i/>
        <w:sz w:val="20"/>
      </w:rPr>
    </w:pPr>
    <w:r>
      <w:rPr>
        <w:i/>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2160"/>
        </w:tabs>
        <w:ind w:start="2160" w:hanging="720"/>
      </w:pPr>
      <w:rPr/>
    </w:lvl>
  </w:abstractNum>
  <w:abstractNum w:abstractNumId="2">
    <w:lvl w:ilvl="0">
      <w:start w:val="12"/>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2"/>
      <w:numFmt w:val="decimal"/>
      <w:lvlText w:val="%1"/>
      <w:lvlJc w:val="start"/>
      <w:pPr>
        <w:tabs>
          <w:tab w:val="num" w:pos="720"/>
        </w:tabs>
        <w:ind w:start="720" w:hanging="720"/>
      </w:pPr>
      <w:rPr/>
    </w:lvl>
    <w:lvl w:ilvl="1">
      <w:start w:val="1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2"/>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12"/>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Old Style" w:hAnsi="Bookman Old Style" w:eastAsia="Times New Roman" w:cs="Bookman Old Style"/>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pPr>
    <w:rPr>
      <w:rFonts w:ascii="Times New Roman" w:hAnsi="Times New Roman" w:cs="Times New Roman"/>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90" w:start="1830" w:end="0"/>
    </w:pPr>
    <w:rPr>
      <w:rFonts w:ascii="Times New Roman" w:hAnsi="Times New Roman" w:cs="Times New Roman"/>
    </w:rPr>
  </w:style>
  <w:style w:type="paragraph" w:styleId="BodyTextIndent3">
    <w:name w:val="Body Text Indent 3"/>
    <w:basedOn w:val="Normal"/>
    <w:qFormat/>
    <w:p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start="0" w:end="0"/>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2000-11-18T14:09:00Z</dcterms:created>
  <dc:creator>Sarah Dennison-Leonard</dc:creator>
  <dc:description/>
  <dc:language>en-CA</dc:language>
  <cp:lastModifiedBy>lisa</cp:lastModifiedBy>
  <cp:lastPrinted>2000-11-18T11:12:00Z</cp:lastPrinted>
  <dcterms:modified xsi:type="dcterms:W3CDTF">2000-11-18T16:36:00Z</dcterms:modified>
  <cp:revision>3</cp:revision>
  <dc:subject/>
  <dc:title>Third Draft</dc:title>
</cp:coreProperties>
</file>