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ADDITIONAL COMMENTS</w:t>
        <w:br/>
        <w:t>November 21, 2000</w:t>
      </w:r>
    </w:p>
    <w:p>
      <w:pPr>
        <w:pStyle w:val="Normal"/>
        <w:jc w:val="center"/>
        <w:rPr>
          <w:b/>
        </w:rPr>
      </w:pPr>
      <w:r>
        <w:rPr>
          <w:b/>
        </w:rPr>
      </w:r>
    </w:p>
    <w:p>
      <w:pPr>
        <w:pStyle w:val="Normal"/>
        <w:rPr>
          <w:b/>
        </w:rPr>
      </w:pPr>
      <w:r>
        <w:rPr>
          <w:b/>
        </w:rPr>
      </w:r>
    </w:p>
    <w:p>
      <w:pPr>
        <w:pStyle w:val="Normal"/>
        <w:numPr>
          <w:ilvl w:val="0"/>
          <w:numId w:val="1"/>
        </w:numPr>
        <w:rPr/>
      </w:pPr>
      <w:r>
        <w:rPr/>
        <w:t>Equipment—Is this definition correct?  Isn’t Equipment everything that is in Seller’s scope?</w:t>
      </w:r>
    </w:p>
    <w:p>
      <w:pPr>
        <w:pStyle w:val="Normal"/>
        <w:rPr/>
      </w:pPr>
      <w:r>
        <w:rPr/>
      </w:r>
    </w:p>
    <w:p>
      <w:pPr>
        <w:pStyle w:val="Normal"/>
        <w:numPr>
          <w:ilvl w:val="0"/>
          <w:numId w:val="1"/>
        </w:numPr>
        <w:rPr/>
      </w:pPr>
      <w:r>
        <w:rPr/>
        <w:t>Expected Delivery Date—Insert in first sentence after Guaranteed Installation Date” –“and not before the Expected Delivery Date set forth in the Release unless Seller has received prior written consent from purchaser for such early delivery.”  Delete “unless otherwise agreed”</w:t>
      </w:r>
    </w:p>
    <w:p>
      <w:pPr>
        <w:pStyle w:val="Normal"/>
        <w:rPr/>
      </w:pPr>
      <w:r>
        <w:rPr/>
      </w:r>
    </w:p>
    <w:p>
      <w:pPr>
        <w:pStyle w:val="Normal"/>
        <w:numPr>
          <w:ilvl w:val="0"/>
          <w:numId w:val="1"/>
        </w:numPr>
        <w:rPr/>
      </w:pPr>
      <w:r>
        <w:rPr/>
        <w:t>Facility—Shouldn’t this definition reference Equipment too?</w:t>
      </w:r>
    </w:p>
    <w:p>
      <w:pPr>
        <w:pStyle w:val="Normal"/>
        <w:rPr/>
      </w:pPr>
      <w:r>
        <w:rPr/>
      </w:r>
    </w:p>
    <w:p>
      <w:pPr>
        <w:pStyle w:val="Normal"/>
        <w:numPr>
          <w:ilvl w:val="0"/>
          <w:numId w:val="1"/>
        </w:numPr>
        <w:rPr/>
      </w:pPr>
      <w:r>
        <w:rPr/>
        <w:t>Lender—Shouldn’t definition be “seeking to obtain”</w:t>
      </w:r>
    </w:p>
    <w:p>
      <w:pPr>
        <w:pStyle w:val="Normal"/>
        <w:rPr/>
      </w:pPr>
      <w:r>
        <w:rPr/>
      </w:r>
    </w:p>
    <w:p>
      <w:pPr>
        <w:pStyle w:val="Normal"/>
        <w:numPr>
          <w:ilvl w:val="0"/>
          <w:numId w:val="1"/>
        </w:numPr>
        <w:rPr/>
      </w:pPr>
      <w:r>
        <w:rPr/>
        <w:t>Punchlist—Should be by “Site” and by “Unit.”</w:t>
      </w:r>
    </w:p>
    <w:p>
      <w:pPr>
        <w:pStyle w:val="Normal"/>
        <w:rPr/>
      </w:pPr>
      <w:r>
        <w:rPr/>
      </w:r>
    </w:p>
    <w:p>
      <w:pPr>
        <w:pStyle w:val="Normal"/>
        <w:numPr>
          <w:ilvl w:val="0"/>
          <w:numId w:val="1"/>
        </w:numPr>
        <w:rPr/>
      </w:pPr>
      <w:r>
        <w:rPr/>
        <w:t>Scope of Work—Should we add “Construction” and “Development.”</w:t>
      </w:r>
    </w:p>
    <w:p>
      <w:pPr>
        <w:pStyle w:val="Normal"/>
        <w:rPr/>
      </w:pPr>
      <w:r>
        <w:rPr/>
      </w:r>
    </w:p>
    <w:p>
      <w:pPr>
        <w:pStyle w:val="Normal"/>
        <w:numPr>
          <w:ilvl w:val="0"/>
          <w:numId w:val="1"/>
        </w:numPr>
        <w:rPr/>
      </w:pPr>
      <w:r>
        <w:rPr/>
        <w:t>Section 2.2 ©--If the Purchaser is CRRA, could this provision be in conflict with its role as a state agency?  Should there be some provision that the change must already be disclosed to the public?</w:t>
      </w:r>
    </w:p>
    <w:p>
      <w:pPr>
        <w:pStyle w:val="Normal"/>
        <w:rPr/>
      </w:pPr>
      <w:r>
        <w:rPr/>
      </w:r>
    </w:p>
    <w:p>
      <w:pPr>
        <w:pStyle w:val="Normal"/>
        <w:numPr>
          <w:ilvl w:val="0"/>
          <w:numId w:val="1"/>
        </w:numPr>
        <w:rPr/>
      </w:pPr>
      <w:r>
        <w:rPr/>
        <w:t>Section 3.1—Last sentence.  Do we still need?  Isn’t consistent with “As built” concept.</w:t>
      </w:r>
    </w:p>
    <w:p>
      <w:pPr>
        <w:pStyle w:val="Normal"/>
        <w:rPr/>
      </w:pPr>
      <w:r>
        <w:rPr/>
      </w:r>
    </w:p>
    <w:p>
      <w:pPr>
        <w:pStyle w:val="Normal"/>
        <w:numPr>
          <w:ilvl w:val="0"/>
          <w:numId w:val="1"/>
        </w:numPr>
        <w:rPr/>
      </w:pPr>
      <w:r>
        <w:rPr/>
        <w:t>Section 3.3 ©--Isn’t this inconsistent with the other Project management Plan section (section 8.1)?</w:t>
      </w:r>
    </w:p>
    <w:p>
      <w:pPr>
        <w:pStyle w:val="Normal"/>
        <w:rPr/>
      </w:pPr>
      <w:r>
        <w:rPr/>
      </w:r>
    </w:p>
    <w:p>
      <w:pPr>
        <w:pStyle w:val="Normal"/>
        <w:numPr>
          <w:ilvl w:val="0"/>
          <w:numId w:val="1"/>
        </w:numPr>
        <w:rPr/>
      </w:pPr>
      <w:r>
        <w:rPr/>
        <w:t>Section 3.4 (a)—Now that we have a Hazardous Material list shouldn’t we limit to those materials?</w:t>
      </w:r>
    </w:p>
    <w:p>
      <w:pPr>
        <w:pStyle w:val="Normal"/>
        <w:rPr/>
      </w:pPr>
      <w:r>
        <w:rPr/>
      </w:r>
    </w:p>
    <w:p>
      <w:pPr>
        <w:pStyle w:val="Normal"/>
        <w:numPr>
          <w:ilvl w:val="0"/>
          <w:numId w:val="1"/>
        </w:numPr>
        <w:rPr/>
      </w:pPr>
      <w:r>
        <w:rPr/>
        <w:t>Section 3.10 (b)—What if there is a partial order, amounts shown are for full order?  Should have a formula with a fixed portion and a variable portion.</w:t>
      </w:r>
    </w:p>
    <w:p>
      <w:pPr>
        <w:pStyle w:val="Normal"/>
        <w:rPr/>
      </w:pPr>
      <w:r>
        <w:rPr/>
      </w:r>
    </w:p>
    <w:p>
      <w:pPr>
        <w:pStyle w:val="Normal"/>
        <w:numPr>
          <w:ilvl w:val="0"/>
          <w:numId w:val="1"/>
        </w:numPr>
        <w:rPr/>
      </w:pPr>
      <w:r>
        <w:rPr/>
        <w:t>Section 5.1.1—Does this work.  Purchase Amount is by Unit.  It isn’t one total.  Otherwise shouldn’t it be plural.</w:t>
      </w:r>
    </w:p>
    <w:p>
      <w:pPr>
        <w:pStyle w:val="Normal"/>
        <w:rPr/>
      </w:pPr>
      <w:r>
        <w:rPr/>
      </w:r>
    </w:p>
    <w:p>
      <w:pPr>
        <w:pStyle w:val="Normal"/>
        <w:numPr>
          <w:ilvl w:val="0"/>
          <w:numId w:val="1"/>
        </w:numPr>
        <w:rPr/>
      </w:pPr>
      <w:r>
        <w:rPr/>
        <w:t>Section 6—I thought that FCE was going to add a late charge section.</w:t>
      </w:r>
    </w:p>
    <w:p>
      <w:pPr>
        <w:pStyle w:val="Normal"/>
        <w:rPr/>
      </w:pPr>
      <w:r>
        <w:rPr/>
      </w:r>
    </w:p>
    <w:p>
      <w:pPr>
        <w:pStyle w:val="Normal"/>
        <w:numPr>
          <w:ilvl w:val="0"/>
          <w:numId w:val="1"/>
        </w:numPr>
        <w:rPr/>
      </w:pPr>
      <w:r>
        <w:rPr/>
        <w:t>Section 6.4 (iv)—If we decide not to build our scope because FCE is behind, is it clear to you that FCE has “caused” our delay?</w:t>
      </w:r>
    </w:p>
    <w:p>
      <w:pPr>
        <w:pStyle w:val="Normal"/>
        <w:rPr/>
      </w:pPr>
      <w:r>
        <w:rPr/>
      </w:r>
    </w:p>
    <w:p>
      <w:pPr>
        <w:pStyle w:val="Normal"/>
        <w:numPr>
          <w:ilvl w:val="0"/>
          <w:numId w:val="1"/>
        </w:numPr>
        <w:rPr/>
      </w:pPr>
      <w:r>
        <w:rPr/>
        <w:t>Section 6.4—Need to incorporate a provision that says we get the unit if beyond 510 days.</w:t>
      </w:r>
    </w:p>
    <w:p>
      <w:pPr>
        <w:pStyle w:val="Normal"/>
        <w:rPr/>
      </w:pPr>
      <w:r>
        <w:rPr/>
      </w:r>
    </w:p>
    <w:p>
      <w:pPr>
        <w:pStyle w:val="Normal"/>
        <w:numPr>
          <w:ilvl w:val="0"/>
          <w:numId w:val="1"/>
        </w:numPr>
        <w:rPr/>
      </w:pPr>
      <w:r>
        <w:rPr/>
        <w:t>Section 7.2—Is reference to Exhibit A in first sentence accurate.</w:t>
      </w:r>
    </w:p>
    <w:p>
      <w:pPr>
        <w:pStyle w:val="Normal"/>
        <w:rPr/>
      </w:pPr>
      <w:r>
        <w:rPr/>
      </w:r>
    </w:p>
    <w:p>
      <w:pPr>
        <w:pStyle w:val="Normal"/>
        <w:numPr>
          <w:ilvl w:val="0"/>
          <w:numId w:val="1"/>
        </w:numPr>
        <w:rPr/>
      </w:pPr>
      <w:r>
        <w:rPr/>
        <w:t xml:space="preserve">Section  8.3—Shouldn’t “engineering drawings" be defined and have more beef to it.  Needs to have some link to Preliminary Specifications.  Are there standards by which the drawings must be prepared?  Is Seller obligated to incorporate our comments?  Do our comments result in a Change Order (No!). </w:t>
      </w:r>
    </w:p>
    <w:p>
      <w:pPr>
        <w:pStyle w:val="Normal"/>
        <w:rPr/>
      </w:pPr>
      <w:r>
        <w:rPr/>
      </w:r>
    </w:p>
    <w:p>
      <w:pPr>
        <w:pStyle w:val="Normal"/>
        <w:numPr>
          <w:ilvl w:val="0"/>
          <w:numId w:val="1"/>
        </w:numPr>
        <w:rPr/>
      </w:pPr>
      <w:r>
        <w:rPr/>
        <w:t>Section 8.4—Shouldn’t the Final Specifications be linked to the drawings as well.  Shouldn’t there be some standards which apply.</w:t>
      </w:r>
    </w:p>
    <w:p>
      <w:pPr>
        <w:pStyle w:val="Normal"/>
        <w:rPr/>
      </w:pPr>
      <w:r>
        <w:rPr/>
      </w:r>
    </w:p>
    <w:p>
      <w:pPr>
        <w:pStyle w:val="Normal"/>
        <w:numPr>
          <w:ilvl w:val="0"/>
          <w:numId w:val="1"/>
        </w:numPr>
        <w:rPr/>
      </w:pPr>
      <w:r>
        <w:rPr/>
        <w:t>Section 10.2—Sound Level—100 feet from what?  Where is water consumption measured?  Need section for water discharge?  Spacing on particulates off.</w:t>
      </w:r>
    </w:p>
    <w:p>
      <w:pPr>
        <w:pStyle w:val="Normal"/>
        <w:rPr/>
      </w:pPr>
      <w:r>
        <w:rPr/>
      </w:r>
    </w:p>
    <w:p>
      <w:pPr>
        <w:pStyle w:val="Normal"/>
        <w:numPr>
          <w:ilvl w:val="0"/>
          <w:numId w:val="1"/>
        </w:numPr>
        <w:rPr/>
      </w:pPr>
      <w:r>
        <w:rPr/>
        <w:t>Section 10.5.1—Major components issue.</w:t>
      </w:r>
    </w:p>
    <w:p>
      <w:pPr>
        <w:pStyle w:val="Normal"/>
        <w:rPr/>
      </w:pPr>
      <w:r>
        <w:rPr/>
      </w:r>
    </w:p>
    <w:p>
      <w:pPr>
        <w:pStyle w:val="Normal"/>
        <w:numPr>
          <w:ilvl w:val="0"/>
          <w:numId w:val="1"/>
        </w:numPr>
        <w:rPr/>
      </w:pPr>
      <w:r>
        <w:rPr/>
        <w:t>Section 10.9—change last sentence to “In the event that Purchaser is required by any permitting agency to disclose and/or meet a quality standard as the water discharge standard from the Units, the water quality parameters provided by Seller in the proceeding sentence shall become fixed as a Performance Standard and be subject to a Performance Test conducted in accordance with the Acceptance and Performance Evaluation Testing Protocol.</w:t>
      </w:r>
    </w:p>
    <w:p>
      <w:pPr>
        <w:pStyle w:val="Normal"/>
        <w:rPr/>
      </w:pPr>
      <w:r>
        <w:rPr/>
      </w:r>
    </w:p>
    <w:p>
      <w:pPr>
        <w:pStyle w:val="Normal"/>
        <w:numPr>
          <w:ilvl w:val="0"/>
          <w:numId w:val="1"/>
        </w:numPr>
        <w:rPr/>
      </w:pPr>
      <w:r>
        <w:rPr/>
        <w:t>Section 11.6.2 –Is (a) needed?  If so, reference to (c) is off due to deletion of (b).</w:t>
      </w:r>
    </w:p>
    <w:p>
      <w:pPr>
        <w:pStyle w:val="Normal"/>
        <w:rPr/>
      </w:pPr>
      <w:r>
        <w:rPr/>
      </w:r>
    </w:p>
    <w:p>
      <w:pPr>
        <w:pStyle w:val="Normal"/>
        <w:numPr>
          <w:ilvl w:val="0"/>
          <w:numId w:val="1"/>
        </w:numPr>
        <w:rPr/>
      </w:pPr>
      <w:r>
        <w:rPr/>
        <w:t>Section 12.2—I assume that Equipment works here because it is a broader definition than Units.</w:t>
      </w:r>
    </w:p>
    <w:p>
      <w:pPr>
        <w:pStyle w:val="Normal"/>
        <w:rPr/>
      </w:pPr>
      <w:r>
        <w:rPr/>
      </w:r>
    </w:p>
    <w:p>
      <w:pPr>
        <w:pStyle w:val="Normal"/>
        <w:numPr>
          <w:ilvl w:val="0"/>
          <w:numId w:val="1"/>
        </w:numPr>
        <w:rPr/>
      </w:pPr>
      <w:r>
        <w:rPr/>
        <w:t>Section 14.1.1—Same comment as #23.</w:t>
      </w:r>
    </w:p>
    <w:p>
      <w:pPr>
        <w:pStyle w:val="Normal"/>
        <w:rPr/>
      </w:pPr>
      <w:r>
        <w:rPr/>
      </w:r>
    </w:p>
    <w:p>
      <w:pPr>
        <w:pStyle w:val="Normal"/>
        <w:numPr>
          <w:ilvl w:val="0"/>
          <w:numId w:val="1"/>
        </w:numPr>
        <w:rPr/>
      </w:pPr>
      <w:r>
        <w:rPr/>
        <w:t>Section 15.1—What about Stack Replacements and O&amp;M Parts?</w:t>
      </w:r>
    </w:p>
    <w:p>
      <w:pPr>
        <w:pStyle w:val="Normal"/>
        <w:rPr/>
      </w:pPr>
      <w:r>
        <w:rPr/>
      </w:r>
    </w:p>
    <w:p>
      <w:pPr>
        <w:pStyle w:val="Normal"/>
        <w:numPr>
          <w:ilvl w:val="0"/>
          <w:numId w:val="1"/>
        </w:numPr>
        <w:rPr/>
      </w:pPr>
      <w:r>
        <w:rPr/>
        <w:t xml:space="preserve">Section 17.7—Is it clear that there is no obligation to Purchaser if the Agreement is terminated pursuant to Section 17.7?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2000-11-21T10:54:00Z</dcterms:created>
  <dc:creator>shealy</dc:creator>
  <dc:description/>
  <dc:language>en-CA</dc:language>
  <cp:lastModifiedBy>shealy</cp:lastModifiedBy>
  <dcterms:modified xsi:type="dcterms:W3CDTF">2000-11-21T12:03:00Z</dcterms:modified>
  <cp:revision>1</cp:revision>
  <dc:subject/>
  <dc:title>ADDITIONAL COMMENTS</dc:title>
</cp:coreProperties>
</file>