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emf" ContentType="image/x-e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799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79930"/>
                        </a:xfrm>
                        <a:prstGeom prst="rect"/>
                        <a:solidFill>
                          <a:srgbClr val="FFFFFF">
                            <a:alpha val="0"/>
                          </a:srgbClr>
                        </a:solidFill>
                      </wps:spPr>
                      <wps:txbx>
                        <w:txbxContent>
                          <w:p>
                            <w:pPr>
                              <w:pStyle w:val="Normal"/>
                              <w:widowControl/>
                              <w:bidi w:val="0"/>
                              <w:spacing w:before="60" w:after="60"/>
                              <w:rPr/>
                            </w:pPr>
                            <w:r>
                              <w:rPr/>
                              <w:object w:dxaOrig="2387" w:dyaOrig="237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9.35pt;height:118.55pt" filled="f" o:ole="">
                                  <v:imagedata r:id="rId3" o:title=""/>
                                </v:shape>
                                <o:OLEObject Type="Embed" ProgID="" ShapeID="ole_rId2" DrawAspect="Content" ObjectID="_470929698" r:id="rId2"/>
                              </w:object>
                            </w:r>
                            <w:r>
                              <w:rPr/>
                              <w:tab/>
                              <w:tab/>
                            </w:r>
                          </w:p>
                          <w:p>
                            <w:pPr>
                              <w:pStyle w:val="Normal"/>
                              <w:rPr/>
                            </w:pPr>
                            <w:r>
                              <w:rPr/>
                            </w:r>
                          </w:p>
                          <w:p>
                            <w:pPr>
                              <w:pStyle w:val="Normal"/>
                              <w:spacing w:before="0" w:after="0"/>
                              <w:rPr>
                                <w:rFonts w:ascii="Arial" w:hAnsi="Arial" w:cs="Arial"/>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55.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object w:dxaOrig="2387" w:dyaOrig="237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35pt;height:118.55pt" filled="f" o:ole="">
                            <v:imagedata r:id="rId5" o:title=""/>
                          </v:shape>
                          <o:OLEObject Type="Embed" ProgID="" ShapeID="ole_rId4" DrawAspect="Content" ObjectID="_723353053" r:id="rId4"/>
                        </w:object>
                      </w:r>
                      <w:r>
                        <w:rPr/>
                        <w:tab/>
                        <w:tab/>
                      </w:r>
                    </w:p>
                    <w:p>
                      <w:pPr>
                        <w:pStyle w:val="Normal"/>
                        <w:rPr/>
                      </w:pPr>
                      <w:r>
                        <w:rPr/>
                      </w:r>
                    </w:p>
                    <w:p>
                      <w:pPr>
                        <w:pStyle w:val="Normal"/>
                        <w:spacing w:before="0" w:after="0"/>
                        <w:rPr>
                          <w:rFonts w:ascii="Arial" w:hAnsi="Arial" w:cs="Arial"/>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Michael Guerriero</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Lynn M. Aven/Sara Shackleton</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April 10, 2000</w:t>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Subject"/>
            <w:bookmarkEnd w:id="2"/>
            <w:r>
              <w:rPr>
                <w:rFonts w:cs="Arial" w:ascii="Arial" w:hAnsi="Arial"/>
              </w:rPr>
              <w:t>Enron’s Plan for Promoting Tax Law Changes in Argentina</w:t>
            </w:r>
          </w:p>
        </w:tc>
      </w:tr>
    </w:tbl>
    <w:p>
      <w:pPr>
        <w:pStyle w:val="Normal"/>
        <w:rPr>
          <w:rFonts w:ascii="Arial" w:hAnsi="Arial" w:cs="Arial"/>
        </w:rPr>
      </w:pPr>
      <w:bookmarkStart w:id="3" w:name="StartOfMemo"/>
      <w:bookmarkEnd w:id="3"/>
      <w:r>
        <w:rPr>
          <w:rFonts w:cs="Arial" w:ascii="Arial" w:hAnsi="Arial"/>
        </w:rPr>
        <w:t xml:space="preserve">This memorandum addresses an action plan for influencing tax reform in Argentina at the provincial level.  We have been advised that the federal government has no direct influence over the provincial tax laws.  To the extent that the provinces acknowledge that gross receipts tax changes are beneficial, a more open forum for discussing overall tax reform may exist.  </w:t>
      </w:r>
    </w:p>
    <w:p>
      <w:pPr>
        <w:pStyle w:val="Normal"/>
        <w:rPr>
          <w:rFonts w:ascii="Arial" w:hAnsi="Arial" w:cs="Arial"/>
        </w:rPr>
      </w:pPr>
      <w:r>
        <w:rPr>
          <w:rFonts w:cs="Arial" w:ascii="Arial" w:hAnsi="Arial"/>
        </w:rPr>
        <w:t>It is our recommendation that Enron’s efforts be focused on provincial tax reform.  Our goal is to change the assessment of the gross receipts tax on physical commodities trading and financial derivative transactions from gross receipts to net margin.  This approach has already been adopted on a province by province basis in relation to financial products offered by banks.   A net margin approach is likely to be more successful than advocating either an outright exemption for marketing or the elimination of the entire gross receipts tax to be replaced with an expanded national VAT which has been the subject of long and protracted negotiations between the federal government and the provinces. This proposed change would eliminate any tax disincentive for the products that Enron seeks to offer in Argentina.  Enron’s ability to eliminate the tax totally or influence the negotiations regarding replacement of the tax with an expanded national VAT at the federal and provincial level would probably be ineffective.</w:t>
      </w:r>
    </w:p>
    <w:p>
      <w:pPr>
        <w:pStyle w:val="Normal"/>
        <w:rPr>
          <w:rFonts w:ascii="Arial" w:hAnsi="Arial" w:cs="Arial"/>
        </w:rPr>
      </w:pPr>
      <w:r>
        <w:rPr>
          <w:rFonts w:cs="Arial" w:ascii="Arial" w:hAnsi="Arial"/>
        </w:rPr>
        <w:t>The steps to be taken in addressing tax reform are as follows:</w:t>
      </w:r>
    </w:p>
    <w:p>
      <w:pPr>
        <w:pStyle w:val="Normal"/>
        <w:numPr>
          <w:ilvl w:val="0"/>
          <w:numId w:val="3"/>
        </w:numPr>
        <w:rPr>
          <w:rFonts w:ascii="Arial" w:hAnsi="Arial" w:cs="Arial"/>
        </w:rPr>
      </w:pPr>
      <w:r>
        <w:rPr>
          <w:rFonts w:cs="Arial" w:ascii="Arial" w:hAnsi="Arial"/>
        </w:rPr>
        <w:t xml:space="preserve">Identify key provinces where Enron does business.  Assess impact of gross receipts tax in each province and the overall Enron Argentina business plan.   </w:t>
      </w:r>
    </w:p>
    <w:p>
      <w:pPr>
        <w:pStyle w:val="Normal"/>
        <w:numPr>
          <w:ilvl w:val="0"/>
          <w:numId w:val="3"/>
        </w:numPr>
        <w:rPr>
          <w:rFonts w:ascii="Arial" w:hAnsi="Arial" w:cs="Arial"/>
        </w:rPr>
      </w:pPr>
      <w:r>
        <w:rPr>
          <w:rFonts w:cs="Arial" w:ascii="Arial" w:hAnsi="Arial"/>
        </w:rPr>
        <w:t xml:space="preserve">Develop an analysis of how Enron’s marketing and trading business will favorably impact each province.    </w:t>
      </w:r>
    </w:p>
    <w:p>
      <w:pPr>
        <w:pStyle w:val="List"/>
        <w:numPr>
          <w:ilvl w:val="0"/>
          <w:numId w:val="7"/>
        </w:numPr>
        <w:tabs>
          <w:tab w:val="left" w:pos="720" w:leader="none"/>
        </w:tabs>
        <w:ind w:hanging="360" w:start="720" w:end="0"/>
        <w:rPr>
          <w:rFonts w:ascii="Arial" w:hAnsi="Arial" w:cs="Arial"/>
        </w:rPr>
      </w:pPr>
      <w:r>
        <w:rPr>
          <w:rFonts w:cs="Arial" w:ascii="Arial" w:hAnsi="Arial"/>
        </w:rPr>
        <w:t>The analysis should focus on the benefit that the marketing business will bring to local companies and individuals, including reduced costs, higher profitability, increased international competitivevenss, greater employment growth etc.  We have been advised on numerous occasions that only these arguments might influence provincial tax reform.</w:t>
      </w:r>
    </w:p>
    <w:p>
      <w:pPr>
        <w:pStyle w:val="List"/>
        <w:numPr>
          <w:ilvl w:val="0"/>
          <w:numId w:val="5"/>
        </w:numPr>
        <w:tabs>
          <w:tab w:val="left" w:pos="720" w:leader="none"/>
        </w:tabs>
        <w:ind w:hanging="360" w:start="720" w:end="0"/>
        <w:rPr>
          <w:rFonts w:ascii="Arial" w:hAnsi="Arial" w:cs="Arial"/>
        </w:rPr>
      </w:pPr>
      <w:r>
        <w:rPr>
          <w:rFonts w:cs="Arial" w:ascii="Arial" w:hAnsi="Arial"/>
        </w:rPr>
        <w:t>Assess impact of increased profitability on increased tax revenue (primarily at the federal level where the income tax is assessed) and on increased level of gross receipts tax at the provincial level from increase in other business activity in the province.</w:t>
      </w:r>
    </w:p>
    <w:p>
      <w:pPr>
        <w:pStyle w:val="List"/>
        <w:numPr>
          <w:ilvl w:val="0"/>
          <w:numId w:val="3"/>
        </w:numPr>
        <w:rPr>
          <w:rFonts w:ascii="Arial" w:hAnsi="Arial" w:cs="Arial"/>
        </w:rPr>
      </w:pPr>
      <w:r>
        <w:rPr>
          <w:rFonts w:cs="Arial" w:ascii="Arial" w:hAnsi="Arial"/>
        </w:rPr>
        <w:t>Develop support from potential customers or suppliers in each province for Enron’s value added role as a marketer and provider of derivative products.</w:t>
      </w:r>
    </w:p>
    <w:p>
      <w:pPr>
        <w:pStyle w:val="Normal"/>
        <w:numPr>
          <w:ilvl w:val="0"/>
          <w:numId w:val="3"/>
        </w:numPr>
        <w:rPr>
          <w:rFonts w:ascii="Arial" w:hAnsi="Arial" w:cs="Arial"/>
        </w:rPr>
      </w:pPr>
      <w:r>
        <w:rPr>
          <w:rFonts w:cs="Arial" w:ascii="Arial" w:hAnsi="Arial"/>
        </w:rPr>
        <w:t>Develop alliance with other companies in the energy marketing and derivatives business to join the effort to promote change in provincial tax laws.</w:t>
      </w:r>
    </w:p>
    <w:p>
      <w:pPr>
        <w:pStyle w:val="Normal"/>
        <w:numPr>
          <w:ilvl w:val="0"/>
          <w:numId w:val="3"/>
        </w:numPr>
        <w:rPr>
          <w:rFonts w:ascii="Arial" w:hAnsi="Arial" w:cs="Arial"/>
        </w:rPr>
      </w:pPr>
      <w:r>
        <w:rPr>
          <w:rFonts w:cs="Arial" w:ascii="Arial" w:hAnsi="Arial"/>
        </w:rPr>
        <w:t>Identify and develop contacts with professional organizations in Argentina which can assist in addressing need for change in tax laws.</w:t>
      </w:r>
    </w:p>
    <w:p>
      <w:pPr>
        <w:pStyle w:val="List"/>
        <w:numPr>
          <w:ilvl w:val="0"/>
          <w:numId w:val="2"/>
        </w:numPr>
        <w:tabs>
          <w:tab w:val="left" w:pos="720" w:leader="none"/>
        </w:tabs>
        <w:ind w:hanging="360" w:start="720" w:end="0"/>
        <w:rPr>
          <w:rFonts w:ascii="Arial" w:hAnsi="Arial" w:cs="Arial"/>
        </w:rPr>
      </w:pPr>
      <w:r>
        <w:rPr>
          <w:rFonts w:cs="Arial" w:ascii="Arial" w:hAnsi="Arial"/>
        </w:rPr>
        <w:t>American Chamber of Commerce</w:t>
      </w:r>
    </w:p>
    <w:p>
      <w:pPr>
        <w:pStyle w:val="List"/>
        <w:numPr>
          <w:ilvl w:val="0"/>
          <w:numId w:val="4"/>
        </w:numPr>
        <w:tabs>
          <w:tab w:val="left" w:pos="720" w:leader="none"/>
        </w:tabs>
        <w:ind w:hanging="360" w:start="720" w:end="0"/>
        <w:rPr>
          <w:rFonts w:ascii="Arial" w:hAnsi="Arial" w:cs="Arial"/>
        </w:rPr>
      </w:pPr>
      <w:r>
        <w:rPr>
          <w:rFonts w:cs="Arial" w:ascii="Arial" w:hAnsi="Arial"/>
        </w:rPr>
        <w:t>ADA</w:t>
      </w:r>
    </w:p>
    <w:p>
      <w:pPr>
        <w:pStyle w:val="Normal"/>
        <w:numPr>
          <w:ilvl w:val="0"/>
          <w:numId w:val="3"/>
        </w:numPr>
        <w:rPr>
          <w:rFonts w:ascii="Arial" w:hAnsi="Arial" w:cs="Arial"/>
        </w:rPr>
      </w:pPr>
      <w:r>
        <w:rPr>
          <w:rFonts w:cs="Arial" w:ascii="Arial" w:hAnsi="Arial"/>
        </w:rPr>
        <w:t>Identify lobbyist with contacts with appropriate provincial government officials in the key provinces to maintain contact with the appropriate officials.</w:t>
      </w:r>
    </w:p>
    <w:p>
      <w:pPr>
        <w:pStyle w:val="FootnoteText"/>
        <w:numPr>
          <w:ilvl w:val="0"/>
          <w:numId w:val="6"/>
        </w:numPr>
        <w:tabs>
          <w:tab w:val="left" w:pos="720" w:leader="none"/>
        </w:tabs>
        <w:ind w:hanging="360" w:start="720" w:end="0"/>
        <w:rPr>
          <w:rFonts w:ascii="Arial" w:hAnsi="Arial" w:cs="Arial"/>
        </w:rPr>
      </w:pPr>
      <w:r>
        <w:rPr>
          <w:rFonts w:cs="Arial" w:ascii="Arial" w:hAnsi="Arial"/>
        </w:rPr>
        <w:t>ESA Tax Department to work with lobbyist to provide policy support for the needed changes.</w:t>
      </w:r>
    </w:p>
    <w:p>
      <w:pPr>
        <w:pStyle w:val="Normal"/>
        <w:numPr>
          <w:ilvl w:val="0"/>
          <w:numId w:val="6"/>
        </w:numPr>
        <w:tabs>
          <w:tab w:val="left" w:pos="720" w:leader="none"/>
        </w:tabs>
        <w:ind w:hanging="360" w:start="720" w:end="0"/>
        <w:rPr>
          <w:rFonts w:ascii="Arial" w:hAnsi="Arial" w:cs="Arial"/>
        </w:rPr>
      </w:pPr>
      <w:r>
        <w:rPr>
          <w:rFonts w:cs="Arial" w:ascii="Arial" w:hAnsi="Arial"/>
        </w:rPr>
        <w:t>Buenos Aires trading group to provide lobbyist with economic analysis supporting the benefits for Enron’s marketing business in the province.</w:t>
      </w:r>
    </w:p>
    <w:p>
      <w:pPr>
        <w:pStyle w:val="Normal"/>
        <w:numPr>
          <w:ilvl w:val="0"/>
          <w:numId w:val="3"/>
        </w:numPr>
        <w:rPr>
          <w:rFonts w:ascii="Arial" w:hAnsi="Arial" w:cs="Arial"/>
        </w:rPr>
      </w:pPr>
      <w:r>
        <w:rPr>
          <w:rFonts w:cs="Arial" w:ascii="Arial" w:hAnsi="Arial"/>
        </w:rPr>
        <w:t>Identify lobbyist or management representative to keep key federal policy makers aware of Enron’s tax lobbying activities within each province.</w:t>
      </w:r>
    </w:p>
    <w:p>
      <w:pPr>
        <w:pStyle w:val="Header"/>
        <w:tabs>
          <w:tab w:val="clear" w:pos="4320"/>
          <w:tab w:val="clear" w:pos="8640"/>
          <w:tab w:val="clear" w:pos="9000"/>
        </w:tabs>
        <w:spacing w:before="60" w:after="60"/>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H:\laven\argentina\action</w:t>
      </w:r>
    </w:p>
    <w:p>
      <w:pPr>
        <w:pStyle w:val="CopyList"/>
        <w:rPr/>
      </w:pPr>
      <w:r>
        <w:rPr>
          <w:rFonts w:cs="Arial" w:ascii="Arial" w:hAnsi="Arial"/>
          <w:b/>
        </w:rPr>
        <w:t>CC:</w:t>
      </w:r>
      <w:r>
        <w:rPr>
          <w:rFonts w:cs="Arial" w:ascii="Arial" w:hAnsi="Arial"/>
        </w:rPr>
        <w:t xml:space="preserve"> Don Black, Rick Hopkinson, Mark Taylor, Randy Young, Brent Hendry, Joe Kishkill</w:t>
      </w:r>
    </w:p>
    <w:p>
      <w:pPr>
        <w:pStyle w:val="Normal"/>
        <w:spacing w:before="60" w:after="60"/>
        <w:rPr>
          <w:rFonts w:ascii="Arial" w:hAnsi="Arial" w:cs="Arial"/>
        </w:rPr>
      </w:pPr>
      <w:r>
        <w:rPr>
          <w:rFonts w:cs="Arial" w:ascii="Arial" w:hAnsi="Arial"/>
        </w:rPr>
      </w:r>
    </w:p>
    <w:sectPr>
      <w:headerReference w:type="default" r:id="rId6"/>
      <w:headerReference w:type="first" r:id="rId7"/>
      <w:type w:val="nextPage"/>
      <w:pgSz w:w="12240" w:h="15840"/>
      <w:pgMar w:left="1800" w:right="180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1.e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2000-03-17T10:10:00Z</dcterms:created>
  <dc:creator>EDC</dc:creator>
  <dc:description/>
  <dc:language>en-CA</dc:language>
  <cp:lastModifiedBy>EI</cp:lastModifiedBy>
  <cp:lastPrinted>2000-04-04T14:20:00Z</cp:lastPrinted>
  <dcterms:modified xsi:type="dcterms:W3CDTF">2000-04-10T19:26:00Z</dcterms:modified>
  <cp:revision>13</cp:revision>
  <dc:subject/>
  <dc:title>Enron International Memo</dc:title>
</cp:coreProperties>
</file>