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ACCOMPLISHMENTS </w:t>
      </w:r>
    </w:p>
    <w:p>
      <w:pPr>
        <w:pStyle w:val="Heading"/>
        <w:rPr/>
      </w:pPr>
      <w:r>
        <w:rPr/>
        <w:t>Jane Wilson</w:t>
      </w:r>
    </w:p>
    <w:p>
      <w:pPr>
        <w:pStyle w:val="Heading"/>
        <w:rPr/>
      </w:pPr>
      <w:r>
        <w:rPr/>
        <w:t>Jan-June 2000</w:t>
      </w:r>
    </w:p>
    <w:p>
      <w:pPr>
        <w:pStyle w:val="Heading"/>
        <w:rPr/>
      </w:pPr>
      <w:r>
        <w:rPr/>
      </w:r>
    </w:p>
    <w:p>
      <w:pPr>
        <w:pStyle w:val="Heading"/>
        <w:rPr/>
      </w:pPr>
      <w:r>
        <w:rPr/>
      </w:r>
    </w:p>
    <w:p>
      <w:pPr>
        <w:pStyle w:val="Heading"/>
        <w:jc w:val="start"/>
        <w:rPr>
          <w:b w:val="false"/>
        </w:rPr>
      </w:pPr>
      <w:r>
        <w:rPr>
          <w:b w:val="false"/>
          <w:u w:val="single"/>
        </w:rPr>
        <w:t>Electricity Sector</w:t>
      </w:r>
    </w:p>
    <w:p>
      <w:pPr>
        <w:pStyle w:val="Heading"/>
        <w:jc w:val="start"/>
        <w:rPr>
          <w:b w:val="false"/>
        </w:rPr>
      </w:pPr>
      <w:r>
        <w:rPr>
          <w:b w:val="false"/>
        </w:rPr>
      </w:r>
    </w:p>
    <w:p>
      <w:pPr>
        <w:pStyle w:val="Heading"/>
        <w:numPr>
          <w:ilvl w:val="0"/>
          <w:numId w:val="2"/>
        </w:numPr>
        <w:jc w:val="start"/>
        <w:rPr>
          <w:b w:val="false"/>
        </w:rPr>
      </w:pPr>
      <w:r>
        <w:rPr>
          <w:b w:val="false"/>
        </w:rPr>
        <w:t>Electricity Bill 2000.  Analyzed five drafts of the Indian Central Government’s Electricity Bill 2000.  Moved the draft from one that included no provision for marketing and deregulation of prices to one that provides fully for marketing, with a defined role for “Supply Companies” with prices deregulated for the trader function.  Also, the current draft provides for full customer choice and mandated open access to transmission and distribution wires.  Created relationship with drafters of law such that Draft VI has been submitted to me for comments prior to being released into the public domain.</w:t>
      </w:r>
    </w:p>
    <w:p>
      <w:pPr>
        <w:pStyle w:val="Heading"/>
        <w:numPr>
          <w:ilvl w:val="0"/>
          <w:numId w:val="2"/>
        </w:numPr>
        <w:jc w:val="start"/>
        <w:rPr>
          <w:b w:val="false"/>
        </w:rPr>
      </w:pPr>
      <w:r>
        <w:rPr>
          <w:b w:val="false"/>
        </w:rPr>
        <w:t>Maharashtra State Electricity Board (MSEB) Rate Case.  Analyzed the Maharashtra Electricity Regulatory Commission (MERC) order to determine the effect thereof on MSEB.  Numerous meetings with MSEB and its consultant, Crisil, were necessary prior to being accepted as one with legitimate input into their process.  Eventually accepted to provide input into the Petition for Review, procedurally and substantively.  Commented extensively on MSEB Petition draft.  Many, although not all, suggestions accepted.</w:t>
      </w:r>
    </w:p>
    <w:p>
      <w:pPr>
        <w:pStyle w:val="Heading"/>
        <w:numPr>
          <w:ilvl w:val="0"/>
          <w:numId w:val="2"/>
        </w:numPr>
        <w:jc w:val="start"/>
        <w:rPr>
          <w:b w:val="false"/>
        </w:rPr>
      </w:pPr>
      <w:r>
        <w:rPr>
          <w:b w:val="false"/>
        </w:rPr>
        <w:t>Developed regulatory risk analysis for Dabhol and delivered it to Management with an action plan.</w:t>
      </w:r>
    </w:p>
    <w:p>
      <w:pPr>
        <w:pStyle w:val="Heading"/>
        <w:numPr>
          <w:ilvl w:val="0"/>
          <w:numId w:val="2"/>
        </w:numPr>
        <w:jc w:val="start"/>
        <w:rPr>
          <w:b w:val="false"/>
        </w:rPr>
      </w:pPr>
      <w:r>
        <w:rPr>
          <w:b w:val="false"/>
        </w:rPr>
        <w:t xml:space="preserve">Determined that it was critical that Sanjay Bhatnagar be appointed to the Maharashtra State Working Group on the functional unbundling of MSEB and the drafting of the Maharashtra Reform Law.  Got the political influence process started on his appointment and drafted the rationale/request letter for the Government of Maharashtra. </w:t>
      </w:r>
    </w:p>
    <w:p>
      <w:pPr>
        <w:pStyle w:val="Heading"/>
        <w:numPr>
          <w:ilvl w:val="0"/>
          <w:numId w:val="2"/>
        </w:numPr>
        <w:jc w:val="start"/>
        <w:rPr>
          <w:b w:val="false"/>
        </w:rPr>
      </w:pPr>
      <w:r>
        <w:rPr>
          <w:b w:val="false"/>
        </w:rPr>
        <w:t xml:space="preserve">Developed relationship with Confederation of Indian Industry (CII) with regard to restructuring.   </w:t>
      </w:r>
    </w:p>
    <w:p>
      <w:pPr>
        <w:pStyle w:val="Heading"/>
        <w:numPr>
          <w:ilvl w:val="0"/>
          <w:numId w:val="2"/>
        </w:numPr>
        <w:jc w:val="start"/>
        <w:rPr>
          <w:b w:val="false"/>
        </w:rPr>
      </w:pPr>
      <w:r>
        <w:rPr>
          <w:b w:val="false"/>
        </w:rPr>
        <w:t>Developed relationship with MERC Chairman with regard to restructuring and regulatory function in general.  In discussions on merit order dispatch, agreed with Chairman that the MERC would not reopen the PPA in the MSEB rate case, and the Commission kept its agreement.  Researched and wrote a memorandum on American regulatory practice that the Federal Energy Regulatory Commission does not substitute its technical judgment for the operational expertise of the utility.  Such memorandum was distributed internally and informally submitted to MERC.</w:t>
      </w:r>
    </w:p>
    <w:p>
      <w:pPr>
        <w:pStyle w:val="Heading"/>
        <w:jc w:val="start"/>
        <w:rPr>
          <w:b w:val="false"/>
        </w:rPr>
      </w:pPr>
      <w:r>
        <w:rPr>
          <w:b w:val="false"/>
        </w:rPr>
      </w:r>
    </w:p>
    <w:p>
      <w:pPr>
        <w:pStyle w:val="Heading"/>
        <w:jc w:val="start"/>
        <w:rPr>
          <w:b w:val="false"/>
          <w:u w:val="single"/>
        </w:rPr>
      </w:pPr>
      <w:r>
        <w:rPr>
          <w:b w:val="false"/>
          <w:u w:val="single"/>
        </w:rPr>
        <w:t>Metgas</w:t>
      </w:r>
    </w:p>
    <w:p>
      <w:pPr>
        <w:pStyle w:val="Heading"/>
        <w:jc w:val="start"/>
        <w:rPr>
          <w:b w:val="false"/>
          <w:u w:val="single"/>
        </w:rPr>
      </w:pPr>
      <w:r>
        <w:rPr>
          <w:b w:val="false"/>
          <w:u w:val="single"/>
        </w:rPr>
      </w:r>
    </w:p>
    <w:p>
      <w:pPr>
        <w:pStyle w:val="Heading"/>
        <w:numPr>
          <w:ilvl w:val="0"/>
          <w:numId w:val="5"/>
        </w:numPr>
        <w:jc w:val="start"/>
        <w:rPr>
          <w:b w:val="false"/>
        </w:rPr>
      </w:pPr>
      <w:r>
        <w:rPr>
          <w:b w:val="false"/>
        </w:rPr>
        <w:t>Central Plan to Structure Regulatory Framework.  Researched intention of the Central Government to introduce to the Parliament a Natural Gas Restructuring Law that would establish a regulatory framework.  Determined contents of the work of the consulting task force that created the proposal.  Since the time frame for the law’s introduction is some time in the future, recommended that Metgas structure as it wishes for the time being, rather than attempt in its commercial structure to anticipate a potential regulatory structure.</w:t>
      </w:r>
    </w:p>
    <w:p>
      <w:pPr>
        <w:pStyle w:val="Heading"/>
        <w:numPr>
          <w:ilvl w:val="0"/>
          <w:numId w:val="5"/>
        </w:numPr>
        <w:jc w:val="start"/>
        <w:rPr>
          <w:b w:val="false"/>
        </w:rPr>
      </w:pPr>
      <w:r>
        <w:rPr>
          <w:b w:val="false"/>
        </w:rPr>
        <w:t>Gujarat.  Attended forum to deliver Enron’s input to the State of Gujarat’s representative regarding its proposed regulatory framework.  Developed relationship with Government such that I was requested to participate in a working session with the actual drafters of the law.  Even though Enron and British Gas are commercial competitors, developed a relationship with British Gas and coordinate joint lobby efforts with exchange of documents and comments on the matter.</w:t>
      </w:r>
    </w:p>
    <w:p>
      <w:pPr>
        <w:pStyle w:val="Heading"/>
        <w:numPr>
          <w:ilvl w:val="0"/>
          <w:numId w:val="5"/>
        </w:numPr>
        <w:jc w:val="start"/>
        <w:rPr>
          <w:b w:val="false"/>
        </w:rPr>
      </w:pPr>
      <w:r>
        <w:rPr>
          <w:b w:val="false"/>
        </w:rPr>
        <w:t>Enron LNG Policy paper.  On basis of commercial employees’ draft, wrote paper articulating Enron’s position on overall LNG policy for input into Core Group of Secretaries developing LNG Policy.</w:t>
      </w:r>
    </w:p>
    <w:p>
      <w:pPr>
        <w:pStyle w:val="Heading"/>
        <w:numPr>
          <w:ilvl w:val="0"/>
          <w:numId w:val="5"/>
        </w:numPr>
        <w:jc w:val="start"/>
        <w:rPr>
          <w:b w:val="false"/>
        </w:rPr>
      </w:pPr>
      <w:r>
        <w:rPr>
          <w:b w:val="false"/>
        </w:rPr>
        <w:t>LNG Policy.  Coordinated commercial effort to determine LNG Policy input with regard to the FOB shipping transaction mandate.  Wrote position paper and presentation with which to lobby government.  Prepared a “Mobilisation Plan” to coordinate Government Affairs and Commercial Personnel lobby efforts.  Report to management on a weekly basis as to progress.</w:t>
      </w:r>
    </w:p>
    <w:p>
      <w:pPr>
        <w:pStyle w:val="Heading"/>
        <w:jc w:val="start"/>
        <w:rPr>
          <w:b w:val="false"/>
          <w:u w:val="single"/>
        </w:rPr>
      </w:pPr>
      <w:r>
        <w:rPr>
          <w:b w:val="false"/>
          <w:u w:val="single"/>
        </w:rPr>
      </w:r>
    </w:p>
    <w:p>
      <w:pPr>
        <w:pStyle w:val="Heading"/>
        <w:jc w:val="start"/>
        <w:rPr>
          <w:b w:val="false"/>
        </w:rPr>
      </w:pPr>
      <w:r>
        <w:rPr>
          <w:b w:val="false"/>
          <w:u w:val="single"/>
        </w:rPr>
        <w:t>Enron India Communications</w:t>
      </w:r>
    </w:p>
    <w:p>
      <w:pPr>
        <w:pStyle w:val="Heading"/>
        <w:jc w:val="start"/>
        <w:rPr>
          <w:b w:val="false"/>
        </w:rPr>
      </w:pPr>
      <w:r>
        <w:rPr>
          <w:b w:val="false"/>
        </w:rPr>
      </w:r>
    </w:p>
    <w:p>
      <w:pPr>
        <w:pStyle w:val="Heading"/>
        <w:numPr>
          <w:ilvl w:val="0"/>
          <w:numId w:val="3"/>
        </w:numPr>
        <w:jc w:val="start"/>
        <w:rPr>
          <w:b w:val="false"/>
        </w:rPr>
      </w:pPr>
      <w:r>
        <w:rPr>
          <w:b w:val="false"/>
        </w:rPr>
        <w:t>Conducted regulatory due diligence to determine the status of India’s telecommunication regulatory regime.</w:t>
      </w:r>
    </w:p>
    <w:p>
      <w:pPr>
        <w:pStyle w:val="BodyText"/>
        <w:numPr>
          <w:ilvl w:val="0"/>
          <w:numId w:val="3"/>
        </w:numPr>
        <w:rPr/>
      </w:pPr>
      <w:r>
        <w:rPr/>
        <w:t>Wrote and filed comments on Telecommunications Regulatory Authority of India’s (TRAI) Consultation Paper on Accounting Separation and Formats for Accounting/Regulatory Statements.</w:t>
      </w:r>
    </w:p>
    <w:p>
      <w:pPr>
        <w:pStyle w:val="Heading"/>
        <w:jc w:val="start"/>
        <w:rPr>
          <w:b w:val="false"/>
        </w:rPr>
      </w:pPr>
      <w:r>
        <w:rPr>
          <w:b w:val="false"/>
        </w:rPr>
      </w:r>
    </w:p>
    <w:p>
      <w:pPr>
        <w:pStyle w:val="Heading"/>
        <w:jc w:val="start"/>
        <w:rPr>
          <w:b w:val="false"/>
        </w:rPr>
      </w:pPr>
      <w:r>
        <w:rPr>
          <w:b w:val="false"/>
          <w:u w:val="single"/>
        </w:rPr>
        <w:t>Presentations and Articles</w:t>
      </w:r>
    </w:p>
    <w:p>
      <w:pPr>
        <w:pStyle w:val="Heading"/>
        <w:jc w:val="start"/>
        <w:rPr>
          <w:b w:val="false"/>
        </w:rPr>
      </w:pPr>
      <w:r>
        <w:rPr>
          <w:b w:val="false"/>
        </w:rPr>
      </w:r>
    </w:p>
    <w:p>
      <w:pPr>
        <w:pStyle w:val="Heading"/>
        <w:numPr>
          <w:ilvl w:val="0"/>
          <w:numId w:val="4"/>
        </w:numPr>
        <w:jc w:val="start"/>
        <w:rPr>
          <w:b w:val="false"/>
        </w:rPr>
      </w:pPr>
      <w:r>
        <w:rPr>
          <w:b w:val="false"/>
        </w:rPr>
        <w:t>Presentation to TERI Institute two-week regulator training course with regard to the regulatory function.  Set forth the competitive market structure and the objectives for regulators.</w:t>
      </w:r>
    </w:p>
    <w:p>
      <w:pPr>
        <w:pStyle w:val="Heading"/>
        <w:numPr>
          <w:ilvl w:val="0"/>
          <w:numId w:val="4"/>
        </w:numPr>
        <w:jc w:val="start"/>
        <w:rPr>
          <w:b w:val="false"/>
        </w:rPr>
      </w:pPr>
      <w:r>
        <w:rPr>
          <w:b w:val="false"/>
        </w:rPr>
        <w:t>Three internal presentations to Staff to share general information about competition and restructuring.</w:t>
      </w:r>
    </w:p>
    <w:p>
      <w:pPr>
        <w:pStyle w:val="Heading"/>
        <w:numPr>
          <w:ilvl w:val="0"/>
          <w:numId w:val="4"/>
        </w:numPr>
        <w:jc w:val="start"/>
        <w:rPr>
          <w:b w:val="false"/>
        </w:rPr>
      </w:pPr>
      <w:r>
        <w:rPr>
          <w:b w:val="false"/>
        </w:rPr>
        <w:t>Panel moderator for CII conference on regulation.</w:t>
      </w:r>
    </w:p>
    <w:p>
      <w:pPr>
        <w:pStyle w:val="Heading"/>
        <w:numPr>
          <w:ilvl w:val="0"/>
          <w:numId w:val="4"/>
        </w:numPr>
        <w:jc w:val="start"/>
        <w:rPr>
          <w:b w:val="false"/>
        </w:rPr>
      </w:pPr>
      <w:r>
        <w:rPr>
          <w:b w:val="false"/>
        </w:rPr>
        <w:t xml:space="preserve">Presentation to IPPAI restructuring conference regarding international experience in restructuring.  </w:t>
      </w:r>
    </w:p>
    <w:p>
      <w:pPr>
        <w:pStyle w:val="Heading"/>
        <w:numPr>
          <w:ilvl w:val="0"/>
          <w:numId w:val="4"/>
        </w:numPr>
        <w:jc w:val="start"/>
        <w:rPr>
          <w:b w:val="false"/>
          <w:i/>
          <w:i/>
        </w:rPr>
      </w:pPr>
      <w:r>
        <w:rPr>
          <w:b w:val="false"/>
        </w:rPr>
        <w:t xml:space="preserve">Article published in </w:t>
      </w:r>
      <w:r>
        <w:rPr>
          <w:b w:val="false"/>
          <w:i/>
        </w:rPr>
        <w:t xml:space="preserve">India Power and Infrastructure Reporter </w:t>
      </w:r>
      <w:r>
        <w:rPr>
          <w:b w:val="false"/>
        </w:rPr>
        <w:t>on restructuring in developing countries.</w:t>
      </w:r>
    </w:p>
    <w:p>
      <w:pPr>
        <w:pStyle w:val="Heading"/>
        <w:numPr>
          <w:ilvl w:val="0"/>
          <w:numId w:val="4"/>
        </w:numPr>
        <w:jc w:val="start"/>
        <w:rPr>
          <w:b w:val="false"/>
          <w:i/>
          <w:i/>
        </w:rPr>
      </w:pPr>
      <w:r>
        <w:rPr>
          <w:b w:val="false"/>
        </w:rPr>
        <w:t xml:space="preserve">Article published in </w:t>
      </w:r>
      <w:r>
        <w:rPr>
          <w:b w:val="false"/>
          <w:i/>
        </w:rPr>
        <w:t>Business Express</w:t>
      </w:r>
      <w:r>
        <w:rPr>
          <w:b w:val="false"/>
        </w:rPr>
        <w:t xml:space="preserve"> on Electricity Bill 2000.</w:t>
      </w:r>
    </w:p>
    <w:p>
      <w:pPr>
        <w:pStyle w:val="Heading"/>
        <w:numPr>
          <w:ilvl w:val="0"/>
          <w:numId w:val="4"/>
        </w:numPr>
        <w:jc w:val="start"/>
        <w:rPr>
          <w:b w:val="false"/>
          <w:i/>
          <w:i/>
        </w:rPr>
      </w:pPr>
      <w:r>
        <w:rPr>
          <w:b w:val="false"/>
        </w:rPr>
        <w:t xml:space="preserve">Prepared responses to formatted questions for a feature article (on me) in </w:t>
      </w:r>
      <w:r>
        <w:rPr>
          <w:b w:val="false"/>
          <w:i/>
        </w:rPr>
        <w:t>Powerline</w:t>
      </w:r>
      <w:r>
        <w:rPr>
          <w:b w:val="false"/>
        </w:rPr>
        <w:t xml:space="preserve"> magazine.</w:t>
      </w:r>
    </w:p>
    <w:p>
      <w:pPr>
        <w:pStyle w:val="Heading"/>
        <w:jc w:val="start"/>
        <w:rPr>
          <w:b w:val="false"/>
          <w:i/>
          <w:i/>
        </w:rPr>
      </w:pPr>
      <w:r>
        <w:rPr>
          <w:b w:val="false"/>
          <w:i/>
        </w:rPr>
      </w:r>
      <w:r>
        <w:br w:type="page"/>
      </w:r>
    </w:p>
    <w:p>
      <w:pPr>
        <w:pStyle w:val="Heading"/>
        <w:jc w:val="start"/>
        <w:rPr>
          <w:b w:val="false"/>
          <w:u w:val="single"/>
        </w:rPr>
      </w:pPr>
      <w:r>
        <w:rPr>
          <w:b w:val="false"/>
          <w:u w:val="single"/>
        </w:rPr>
        <w:t>Administrative</w:t>
      </w:r>
    </w:p>
    <w:p>
      <w:pPr>
        <w:pStyle w:val="Heading"/>
        <w:jc w:val="start"/>
        <w:rPr>
          <w:b w:val="false"/>
          <w:u w:val="single"/>
        </w:rPr>
      </w:pPr>
      <w:r>
        <w:rPr>
          <w:b w:val="false"/>
          <w:u w:val="single"/>
        </w:rPr>
      </w:r>
    </w:p>
    <w:p>
      <w:pPr>
        <w:pStyle w:val="Heading"/>
        <w:numPr>
          <w:ilvl w:val="0"/>
          <w:numId w:val="1"/>
        </w:numPr>
        <w:jc w:val="start"/>
        <w:rPr>
          <w:b w:val="false"/>
        </w:rPr>
      </w:pPr>
      <w:r>
        <w:rPr>
          <w:b w:val="false"/>
        </w:rPr>
        <w:t>Developed organizational plan for Government and Regulatory Affairs in India and submitted it to senior management.  Even though the plan has not been approved due to a definition difference on Government Affairs, have managed to assemble three teams to work on the three sectors from a regulatory and government affairs point of view.  Have provided informal leadership on multiple issues in both New Delhi and Mumbai.  Have managed to “fit in” and still have impact on commercial, regulatory, and government affairs issues.</w:t>
      </w:r>
    </w:p>
    <w:p>
      <w:pPr>
        <w:pStyle w:val="Heading"/>
        <w:numPr>
          <w:ilvl w:val="0"/>
          <w:numId w:val="1"/>
        </w:numPr>
        <w:jc w:val="start"/>
        <w:rPr>
          <w:b w:val="false"/>
        </w:rPr>
      </w:pPr>
      <w:r>
        <w:rPr>
          <w:b w:val="false"/>
        </w:rPr>
        <w:t>Have relocated to Mumbai with husband and have adapted in a positive manner.</w:t>
      </w:r>
    </w:p>
    <w:p>
      <w:pPr>
        <w:pStyle w:val="Normal"/>
        <w:rPr>
          <w:b/>
          <w:sz w:val="24"/>
          <w:u w:val="single"/>
        </w:rPr>
      </w:pPr>
      <w:r>
        <w:rPr>
          <w:b/>
          <w:sz w:val="24"/>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2000-07-10T15:08:00Z</dcterms:created>
  <dc:creator>Enron Technology</dc:creator>
  <dc:description/>
  <dc:language>en-CA</dc:language>
  <cp:lastModifiedBy>Enron Technology</cp:lastModifiedBy>
  <dcterms:modified xsi:type="dcterms:W3CDTF">2000-07-10T16:04:00Z</dcterms:modified>
  <cp:revision>3</cp:revision>
  <dc:subject/>
  <dc:title>ACCOMPLISHMENTS </dc:title>
</cp:coreProperties>
</file>