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130" w:after="130"/>
        <w:jc w:val="center"/>
        <w:rPr/>
      </w:pPr>
      <w:r>
        <w:rPr>
          <w:b/>
          <w:bCs/>
          <w:sz w:val="28"/>
        </w:rPr>
        <w:t>Alan W. Beaton</w:t>
      </w:r>
      <w:r>
        <w:rPr>
          <w:sz w:val="24"/>
        </w:rPr>
        <w:br/>
        <w:t>1722 Woodland Park Drive</w:t>
        <w:br/>
        <w:t>Houston, Texas 77077</w:t>
        <w:br/>
        <w:t>281-752-4858</w:t>
        <w:br/>
      </w:r>
      <w:hyperlink r:id="rId2">
        <w:r>
          <w:rPr>
            <w:rStyle w:val="Hyperlink"/>
            <w:sz w:val="24"/>
          </w:rPr>
          <w:t>awbeaton@swbell.net</w:t>
        </w:r>
      </w:hyperlink>
      <w:r>
        <w:rPr>
          <w:sz w:val="24"/>
        </w:rPr>
        <w:br/>
      </w:r>
    </w:p>
    <w:p>
      <w:pPr>
        <w:pStyle w:val="BodyText"/>
        <w:jc w:val="center"/>
        <w:rPr>
          <w:b/>
          <w:bCs/>
          <w:sz w:val="24"/>
          <w:u w:val="single"/>
        </w:rPr>
      </w:pPr>
      <w:r>
        <w:rPr>
          <w:b/>
          <w:bCs/>
          <w:sz w:val="24"/>
        </w:rPr>
        <w:t>Summary</w:t>
      </w:r>
    </w:p>
    <w:p>
      <w:pPr>
        <w:pStyle w:val="BodyText"/>
        <w:rPr>
          <w:sz w:val="24"/>
        </w:rPr>
      </w:pPr>
      <w:r>
        <w:rPr>
          <w:sz w:val="24"/>
        </w:rPr>
        <w:t>Experience in delivering multiple products and services to various client environments over the past nine years has given me the unique ability to bridge the common gap between the strategic objectives of the business and the supporting technologies available to achieve those objectives.   I am pursuing a strategic position with an organization to utilize this combination of business and technology experience, helping the organization to set strategic objectives, identify the obstacles in the way of achieving those objectives, taking ownership of breaking down those obstacles into manageable components, identifying the associated issues, establishing oversight for developing and implementing the solutions, and taking ultimate responsibility for their success.</w:t>
      </w:r>
    </w:p>
    <w:p>
      <w:pPr>
        <w:pStyle w:val="BodyText"/>
        <w:jc w:val="center"/>
        <w:rPr>
          <w:b/>
          <w:bCs/>
          <w:sz w:val="24"/>
        </w:rPr>
      </w:pPr>
      <w:r>
        <w:rPr>
          <w:b/>
          <w:bCs/>
          <w:sz w:val="24"/>
        </w:rPr>
        <w:t>Professional Experience</w:t>
      </w:r>
    </w:p>
    <w:p>
      <w:pPr>
        <w:pStyle w:val="BodyText"/>
        <w:rPr>
          <w:sz w:val="24"/>
        </w:rPr>
      </w:pPr>
      <w:r>
        <w:rPr>
          <w:sz w:val="24"/>
        </w:rPr>
        <w:t>KPMG LLP, 1991 – Present</w:t>
      </w:r>
    </w:p>
    <w:p>
      <w:pPr>
        <w:pStyle w:val="BodyText"/>
        <w:tabs>
          <w:tab w:val="clear" w:pos="567"/>
          <w:tab w:val="left" w:pos="1710" w:leader="none"/>
        </w:tabs>
        <w:rPr>
          <w:sz w:val="24"/>
          <w:u w:val="single"/>
        </w:rPr>
      </w:pPr>
      <w:r>
        <w:rPr>
          <w:sz w:val="24"/>
        </w:rPr>
        <w:t>10/97 – Present</w:t>
        <w:tab/>
        <w:t xml:space="preserve">Information Risk Management (IRM) – Houston, TX </w:t>
        <w:br/>
        <w:t>5/94 – 10/97</w:t>
        <w:tab/>
        <w:t xml:space="preserve">KPMG National Headquarters – Montvale, NJ </w:t>
        <w:br/>
        <w:t>7/91 – 5/94</w:t>
        <w:tab/>
        <w:t>Financial Audit – Houston, TX</w:t>
        <w:br/>
        <w:t xml:space="preserve"> </w:t>
      </w:r>
    </w:p>
    <w:p>
      <w:pPr>
        <w:pStyle w:val="BodyText"/>
        <w:numPr>
          <w:ilvl w:val="0"/>
          <w:numId w:val="4"/>
        </w:numPr>
        <w:rPr>
          <w:sz w:val="24"/>
        </w:rPr>
      </w:pPr>
      <w:r>
        <w:rPr>
          <w:b/>
          <w:bCs/>
          <w:sz w:val="24"/>
        </w:rPr>
        <w:t>Client Relationship Manager</w:t>
      </w:r>
      <w:r>
        <w:rPr>
          <w:sz w:val="24"/>
        </w:rPr>
        <w:t xml:space="preserve"> – Responsibility for client activities including:</w:t>
      </w:r>
    </w:p>
    <w:p>
      <w:pPr>
        <w:pStyle w:val="BodyText"/>
        <w:numPr>
          <w:ilvl w:val="0"/>
          <w:numId w:val="2"/>
        </w:numPr>
        <w:spacing w:before="0" w:after="0"/>
        <w:ind w:hanging="360" w:start="720" w:end="0"/>
        <w:rPr>
          <w:sz w:val="24"/>
        </w:rPr>
      </w:pPr>
      <w:r>
        <w:rPr>
          <w:sz w:val="24"/>
        </w:rPr>
        <w:t>Managing overall client relationships</w:t>
      </w:r>
    </w:p>
    <w:p>
      <w:pPr>
        <w:pStyle w:val="BodyText"/>
        <w:numPr>
          <w:ilvl w:val="0"/>
          <w:numId w:val="2"/>
        </w:numPr>
        <w:spacing w:before="0" w:after="0"/>
        <w:ind w:hanging="360" w:start="720" w:end="0"/>
        <w:rPr>
          <w:sz w:val="24"/>
        </w:rPr>
      </w:pPr>
      <w:r>
        <w:rPr>
          <w:sz w:val="24"/>
        </w:rPr>
        <w:t>Business development activities</w:t>
      </w:r>
    </w:p>
    <w:p>
      <w:pPr>
        <w:pStyle w:val="BodyText"/>
        <w:numPr>
          <w:ilvl w:val="0"/>
          <w:numId w:val="2"/>
        </w:numPr>
        <w:spacing w:before="0" w:after="0"/>
        <w:ind w:hanging="360" w:start="720" w:end="0"/>
        <w:rPr>
          <w:sz w:val="24"/>
        </w:rPr>
      </w:pPr>
      <w:r>
        <w:rPr>
          <w:sz w:val="24"/>
        </w:rPr>
        <w:t>Oversight for the execution of all projects at the client</w:t>
      </w:r>
    </w:p>
    <w:p>
      <w:pPr>
        <w:pStyle w:val="BodyText"/>
        <w:numPr>
          <w:ilvl w:val="0"/>
          <w:numId w:val="2"/>
        </w:numPr>
        <w:spacing w:before="0" w:after="0"/>
        <w:ind w:hanging="360" w:start="720" w:end="0"/>
        <w:rPr>
          <w:sz w:val="24"/>
        </w:rPr>
      </w:pPr>
      <w:r>
        <w:rPr>
          <w:sz w:val="24"/>
        </w:rPr>
        <w:t>Budget management</w:t>
      </w:r>
    </w:p>
    <w:p>
      <w:pPr>
        <w:pStyle w:val="BodyText"/>
        <w:numPr>
          <w:ilvl w:val="0"/>
          <w:numId w:val="2"/>
        </w:numPr>
        <w:spacing w:before="0" w:after="0"/>
        <w:ind w:hanging="360" w:start="720" w:end="0"/>
        <w:rPr>
          <w:sz w:val="24"/>
        </w:rPr>
      </w:pPr>
      <w:r>
        <w:rPr>
          <w:sz w:val="24"/>
        </w:rPr>
        <w:t xml:space="preserve">Ensuring overall client satisfaction.  </w:t>
      </w:r>
    </w:p>
    <w:p>
      <w:pPr>
        <w:pStyle w:val="BodyText"/>
        <w:spacing w:before="0" w:after="0"/>
        <w:ind w:start="360" w:end="0"/>
        <w:rPr>
          <w:sz w:val="24"/>
        </w:rPr>
      </w:pPr>
      <w:r>
        <w:rPr>
          <w:sz w:val="24"/>
        </w:rPr>
      </w:r>
    </w:p>
    <w:p>
      <w:pPr>
        <w:pStyle w:val="BodyText"/>
        <w:spacing w:before="0" w:after="0"/>
        <w:ind w:start="360" w:end="0"/>
        <w:rPr>
          <w:sz w:val="24"/>
        </w:rPr>
      </w:pPr>
      <w:r>
        <w:rPr>
          <w:sz w:val="24"/>
        </w:rPr>
        <w:t>The successful execution of this role involves interfacing with varying levels within the organization, collectively or individually, including the CEO, CFO and CIO as well as business unit leaders and IT directors.  Interfacing with these individuals requires the ability to understand and discuss complex business problems combined with potential technology solutions.</w:t>
      </w:r>
    </w:p>
    <w:p>
      <w:pPr>
        <w:pStyle w:val="BodyText"/>
        <w:numPr>
          <w:ilvl w:val="0"/>
          <w:numId w:val="4"/>
        </w:numPr>
        <w:rPr>
          <w:sz w:val="24"/>
        </w:rPr>
      </w:pPr>
      <w:r>
        <w:rPr>
          <w:b/>
          <w:bCs/>
          <w:sz w:val="24"/>
        </w:rPr>
        <w:t xml:space="preserve">Project Manager </w:t>
      </w:r>
      <w:r>
        <w:rPr>
          <w:sz w:val="24"/>
        </w:rPr>
        <w:t>– Responsibility for managing the day-to-day activities of the KPMG engagement team delivering services to the client.  This involves managing and delivering a diverse range of services including:</w:t>
        <w:br/>
      </w:r>
    </w:p>
    <w:p>
      <w:pPr>
        <w:pStyle w:val="BodyText"/>
        <w:numPr>
          <w:ilvl w:val="0"/>
          <w:numId w:val="2"/>
        </w:numPr>
        <w:spacing w:before="0" w:after="0"/>
        <w:ind w:hanging="360" w:start="720" w:end="0"/>
        <w:rPr>
          <w:sz w:val="24"/>
        </w:rPr>
      </w:pPr>
      <w:r>
        <w:rPr>
          <w:sz w:val="24"/>
        </w:rPr>
        <w:t>Network / Internet Security Reviews</w:t>
      </w:r>
    </w:p>
    <w:p>
      <w:pPr>
        <w:pStyle w:val="BodyText"/>
        <w:numPr>
          <w:ilvl w:val="0"/>
          <w:numId w:val="2"/>
        </w:numPr>
        <w:spacing w:before="0" w:after="0"/>
        <w:ind w:hanging="360" w:start="720" w:end="0"/>
        <w:rPr>
          <w:sz w:val="24"/>
        </w:rPr>
      </w:pPr>
      <w:r>
        <w:rPr>
          <w:sz w:val="24"/>
        </w:rPr>
        <w:t>Application Reviews</w:t>
      </w:r>
    </w:p>
    <w:p>
      <w:pPr>
        <w:pStyle w:val="BodyText"/>
        <w:numPr>
          <w:ilvl w:val="0"/>
          <w:numId w:val="2"/>
        </w:numPr>
        <w:spacing w:before="0" w:after="0"/>
        <w:ind w:hanging="360" w:start="720" w:end="0"/>
        <w:rPr>
          <w:sz w:val="24"/>
        </w:rPr>
      </w:pPr>
      <w:r>
        <w:rPr>
          <w:sz w:val="24"/>
        </w:rPr>
        <w:t>Business Process Reviews</w:t>
      </w:r>
    </w:p>
    <w:p>
      <w:pPr>
        <w:pStyle w:val="BodyText"/>
        <w:numPr>
          <w:ilvl w:val="0"/>
          <w:numId w:val="2"/>
        </w:numPr>
        <w:spacing w:before="0" w:after="0"/>
        <w:ind w:hanging="360" w:start="720" w:end="0"/>
        <w:rPr>
          <w:sz w:val="24"/>
        </w:rPr>
      </w:pPr>
      <w:r>
        <w:rPr>
          <w:sz w:val="24"/>
        </w:rPr>
        <w:t>IT Audits</w:t>
      </w:r>
    </w:p>
    <w:p>
      <w:pPr>
        <w:pStyle w:val="BodyText"/>
        <w:numPr>
          <w:ilvl w:val="0"/>
          <w:numId w:val="2"/>
        </w:numPr>
        <w:spacing w:before="0" w:after="0"/>
        <w:ind w:hanging="360" w:start="720" w:end="0"/>
        <w:rPr>
          <w:sz w:val="24"/>
        </w:rPr>
      </w:pPr>
      <w:r>
        <w:rPr>
          <w:sz w:val="24"/>
        </w:rPr>
        <w:t>Financial Audits</w:t>
      </w:r>
    </w:p>
    <w:p>
      <w:pPr>
        <w:pStyle w:val="BodyText"/>
        <w:ind w:start="360" w:end="0"/>
        <w:rPr>
          <w:sz w:val="24"/>
        </w:rPr>
      </w:pPr>
      <w:r>
        <w:rPr>
          <w:sz w:val="24"/>
        </w:rPr>
        <w:t>The successful execution of this role involves providing the appropriate level of supervision and mentoring while ensuring that quality deliverables which meet the project objectives are developed and delivered in a timely manner.</w:t>
      </w:r>
    </w:p>
    <w:p>
      <w:pPr>
        <w:pStyle w:val="BodyText"/>
        <w:numPr>
          <w:ilvl w:val="0"/>
          <w:numId w:val="4"/>
        </w:numPr>
        <w:rPr>
          <w:sz w:val="24"/>
        </w:rPr>
      </w:pPr>
      <w:r>
        <w:rPr>
          <w:b/>
          <w:bCs/>
          <w:sz w:val="24"/>
        </w:rPr>
        <w:t xml:space="preserve">Product Leader, Information Security Services </w:t>
      </w:r>
      <w:r>
        <w:rPr>
          <w:sz w:val="24"/>
        </w:rPr>
        <w:t>– Leadership responsibility for this group of consultants and senior consultants on our Information Security Services team.  This team focuses on the delivery of:</w:t>
      </w:r>
    </w:p>
    <w:p>
      <w:pPr>
        <w:pStyle w:val="BodyText"/>
        <w:numPr>
          <w:ilvl w:val="0"/>
          <w:numId w:val="2"/>
        </w:numPr>
        <w:spacing w:before="0" w:after="0"/>
        <w:ind w:hanging="360" w:start="720" w:end="0"/>
        <w:rPr>
          <w:sz w:val="24"/>
        </w:rPr>
      </w:pPr>
      <w:r>
        <w:rPr>
          <w:sz w:val="24"/>
        </w:rPr>
        <w:t>Internet vulnerability and penetration studies</w:t>
      </w:r>
    </w:p>
    <w:p>
      <w:pPr>
        <w:pStyle w:val="BodyText"/>
        <w:numPr>
          <w:ilvl w:val="0"/>
          <w:numId w:val="2"/>
        </w:numPr>
        <w:spacing w:before="0" w:after="0"/>
        <w:ind w:hanging="360" w:start="720" w:end="0"/>
        <w:rPr>
          <w:sz w:val="24"/>
        </w:rPr>
      </w:pPr>
      <w:r>
        <w:rPr>
          <w:sz w:val="24"/>
        </w:rPr>
        <w:t>Network architecture reviews</w:t>
      </w:r>
    </w:p>
    <w:p>
      <w:pPr>
        <w:pStyle w:val="BodyText"/>
        <w:numPr>
          <w:ilvl w:val="0"/>
          <w:numId w:val="2"/>
        </w:numPr>
        <w:spacing w:before="0" w:after="0"/>
        <w:ind w:hanging="360" w:start="720" w:end="0"/>
        <w:rPr>
          <w:sz w:val="24"/>
        </w:rPr>
      </w:pPr>
      <w:r>
        <w:rPr>
          <w:sz w:val="24"/>
        </w:rPr>
        <w:t>Firewall and intrusion detection reviews and implementations.</w:t>
      </w:r>
    </w:p>
    <w:p>
      <w:pPr>
        <w:pStyle w:val="BodyText"/>
        <w:spacing w:before="0" w:after="0"/>
        <w:rPr>
          <w:sz w:val="24"/>
        </w:rPr>
      </w:pPr>
      <w:r>
        <w:rPr>
          <w:sz w:val="24"/>
        </w:rPr>
      </w:r>
    </w:p>
    <w:p>
      <w:pPr>
        <w:pStyle w:val="BodyText"/>
        <w:spacing w:before="0" w:after="0"/>
        <w:ind w:start="360" w:end="0"/>
        <w:rPr>
          <w:sz w:val="24"/>
        </w:rPr>
      </w:pPr>
      <w:r>
        <w:rPr>
          <w:sz w:val="24"/>
        </w:rPr>
        <w:t>The successful execution of this role involves developing a time-phased revenue plan to achieve a goal of $2.5M, marketing and selling services, projecting utilization of staff, establishing a security training program, and building a successful, cohesive team.</w:t>
      </w:r>
    </w:p>
    <w:p>
      <w:pPr>
        <w:pStyle w:val="BodyText"/>
        <w:spacing w:before="0" w:after="0"/>
        <w:rPr>
          <w:sz w:val="24"/>
        </w:rPr>
      </w:pPr>
      <w:r>
        <w:rPr>
          <w:sz w:val="24"/>
        </w:rPr>
      </w:r>
    </w:p>
    <w:p>
      <w:pPr>
        <w:pStyle w:val="BodyText"/>
        <w:numPr>
          <w:ilvl w:val="0"/>
          <w:numId w:val="4"/>
        </w:numPr>
        <w:rPr>
          <w:sz w:val="24"/>
        </w:rPr>
      </w:pPr>
      <w:r>
        <w:rPr>
          <w:b/>
          <w:bCs/>
          <w:sz w:val="24"/>
        </w:rPr>
        <w:t xml:space="preserve">Product Leader, Recruiting, Training &amp; Scheduling </w:t>
      </w:r>
      <w:r>
        <w:rPr>
          <w:sz w:val="24"/>
        </w:rPr>
        <w:t>– Oversight responsibility for the:</w:t>
      </w:r>
    </w:p>
    <w:p>
      <w:pPr>
        <w:pStyle w:val="BodyText"/>
        <w:numPr>
          <w:ilvl w:val="0"/>
          <w:numId w:val="2"/>
        </w:numPr>
        <w:spacing w:before="0" w:after="0"/>
        <w:ind w:hanging="360" w:start="720" w:end="0"/>
        <w:rPr>
          <w:sz w:val="24"/>
        </w:rPr>
      </w:pPr>
      <w:r>
        <w:rPr>
          <w:sz w:val="24"/>
        </w:rPr>
        <w:t>Experienced and college-hire recruiting processes</w:t>
      </w:r>
    </w:p>
    <w:p>
      <w:pPr>
        <w:pStyle w:val="BodyText"/>
        <w:numPr>
          <w:ilvl w:val="0"/>
          <w:numId w:val="2"/>
        </w:numPr>
        <w:spacing w:before="0" w:after="0"/>
        <w:ind w:hanging="360" w:start="720" w:end="0"/>
        <w:rPr>
          <w:sz w:val="24"/>
        </w:rPr>
      </w:pPr>
      <w:r>
        <w:rPr>
          <w:sz w:val="24"/>
        </w:rPr>
        <w:t>Internal KPMG training</w:t>
      </w:r>
    </w:p>
    <w:p>
      <w:pPr>
        <w:pStyle w:val="BodyText"/>
        <w:numPr>
          <w:ilvl w:val="0"/>
          <w:numId w:val="2"/>
        </w:numPr>
        <w:spacing w:before="0" w:after="0"/>
        <w:ind w:hanging="360" w:start="720" w:end="0"/>
        <w:rPr>
          <w:sz w:val="24"/>
        </w:rPr>
      </w:pPr>
      <w:r>
        <w:rPr>
          <w:sz w:val="24"/>
        </w:rPr>
        <w:t xml:space="preserve">Scheduling and utilization of our resources.  </w:t>
        <w:br/>
      </w:r>
    </w:p>
    <w:p>
      <w:pPr>
        <w:pStyle w:val="BodyText"/>
        <w:spacing w:before="0" w:after="0"/>
        <w:ind w:start="360" w:end="0"/>
        <w:rPr>
          <w:sz w:val="24"/>
        </w:rPr>
      </w:pPr>
      <w:r>
        <w:rPr>
          <w:sz w:val="24"/>
        </w:rPr>
        <w:t>The successful execution of this role involves integrating the key touch points across these areas into one cohesive effort.</w:t>
      </w:r>
    </w:p>
    <w:p>
      <w:pPr>
        <w:pStyle w:val="BodyText"/>
        <w:ind w:start="360" w:end="0"/>
        <w:rPr>
          <w:sz w:val="24"/>
        </w:rPr>
      </w:pPr>
      <w:r>
        <w:rPr>
          <w:sz w:val="24"/>
        </w:rPr>
        <w:t>The recruitment of individuals for our practice is matched with a defined business need by product area.  Once an individual has joined our group, they are scheduled for various internal and external training courses throughout the year, and scheduled for projects according to their experience and skill set.</w:t>
      </w:r>
    </w:p>
    <w:p>
      <w:pPr>
        <w:pStyle w:val="BodyText"/>
        <w:numPr>
          <w:ilvl w:val="0"/>
          <w:numId w:val="4"/>
        </w:numPr>
        <w:rPr>
          <w:sz w:val="24"/>
        </w:rPr>
      </w:pPr>
      <w:r>
        <w:rPr>
          <w:b/>
          <w:bCs/>
          <w:sz w:val="24"/>
        </w:rPr>
        <w:t xml:space="preserve">Team Development </w:t>
      </w:r>
      <w:r>
        <w:rPr>
          <w:sz w:val="24"/>
        </w:rPr>
        <w:t>– Development of a number of teams in both client service delivery and reengineering internal processes.  On several occasions I have reengineered or developed regional processes which were embraced nationally and in other practices within KPMG.  For example, I developed the scheduling and utilization process for all partners, staff and managers, and managed this process for the 100+ IRM professionals in the Southwest Region.  I also lead the development and delivery of a Southwest New Hire training course for these same IRM professionals, both of these initiatives have been embraced nationally and are being delivered in other regions around the country.</w:t>
      </w:r>
    </w:p>
    <w:p>
      <w:pPr>
        <w:pStyle w:val="BodyText"/>
        <w:numPr>
          <w:ilvl w:val="0"/>
          <w:numId w:val="4"/>
        </w:numPr>
        <w:rPr>
          <w:sz w:val="24"/>
        </w:rPr>
      </w:pPr>
      <w:r>
        <w:rPr>
          <w:b/>
          <w:bCs/>
          <w:sz w:val="24"/>
        </w:rPr>
        <w:t>Business Liaison for Technology Development</w:t>
      </w:r>
      <w:r>
        <w:rPr>
          <w:sz w:val="24"/>
        </w:rPr>
        <w:t xml:space="preserve"> – During my assignment to KPMG’s headquarters, I was a member of the strategic technology group supporting KPMG’s international financial audit practice.  My responsibilities included:</w:t>
      </w:r>
    </w:p>
    <w:p>
      <w:pPr>
        <w:pStyle w:val="BodyText"/>
        <w:numPr>
          <w:ilvl w:val="0"/>
          <w:numId w:val="5"/>
        </w:numPr>
        <w:spacing w:before="0" w:after="0"/>
        <w:rPr>
          <w:sz w:val="24"/>
        </w:rPr>
      </w:pPr>
      <w:r>
        <w:rPr>
          <w:sz w:val="24"/>
        </w:rPr>
        <w:t>Assisting with the design, implementation, training, and deployment of several multinational web-based applications</w:t>
      </w:r>
    </w:p>
    <w:p>
      <w:pPr>
        <w:pStyle w:val="BodyText"/>
        <w:numPr>
          <w:ilvl w:val="0"/>
          <w:numId w:val="5"/>
        </w:numPr>
        <w:spacing w:before="0" w:after="0"/>
        <w:rPr>
          <w:sz w:val="24"/>
        </w:rPr>
      </w:pPr>
      <w:r>
        <w:rPr>
          <w:sz w:val="24"/>
        </w:rPr>
        <w:t>Project management responsibility for managing the implementation of a strong authentication solution in a global network environment  where these web-based applications would reside.</w:t>
      </w:r>
    </w:p>
    <w:p>
      <w:pPr>
        <w:pStyle w:val="BodyText"/>
        <w:spacing w:before="0" w:after="0"/>
        <w:ind w:start="360" w:end="0"/>
        <w:rPr>
          <w:sz w:val="24"/>
        </w:rPr>
      </w:pPr>
      <w:r>
        <w:rPr>
          <w:sz w:val="24"/>
        </w:rPr>
      </w:r>
    </w:p>
    <w:p>
      <w:pPr>
        <w:pStyle w:val="BodyText"/>
        <w:spacing w:before="0" w:after="0"/>
        <w:ind w:start="360" w:end="0"/>
        <w:rPr>
          <w:sz w:val="24"/>
        </w:rPr>
      </w:pPr>
      <w:r>
        <w:rPr>
          <w:sz w:val="24"/>
        </w:rPr>
        <w:t>These responsibilities were in the capacity of a liaison on behalf of the international financial audit practice, interacting with the necessary domestic and international technology groups and business leaders to enable the appropriate solutions in a timely manner.</w:t>
      </w:r>
    </w:p>
    <w:p>
      <w:pPr>
        <w:pStyle w:val="BodyText"/>
        <w:numPr>
          <w:ilvl w:val="0"/>
          <w:numId w:val="4"/>
        </w:numPr>
        <w:rPr>
          <w:b/>
          <w:bCs/>
          <w:sz w:val="24"/>
        </w:rPr>
      </w:pPr>
      <w:r>
        <w:rPr>
          <w:b/>
          <w:bCs/>
          <w:sz w:val="24"/>
        </w:rPr>
        <w:t xml:space="preserve">National Focus Groups </w:t>
      </w:r>
      <w:r>
        <w:rPr>
          <w:sz w:val="24"/>
        </w:rPr>
        <w:t>– Involvement in numerous domestic and international focus groups and task forces to discuss how the technology issues impacting our clients affect KPMG’s ability to deliver financial statement audit opinions; exploring how technology risk = business risk = audit risk.  The importance of this involvement lies in the perspective I’ve gained for understanding the business risks created by embracing (and not embracing) advancements in technology.</w:t>
      </w:r>
    </w:p>
    <w:p>
      <w:pPr>
        <w:pStyle w:val="BodyText"/>
        <w:numPr>
          <w:ilvl w:val="0"/>
          <w:numId w:val="4"/>
        </w:numPr>
        <w:rPr>
          <w:b/>
          <w:bCs/>
          <w:sz w:val="24"/>
        </w:rPr>
      </w:pPr>
      <w:r>
        <w:rPr>
          <w:b/>
          <w:bCs/>
          <w:sz w:val="24"/>
        </w:rPr>
        <w:t xml:space="preserve">Financial Audit Senior </w:t>
      </w:r>
      <w:r>
        <w:rPr>
          <w:sz w:val="24"/>
        </w:rPr>
        <w:t>– Responsible for performing financial audit engagements leading to the issuance of an audit opinion.  This was one of the most important aspects of my career because it established the beginning foundation for an understanding of the business issues faced by organizations.  Beginning my career in this manner has allowed me to build on this foundation to better understand the interaction between enabling technologies and business strategies.</w:t>
        <w:br/>
      </w:r>
    </w:p>
    <w:p>
      <w:pPr>
        <w:pStyle w:val="BodyText"/>
        <w:jc w:val="center"/>
        <w:rPr/>
      </w:pPr>
      <w:r>
        <w:rPr/>
        <w:t>Major Clients Served During the Past Few Years</w:t>
        <w:br/>
      </w:r>
    </w:p>
    <w:tbl>
      <w:tblPr>
        <w:tblW w:w="9243" w:type="dxa"/>
        <w:jc w:val="start"/>
        <w:tblInd w:w="0" w:type="dxa"/>
        <w:tblLayout w:type="fixed"/>
        <w:tblCellMar>
          <w:top w:w="0" w:type="dxa"/>
          <w:start w:w="108" w:type="dxa"/>
          <w:bottom w:w="0" w:type="dxa"/>
          <w:end w:w="108" w:type="dxa"/>
        </w:tblCellMar>
      </w:tblPr>
      <w:tblGrid>
        <w:gridCol w:w="3081"/>
        <w:gridCol w:w="3081"/>
        <w:gridCol w:w="3081"/>
      </w:tblGrid>
      <w:tr>
        <w:trPr>
          <w:trHeight w:val="720" w:hRule="atLeast"/>
        </w:trPr>
        <w:tc>
          <w:tcPr>
            <w:tcW w:w="3081" w:type="dxa"/>
            <w:tcBorders/>
          </w:tcPr>
          <w:p>
            <w:pPr>
              <w:pStyle w:val="BodyText"/>
              <w:numPr>
                <w:ilvl w:val="0"/>
                <w:numId w:val="6"/>
              </w:numPr>
              <w:spacing w:before="130" w:after="130"/>
              <w:rPr>
                <w:sz w:val="24"/>
              </w:rPr>
            </w:pPr>
            <w:r>
              <w:rPr>
                <w:sz w:val="24"/>
              </w:rPr>
              <w:t>AIM Management Group, Inc.</w:t>
            </w:r>
          </w:p>
        </w:tc>
        <w:tc>
          <w:tcPr>
            <w:tcW w:w="3081" w:type="dxa"/>
            <w:tcBorders/>
          </w:tcPr>
          <w:p>
            <w:pPr>
              <w:pStyle w:val="BodyText"/>
              <w:numPr>
                <w:ilvl w:val="0"/>
                <w:numId w:val="6"/>
              </w:numPr>
              <w:spacing w:before="130" w:after="130"/>
              <w:rPr>
                <w:sz w:val="24"/>
              </w:rPr>
            </w:pPr>
            <w:r>
              <w:rPr>
                <w:sz w:val="24"/>
              </w:rPr>
              <w:t>CenturyTel, Inc.</w:t>
            </w:r>
          </w:p>
        </w:tc>
        <w:tc>
          <w:tcPr>
            <w:tcW w:w="3081" w:type="dxa"/>
            <w:tcBorders/>
          </w:tcPr>
          <w:p>
            <w:pPr>
              <w:pStyle w:val="BodyText"/>
              <w:numPr>
                <w:ilvl w:val="0"/>
                <w:numId w:val="6"/>
              </w:numPr>
              <w:spacing w:before="130" w:after="130"/>
              <w:rPr>
                <w:sz w:val="24"/>
              </w:rPr>
            </w:pPr>
            <w:r>
              <w:rPr>
                <w:sz w:val="24"/>
              </w:rPr>
              <w:t>Nationwide Insurance</w:t>
            </w:r>
          </w:p>
        </w:tc>
      </w:tr>
      <w:tr>
        <w:trPr/>
        <w:tc>
          <w:tcPr>
            <w:tcW w:w="3081" w:type="dxa"/>
            <w:tcBorders/>
          </w:tcPr>
          <w:p>
            <w:pPr>
              <w:pStyle w:val="BodyText"/>
              <w:numPr>
                <w:ilvl w:val="0"/>
                <w:numId w:val="6"/>
              </w:numPr>
              <w:spacing w:before="130" w:after="130"/>
              <w:rPr>
                <w:sz w:val="24"/>
              </w:rPr>
            </w:pPr>
            <w:r>
              <w:rPr>
                <w:sz w:val="24"/>
              </w:rPr>
              <w:t>Koch Industries</w:t>
            </w:r>
          </w:p>
        </w:tc>
        <w:tc>
          <w:tcPr>
            <w:tcW w:w="3081" w:type="dxa"/>
            <w:tcBorders/>
          </w:tcPr>
          <w:p>
            <w:pPr>
              <w:pStyle w:val="BodyText"/>
              <w:numPr>
                <w:ilvl w:val="0"/>
                <w:numId w:val="6"/>
              </w:numPr>
              <w:spacing w:before="130" w:after="130"/>
              <w:rPr>
                <w:sz w:val="24"/>
              </w:rPr>
            </w:pPr>
            <w:r>
              <w:rPr>
                <w:sz w:val="24"/>
              </w:rPr>
              <w:t>Allianz Insurance</w:t>
            </w:r>
          </w:p>
        </w:tc>
        <w:tc>
          <w:tcPr>
            <w:tcW w:w="3081" w:type="dxa"/>
            <w:tcBorders/>
            <w:tcMar>
              <w:start w:w="0" w:type="dxa"/>
              <w:end w:w="0" w:type="dxa"/>
            </w:tcMar>
          </w:tcPr>
          <w:p>
            <w:pPr>
              <w:pStyle w:val="Normal"/>
              <w:snapToGrid w:val="false"/>
              <w:rPr>
                <w:b/>
                <w:bCs/>
                <w:sz w:val="24"/>
              </w:rPr>
            </w:pPr>
            <w:r>
              <w:rPr>
                <w:b/>
                <w:bCs/>
                <w:sz w:val="24"/>
              </w:rPr>
            </w:r>
          </w:p>
        </w:tc>
      </w:tr>
    </w:tbl>
    <w:p>
      <w:pPr>
        <w:pStyle w:val="BodyText"/>
        <w:jc w:val="center"/>
        <w:rPr>
          <w:b/>
          <w:bCs/>
          <w:sz w:val="24"/>
        </w:rPr>
      </w:pPr>
      <w:r>
        <w:rPr>
          <w:b/>
          <w:bCs/>
          <w:sz w:val="24"/>
        </w:rPr>
        <w:br/>
        <w:t>Education / Certifications</w:t>
      </w:r>
    </w:p>
    <w:p>
      <w:pPr>
        <w:pStyle w:val="BodyText"/>
        <w:numPr>
          <w:ilvl w:val="0"/>
          <w:numId w:val="3"/>
        </w:numPr>
        <w:rPr>
          <w:sz w:val="24"/>
        </w:rPr>
      </w:pPr>
      <w:r>
        <w:rPr>
          <w:sz w:val="24"/>
        </w:rPr>
        <w:t>Texas A&amp;M University - Bachelor of  Business Administration, 1991</w:t>
      </w:r>
    </w:p>
    <w:p>
      <w:pPr>
        <w:pStyle w:val="BodyText"/>
        <w:numPr>
          <w:ilvl w:val="0"/>
          <w:numId w:val="3"/>
        </w:numPr>
        <w:rPr>
          <w:sz w:val="24"/>
        </w:rPr>
      </w:pPr>
      <w:r>
        <w:rPr>
          <w:sz w:val="24"/>
        </w:rPr>
        <w:t>Certified Public Accountant, State of Texas</w:t>
        <w:br/>
      </w:r>
    </w:p>
    <w:p>
      <w:pPr>
        <w:pStyle w:val="BodyText"/>
        <w:spacing w:before="130" w:after="130"/>
        <w:jc w:val="center"/>
        <w:rPr>
          <w:b/>
          <w:bCs/>
          <w:sz w:val="24"/>
        </w:rPr>
      </w:pPr>
      <w:r>
        <w:rPr>
          <w:b/>
          <w:bCs/>
          <w:sz w:val="24"/>
        </w:rPr>
        <w:t>References available upon request</w:t>
      </w:r>
    </w:p>
    <w:sectPr>
      <w:type w:val="nextPage"/>
      <w:pgSz w:w="11906" w:h="16838"/>
      <w:pgMar w:left="1440" w:right="1440" w:gutter="0" w:header="0" w:top="1170" w:footer="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74"/>
        </w:tabs>
        <w:ind w:start="774"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774"/>
        </w:tabs>
        <w:ind w:start="774"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40"/>
        </w:tabs>
        <w:ind w:start="340" w:hanging="340"/>
      </w:pPr>
      <w:rPr>
        <w:rFonts w:ascii="Wingdings" w:hAnsi="Wingdings" w:cs="Wingdings" w:hint="default"/>
        <w:sz w:val="18"/>
      </w:rPr>
    </w:lvl>
  </w:abstractNum>
  <w:abstractNum w:abstractNumId="8">
    <w:lvl w:ilvl="0">
      <w:start w:val="1"/>
      <w:numFmt w:val="bullet"/>
      <w:lvlText w:val="-"/>
      <w:lvlJc w:val="start"/>
      <w:pPr>
        <w:tabs>
          <w:tab w:val="num" w:pos="680"/>
        </w:tabs>
        <w:ind w:start="680" w:hanging="34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60"/>
    </w:pPr>
    <w:rPr>
      <w:rFonts w:ascii="Times New Roman" w:hAnsi="Times New Roman" w:eastAsia="Times New Roman" w:cs="Times New Roman"/>
      <w:color w:val="auto"/>
      <w:sz w:val="22"/>
      <w:szCs w:val="20"/>
      <w:lang w:val="en-GB" w:bidi="ar-SA" w:eastAsia="zh-CN"/>
    </w:rPr>
  </w:style>
  <w:style w:type="paragraph" w:styleId="Heading1">
    <w:name w:val="heading 1"/>
    <w:basedOn w:val="Heading2"/>
    <w:next w:val="BodyText"/>
    <w:qFormat/>
    <w:pPr>
      <w:numPr>
        <w:ilvl w:val="0"/>
        <w:numId w:val="1"/>
      </w:numPr>
      <w:outlineLvl w:val="0"/>
    </w:pPr>
    <w:rPr>
      <w:i w:val="false"/>
    </w:rPr>
  </w:style>
  <w:style w:type="paragraph" w:styleId="Heading2">
    <w:name w:val="heading 2"/>
    <w:basedOn w:val="Heading3"/>
    <w:next w:val="BodyText"/>
    <w:qFormat/>
    <w:pPr>
      <w:numPr>
        <w:ilvl w:val="1"/>
        <w:numId w:val="1"/>
      </w:numPr>
      <w:spacing w:lineRule="atLeast" w:line="280"/>
      <w:outlineLvl w:val="1"/>
    </w:pPr>
    <w:rPr>
      <w:b/>
      <w:sz w:val="24"/>
    </w:rPr>
  </w:style>
  <w:style w:type="paragraph" w:styleId="Heading3">
    <w:name w:val="heading 3"/>
    <w:basedOn w:val="BodyText"/>
    <w:next w:val="BodyText"/>
    <w:qFormat/>
    <w:pPr>
      <w:keepNext w:val="true"/>
      <w:keepLines/>
      <w:numPr>
        <w:ilvl w:val="2"/>
        <w:numId w:val="1"/>
      </w:numPr>
      <w:spacing w:before="130" w:after="0"/>
      <w:outlineLvl w:val="2"/>
    </w:pPr>
    <w:rPr>
      <w:i/>
    </w:rPr>
  </w:style>
  <w:style w:type="paragraph" w:styleId="Heading4">
    <w:name w:val="heading 4"/>
    <w:basedOn w:val="BodyText"/>
    <w:next w:val="BodyText"/>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1z0">
    <w:name w:val="WW8Num1z0"/>
    <w:qFormat/>
    <w:rPr>
      <w:rFonts w:ascii="Wingdings" w:hAnsi="Wingdings" w:cs="Wingdings"/>
    </w:rPr>
  </w:style>
  <w:style w:type="character" w:styleId="WW8Num1z1">
    <w:name w:val="WW8Num1z1"/>
    <w:qFormat/>
    <w:rPr>
      <w:rFonts w:ascii="Wingdings" w:hAnsi="Wingdings" w:cs="Wingdings"/>
      <w:sz w:val="18"/>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Wingdings" w:hAnsi="Wingdings" w:cs="Wingdings"/>
      <w:sz w:val="18"/>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rPr>
  </w:style>
  <w:style w:type="character" w:styleId="WW8Num3z1">
    <w:name w:val="WW8Num3z1"/>
    <w:qFormat/>
    <w:rPr>
      <w:rFonts w:ascii="Wingdings" w:hAnsi="Wingdings" w:cs="Wingdings"/>
      <w:sz w:val="18"/>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Wingdings" w:hAnsi="Wingdings" w:cs="Wingdings"/>
      <w:sz w:val="18"/>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sz w:val="18"/>
    </w:rPr>
  </w:style>
  <w:style w:type="character" w:styleId="WW8Num7z0">
    <w:name w:val="WW8Num7z0"/>
    <w:qFormat/>
    <w:rPr>
      <w:rFonts w:ascii="Tms Rmn;Times New Roman" w:hAnsi="Tms Rmn;Times New Roman" w:cs="Tms Rmn;Times New Roman"/>
    </w:rPr>
  </w:style>
  <w:style w:type="character" w:styleId="WW8Num8z0">
    <w:name w:val="WW8Num8z0"/>
    <w:qFormat/>
    <w:rPr>
      <w:rFonts w:ascii="Wingdings" w:hAnsi="Wingdings" w:cs="Wingdings"/>
      <w:sz w:val="18"/>
    </w:rPr>
  </w:style>
  <w:style w:type="character" w:styleId="WW8Num9z0">
    <w:name w:val="WW8Num9z0"/>
    <w:qFormat/>
    <w:rPr>
      <w:rFonts w:ascii="Wingdings" w:hAnsi="Wingdings" w:cs="Wingdings"/>
      <w:sz w:val="1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sz w:val="18"/>
    </w:rPr>
  </w:style>
  <w:style w:type="character" w:styleId="WW8Num11z0">
    <w:name w:val="WW8Num11z0"/>
    <w:qFormat/>
    <w:rPr>
      <w:rFonts w:ascii="Wingdings" w:hAnsi="Wingdings" w:cs="Wingdings"/>
      <w:sz w:val="18"/>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ms Rmn;Times New Roman" w:hAnsi="Tms Rmn;Times New Roman" w:cs="Tms Rmn;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30" w:after="13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ind w:hanging="0" w:start="340" w:end="0"/>
    </w:pPr>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right" w:pos="8505" w:leader="none"/>
      </w:tabs>
    </w:pPr>
    <w:rPr>
      <w:sz w:val="18"/>
    </w:rPr>
  </w:style>
  <w:style w:type="paragraph" w:styleId="Header">
    <w:name w:val="header"/>
    <w:basedOn w:val="Normal"/>
    <w:pPr>
      <w:spacing w:lineRule="exact" w:line="220"/>
      <w:jc w:val="end"/>
    </w:pPr>
    <w:rPr>
      <w:i/>
      <w:sz w:val="18"/>
    </w:rPr>
  </w:style>
  <w:style w:type="paragraph" w:styleId="ListBullet">
    <w:name w:val="List Bullet"/>
    <w:basedOn w:val="BodyText"/>
    <w:qFormat/>
    <w:pPr>
      <w:numPr>
        <w:ilvl w:val="0"/>
        <w:numId w:val="7"/>
      </w:numPr>
      <w:spacing w:before="0" w:after="130"/>
    </w:pPr>
    <w:rPr/>
  </w:style>
  <w:style w:type="paragraph" w:styleId="FootnoteText">
    <w:name w:val="footnote text"/>
    <w:basedOn w:val="Normal"/>
    <w:pPr/>
    <w:rPr>
      <w:sz w:val="18"/>
    </w:rPr>
  </w:style>
  <w:style w:type="paragraph" w:styleId="Signature">
    <w:name w:val="Signature"/>
    <w:basedOn w:val="Normal"/>
    <w:pPr>
      <w:spacing w:lineRule="auto" w:line="240"/>
    </w:pPr>
    <w:rPr/>
  </w:style>
  <w:style w:type="paragraph" w:styleId="Graphic">
    <w:name w:val="Graphic"/>
    <w:basedOn w:val="Signature"/>
    <w:qFormat/>
    <w:pPr>
      <w:pBdr>
        <w:top w:val="single" w:sz="6" w:space="1" w:color="000000"/>
        <w:left w:val="single" w:sz="6" w:space="1" w:color="000000"/>
        <w:bottom w:val="single" w:sz="6" w:space="1" w:color="000000"/>
        <w:right w:val="single" w:sz="6" w:space="1" w:color="000000"/>
      </w:pBdr>
      <w:jc w:val="center"/>
    </w:pPr>
    <w:rPr/>
  </w:style>
  <w:style w:type="paragraph" w:styleId="ListBullet2">
    <w:name w:val="List Bullet 2"/>
    <w:basedOn w:val="ListBullet"/>
    <w:qFormat/>
    <w:pPr>
      <w:numPr>
        <w:ilvl w:val="0"/>
        <w:numId w:val="8"/>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wbeaton@swbell.n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2000-10-21T11:24:00Z</dcterms:created>
  <dc:creator>abeaton</dc:creator>
  <dc:description/>
  <dc:language>en-CA</dc:language>
  <cp:lastModifiedBy>abeaton</cp:lastModifiedBy>
  <cp:lastPrinted>2000-10-25T21:28:00Z</cp:lastPrinted>
  <dcterms:modified xsi:type="dcterms:W3CDTF">2000-11-07T15:48:00Z</dcterms:modified>
  <cp:revision>18</cp:revision>
  <dc:subject/>
  <dc:title>Blank document</dc:title>
</cp:coreProperties>
</file>