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top w:val="single" w:sz="4" w:space="1" w:color="000000"/>
          <w:left w:val="single" w:sz="4" w:space="4" w:color="000000"/>
          <w:bottom w:val="single" w:sz="4" w:space="1" w:color="000000"/>
          <w:right w:val="single" w:sz="4" w:space="4" w:color="000000"/>
        </w:pBdr>
        <w:jc w:val="center"/>
        <w:rPr>
          <w:b/>
          <w:sz w:val="28"/>
        </w:rPr>
      </w:pPr>
      <w:r>
        <w:rPr>
          <w:b/>
          <w:sz w:val="28"/>
        </w:rPr>
        <w:t>SENATE FLOOR ALERT</w:t>
      </w:r>
    </w:p>
    <w:p>
      <w:pPr>
        <w:pStyle w:val="BodyText"/>
        <w:pBdr>
          <w:top w:val="single" w:sz="4" w:space="1" w:color="000000"/>
          <w:left w:val="single" w:sz="4" w:space="4" w:color="000000"/>
          <w:bottom w:val="single" w:sz="4" w:space="1" w:color="000000"/>
          <w:right w:val="single" w:sz="4" w:space="4" w:color="000000"/>
        </w:pBdr>
        <w:jc w:val="center"/>
        <w:rPr>
          <w:b/>
          <w:sz w:val="28"/>
        </w:rPr>
      </w:pPr>
      <w:r>
        <w:rPr>
          <w:b/>
          <w:sz w:val="28"/>
        </w:rPr>
      </w:r>
    </w:p>
    <w:p>
      <w:pPr>
        <w:pStyle w:val="BodyText"/>
        <w:pBdr>
          <w:top w:val="single" w:sz="4" w:space="1" w:color="000000"/>
          <w:left w:val="single" w:sz="4" w:space="4" w:color="000000"/>
          <w:bottom w:val="single" w:sz="4" w:space="1" w:color="000000"/>
          <w:right w:val="single" w:sz="4" w:space="4" w:color="000000"/>
        </w:pBdr>
        <w:jc w:val="center"/>
        <w:rPr>
          <w:b/>
        </w:rPr>
      </w:pPr>
      <w:r>
        <w:rPr>
          <w:b/>
        </w:rPr>
        <w:t>California Chamber of Commerce</w:t>
      </w:r>
    </w:p>
    <w:p>
      <w:pPr>
        <w:pStyle w:val="BodyText"/>
        <w:pBdr>
          <w:top w:val="single" w:sz="4" w:space="1" w:color="000000"/>
          <w:left w:val="single" w:sz="4" w:space="4" w:color="000000"/>
          <w:bottom w:val="single" w:sz="4" w:space="1" w:color="000000"/>
          <w:right w:val="single" w:sz="4" w:space="4" w:color="000000"/>
        </w:pBdr>
        <w:jc w:val="center"/>
        <w:rPr>
          <w:b/>
        </w:rPr>
      </w:pPr>
      <w:r>
        <w:rPr>
          <w:b/>
        </w:rPr>
        <w:t>California Manufacturers and Technology Association</w:t>
      </w:r>
    </w:p>
    <w:p>
      <w:pPr>
        <w:pStyle w:val="BodyText"/>
        <w:pBdr>
          <w:top w:val="single" w:sz="4" w:space="1" w:color="000000"/>
          <w:left w:val="single" w:sz="4" w:space="4" w:color="000000"/>
          <w:bottom w:val="single" w:sz="4" w:space="1" w:color="000000"/>
          <w:right w:val="single" w:sz="4" w:space="4" w:color="000000"/>
        </w:pBdr>
        <w:jc w:val="center"/>
        <w:rPr>
          <w:b/>
        </w:rPr>
      </w:pPr>
      <w:r>
        <w:rPr>
          <w:b/>
        </w:rPr>
        <w:t>California Business Roundtable</w:t>
      </w:r>
    </w:p>
    <w:p>
      <w:pPr>
        <w:pStyle w:val="BodyText"/>
        <w:pBdr>
          <w:top w:val="single" w:sz="4" w:space="1" w:color="000000"/>
          <w:left w:val="single" w:sz="4" w:space="4" w:color="000000"/>
          <w:bottom w:val="single" w:sz="4" w:space="1" w:color="000000"/>
          <w:right w:val="single" w:sz="4" w:space="4" w:color="000000"/>
        </w:pBdr>
        <w:jc w:val="center"/>
        <w:rPr>
          <w:b/>
        </w:rPr>
      </w:pPr>
      <w:r>
        <w:rPr>
          <w:b/>
        </w:rPr>
        <w:t>California Retailers Association</w:t>
      </w:r>
    </w:p>
    <w:p>
      <w:pPr>
        <w:pStyle w:val="BodyText"/>
        <w:pBdr>
          <w:top w:val="single" w:sz="4" w:space="1" w:color="000000"/>
          <w:left w:val="single" w:sz="4" w:space="4" w:color="000000"/>
          <w:bottom w:val="single" w:sz="4" w:space="1" w:color="000000"/>
          <w:right w:val="single" w:sz="4" w:space="4" w:color="000000"/>
        </w:pBdr>
        <w:jc w:val="center"/>
        <w:rPr>
          <w:b/>
        </w:rPr>
      </w:pPr>
      <w:r>
        <w:rPr>
          <w:b/>
        </w:rPr>
        <w:t>Silicon Valley Manufacturing Group</w:t>
      </w:r>
    </w:p>
    <w:p>
      <w:pPr>
        <w:pStyle w:val="BodyText"/>
        <w:pBdr>
          <w:top w:val="single" w:sz="4" w:space="1" w:color="000000"/>
          <w:left w:val="single" w:sz="4" w:space="4" w:color="000000"/>
          <w:bottom w:val="single" w:sz="4" w:space="1" w:color="000000"/>
          <w:right w:val="single" w:sz="4" w:space="4" w:color="000000"/>
        </w:pBdr>
        <w:jc w:val="center"/>
        <w:rPr>
          <w:b/>
        </w:rPr>
      </w:pPr>
      <w:r>
        <w:rPr>
          <w:b/>
        </w:rPr>
        <w:t>California Large Energy Consumers Association</w:t>
      </w:r>
    </w:p>
    <w:p>
      <w:pPr>
        <w:pStyle w:val="BodyText"/>
        <w:pBdr>
          <w:top w:val="single" w:sz="4" w:space="1" w:color="000000"/>
          <w:left w:val="single" w:sz="4" w:space="4" w:color="000000"/>
          <w:bottom w:val="single" w:sz="4" w:space="1" w:color="000000"/>
          <w:right w:val="single" w:sz="4" w:space="4" w:color="000000"/>
        </w:pBdr>
        <w:jc w:val="center"/>
        <w:rPr>
          <w:b/>
        </w:rPr>
      </w:pPr>
      <w:r>
        <w:rPr>
          <w:b/>
        </w:rPr>
        <w:t>Western States Petroleum Association</w:t>
      </w:r>
    </w:p>
    <w:p>
      <w:pPr>
        <w:pStyle w:val="BodyText"/>
        <w:pBdr>
          <w:top w:val="single" w:sz="4" w:space="1" w:color="000000"/>
          <w:left w:val="single" w:sz="4" w:space="4" w:color="000000"/>
          <w:bottom w:val="single" w:sz="4" w:space="1" w:color="000000"/>
          <w:right w:val="single" w:sz="4" w:space="4" w:color="000000"/>
        </w:pBdr>
        <w:rPr>
          <w:b/>
          <w:sz w:val="22"/>
        </w:rPr>
      </w:pPr>
      <w:r>
        <w:rPr>
          <w:b/>
          <w:sz w:val="22"/>
        </w:rPr>
      </w:r>
    </w:p>
    <w:p>
      <w:pPr>
        <w:pStyle w:val="BodyText"/>
        <w:pBdr>
          <w:top w:val="single" w:sz="4" w:space="1" w:color="000000"/>
          <w:left w:val="single" w:sz="4" w:space="4" w:color="000000"/>
          <w:bottom w:val="single" w:sz="4" w:space="1" w:color="000000"/>
          <w:right w:val="single" w:sz="4" w:space="4" w:color="000000"/>
        </w:pBdr>
        <w:jc w:val="center"/>
        <w:rPr>
          <w:b/>
          <w:sz w:val="28"/>
        </w:rPr>
      </w:pPr>
      <w:r>
        <w:rPr>
          <w:b/>
          <w:sz w:val="28"/>
        </w:rPr>
        <w:t>OPPOSE AB 67 X2 – Edison MOU Bill Harms Jobs and Economy</w:t>
      </w:r>
    </w:p>
    <w:p>
      <w:pPr>
        <w:pStyle w:val="BodyText"/>
        <w:rPr>
          <w:b/>
          <w:sz w:val="28"/>
        </w:rPr>
      </w:pPr>
      <w:r>
        <w:rPr>
          <w:b/>
          <w:sz w:val="28"/>
        </w:rPr>
      </w:r>
    </w:p>
    <w:p>
      <w:pPr>
        <w:pStyle w:val="BodyText"/>
        <w:rPr/>
      </w:pPr>
      <w:r>
        <w:rPr/>
        <w:t xml:space="preserve">These business organizations, representing thousands of small and large California businesses, strongly </w:t>
      </w:r>
      <w:r>
        <w:rPr>
          <w:b/>
        </w:rPr>
        <w:t>OPPOSE</w:t>
      </w:r>
      <w:r>
        <w:rPr/>
        <w:t xml:space="preserve"> the passage of AB 67 X2, as proposed to be amended.  AB 67 X2 is a dangerous attempt to rewrite the Edison MOU from SB 78 X2, which passed the Assembly last Friday.  </w:t>
      </w:r>
      <w:r>
        <w:rPr>
          <w:b/>
          <w:i/>
        </w:rPr>
        <w:t>This bill prescribes a cure worse than the disease</w:t>
      </w:r>
      <w:r>
        <w:rPr/>
        <w:t>.</w:t>
      </w:r>
    </w:p>
    <w:p>
      <w:pPr>
        <w:pStyle w:val="BodyText"/>
        <w:rPr/>
      </w:pPr>
      <w:r>
        <w:rPr/>
      </w:r>
    </w:p>
    <w:p>
      <w:pPr>
        <w:pStyle w:val="BodyText"/>
        <w:rPr/>
      </w:pPr>
      <w:r>
        <w:rPr/>
        <w:t>Months of good faith discussions to resolve this issue have been held among members of both houses of the Legislature, the Administration, business and industrial customers, Southern California Edison, California-based cogenerators, and many other parties.  Remarkably, the bill before the Senate tosses those good efforts onto the ash heap, and instead devises a mechanism that (a) may not even succeed in keeping Edison from bankruptcy and (b) even if Edison manages to recover its credit, would be at the price of crippling employers with huge energy bills and threatening jobs and the economy.</w:t>
      </w:r>
    </w:p>
    <w:p>
      <w:pPr>
        <w:pStyle w:val="BodyText"/>
        <w:rPr/>
      </w:pPr>
      <w:r>
        <w:rPr/>
      </w:r>
    </w:p>
    <w:p>
      <w:pPr>
        <w:pStyle w:val="Normal"/>
        <w:numPr>
          <w:ilvl w:val="0"/>
          <w:numId w:val="2"/>
        </w:numPr>
        <w:rPr>
          <w:sz w:val="24"/>
        </w:rPr>
      </w:pPr>
      <w:r>
        <w:rPr>
          <w:sz w:val="24"/>
        </w:rPr>
        <w:t xml:space="preserve">AB 67 X2 would place the burden of repaying $2.5 billion of Edison undercollections on a relatively few number of customers.  Raising the threshold for those customers responsible for paying the undercollection to 125 kW means that only 19,000 of Edison’s more than four million ratepayers would be responsible for the debt.  This is simply not enough of a financing base to support securitization of the debt.  Moreover, saddling just 19,000 ratepayers with the $2.5 billion in debt repayment </w:t>
      </w:r>
      <w:r>
        <w:rPr>
          <w:b/>
          <w:i/>
          <w:sz w:val="24"/>
        </w:rPr>
        <w:t>would be the equivalent of a one-cent/kWh for those customers</w:t>
      </w:r>
      <w:r>
        <w:rPr>
          <w:sz w:val="24"/>
        </w:rPr>
        <w:t xml:space="preserve">, and likely another round of rate increases.  This brings a whole new meaning to “discriminatory.”  The Edison undercollection was created by selling power below cost to </w:t>
      </w:r>
      <w:r>
        <w:rPr>
          <w:sz w:val="24"/>
          <w:u w:val="single"/>
        </w:rPr>
        <w:t xml:space="preserve">all </w:t>
      </w:r>
      <w:r>
        <w:rPr>
          <w:sz w:val="24"/>
        </w:rPr>
        <w:t xml:space="preserve"> customers:  residential, small commercial, and industrial.</w:t>
      </w:r>
    </w:p>
    <w:p>
      <w:pPr>
        <w:pStyle w:val="Normal"/>
        <w:numPr>
          <w:ilvl w:val="0"/>
          <w:numId w:val="2"/>
        </w:numPr>
        <w:rPr>
          <w:sz w:val="24"/>
        </w:rPr>
      </w:pPr>
      <w:r>
        <w:rPr>
          <w:sz w:val="24"/>
        </w:rPr>
        <w:t xml:space="preserve"> </w:t>
      </w:r>
      <w:r>
        <w:rPr>
          <w:sz w:val="24"/>
        </w:rPr>
        <w:t xml:space="preserve">AB 67 X2 devastates any opportunity for business and industrial customers to exercise consumer choice in their electricity purchases.  The direct access provisions in the bill are illusory.  Moreover, the bill threatens to discourage a real California success story:  customer investment in generation of their own electric power. </w:t>
      </w:r>
    </w:p>
    <w:p>
      <w:pPr>
        <w:pStyle w:val="Normal"/>
        <w:numPr>
          <w:ilvl w:val="0"/>
          <w:numId w:val="2"/>
        </w:numPr>
        <w:rPr>
          <w:sz w:val="24"/>
        </w:rPr>
      </w:pPr>
      <w:r>
        <w:rPr>
          <w:sz w:val="24"/>
        </w:rPr>
        <w:t>As if the enormous burden to business and industrial customers from repaying the Edison undercollection is not enough, AB 67 X2 would add a Renewable Portfolio Standard further increasing costs to ratepayers.  The impetus behind including this new surcharge for renewables is baffling, since ratepayers already pay a surcharge on electric bills to provide enormous subsidies for renewable power development.</w:t>
      </w:r>
    </w:p>
    <w:p>
      <w:pPr>
        <w:pStyle w:val="Normal"/>
        <w:rPr>
          <w:sz w:val="24"/>
        </w:rPr>
      </w:pPr>
      <w:r>
        <w:rPr>
          <w:sz w:val="24"/>
        </w:rPr>
      </w:r>
    </w:p>
    <w:p>
      <w:pPr>
        <w:pStyle w:val="Normal"/>
        <w:jc w:val="center"/>
        <w:rPr/>
      </w:pPr>
      <w:r>
        <w:rPr>
          <w:sz w:val="28"/>
        </w:rPr>
        <w:t xml:space="preserve">Please vote </w:t>
      </w:r>
      <w:r>
        <w:rPr>
          <w:b/>
          <w:sz w:val="28"/>
        </w:rPr>
        <w:t>NO</w:t>
      </w:r>
      <w:r>
        <w:rPr>
          <w:sz w:val="28"/>
        </w:rPr>
        <w:t xml:space="preserve"> on AB 67 X2</w:t>
      </w:r>
    </w:p>
    <w:sectPr>
      <w:headerReference w:type="default" r:id="rId2"/>
      <w:type w:val="nextPage"/>
      <w:pgSz w:w="12240" w:h="15840"/>
      <w:pgMar w:left="1800" w:right="1800" w:gutter="0" w:header="720" w:top="201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2"/>
    <w:family w:val="roma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p>
    <w:pPr>
      <w:pStyle w:val="Footer"/>
      <w:jc w:val="end"/>
      <w:rPr/>
    </w:pPr>
    <w:r>
      <w:rPr/>
    </w:r>
  </w:p>
  <w:p>
    <w:pPr>
      <w:pStyle w:val="Footer"/>
      <w:jc w:val="end"/>
      <w:rPr/>
    </w:pPr>
    <w:r>
      <w:rPr/>
    </w:r>
  </w:p>
  <w:p>
    <w:pPr>
      <w:pStyle w:val="Footer"/>
      <w:jc w:val="end"/>
      <w:rPr/>
    </w:pPr>
    <w:r>
      <w:rPr/>
      <w:t>September 13,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u w:val="single"/>
    </w:rPr>
  </w:style>
  <w:style w:type="paragraph" w:styleId="BodyText3">
    <w:name w:val="Body Text 3"/>
    <w:basedOn w:val="Normal"/>
    <w:qFormat/>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2001-09-13T22:19:00Z</dcterms:created>
  <dc:creator>KAHL/POWNALL COMPANIES</dc:creator>
  <dc:description/>
  <dc:language>en-CA</dc:language>
  <cp:lastModifiedBy>Administrator</cp:lastModifiedBy>
  <cp:lastPrinted>2001-09-13T15:47:00Z</cp:lastPrinted>
  <dcterms:modified xsi:type="dcterms:W3CDTF">2001-09-13T22:19:00Z</dcterms:modified>
  <cp:revision>2</cp:revision>
  <dc:subject/>
  <dc:title>ASSEMBLY FLOOR ALERT</dc:title>
</cp:coreProperties>
</file>