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r>
    </w:p>
    <w:p>
      <w:pPr>
        <w:pStyle w:val="BodyText"/>
        <w:rPr/>
      </w:pPr>
      <w:r>
        <w:rPr/>
      </w:r>
    </w:p>
    <w:p>
      <w:pPr>
        <w:pStyle w:val="BodyText"/>
        <w:jc w:val="center"/>
        <w:rPr>
          <w:b/>
          <w:bCs/>
          <w:sz w:val="28"/>
        </w:rPr>
      </w:pPr>
      <w:r>
        <w:rPr>
          <w:b/>
          <w:bCs/>
          <w:sz w:val="28"/>
        </w:rPr>
        <w:t>FLOOR ALERT</w:t>
      </w:r>
    </w:p>
    <w:p>
      <w:pPr>
        <w:pStyle w:val="BodyText"/>
        <w:rPr>
          <w:b/>
          <w:bCs/>
          <w:sz w:val="28"/>
        </w:rPr>
      </w:pPr>
      <w:r>
        <w:rPr>
          <w:b/>
          <w:bCs/>
          <w:sz w:val="28"/>
        </w:rPr>
      </w:r>
    </w:p>
    <w:p>
      <w:pPr>
        <w:pStyle w:val="BodyText"/>
        <w:rPr>
          <w:b/>
          <w:bCs/>
        </w:rPr>
      </w:pPr>
      <w:r>
        <w:rPr>
          <w:b/>
          <w:bCs/>
        </w:rPr>
        <w:t>To:</w:t>
        <w:tab/>
        <w:tab/>
        <w:t>Honorable Members: California State Assembly</w:t>
      </w:r>
    </w:p>
    <w:p>
      <w:pPr>
        <w:pStyle w:val="BodyText"/>
        <w:rPr>
          <w:b/>
          <w:bCs/>
        </w:rPr>
      </w:pPr>
      <w:r>
        <w:rPr>
          <w:b/>
          <w:bCs/>
        </w:rPr>
      </w:r>
    </w:p>
    <w:p>
      <w:pPr>
        <w:pStyle w:val="BodyText"/>
        <w:rPr>
          <w:b/>
          <w:bCs/>
        </w:rPr>
      </w:pPr>
      <w:r>
        <w:rPr>
          <w:b/>
          <w:bCs/>
        </w:rPr>
        <w:t>From:</w:t>
        <w:tab/>
        <w:tab/>
        <w:t>Hedy Govenar, Bev Hansen and Scott Govenar</w:t>
      </w:r>
    </w:p>
    <w:p>
      <w:pPr>
        <w:pStyle w:val="BodyText"/>
        <w:rPr>
          <w:b/>
          <w:bCs/>
        </w:rPr>
      </w:pPr>
      <w:r>
        <w:rPr>
          <w:b/>
          <w:bCs/>
        </w:rPr>
        <w:tab/>
        <w:tab/>
        <w:t>Legislative Advocates, Enron</w:t>
      </w:r>
    </w:p>
    <w:p>
      <w:pPr>
        <w:pStyle w:val="BodyText"/>
        <w:rPr>
          <w:b/>
          <w:bCs/>
        </w:rPr>
      </w:pPr>
      <w:r>
        <w:rPr>
          <w:b/>
          <w:bCs/>
        </w:rPr>
      </w:r>
    </w:p>
    <w:p>
      <w:pPr>
        <w:pStyle w:val="BodyText"/>
        <w:rPr>
          <w:b/>
          <w:bCs/>
        </w:rPr>
      </w:pPr>
      <w:r>
        <w:rPr>
          <w:b/>
          <w:bCs/>
        </w:rPr>
        <w:t>Date:</w:t>
        <w:tab/>
        <w:tab/>
        <w:t>September 5, 2001</w:t>
      </w:r>
    </w:p>
    <w:p>
      <w:pPr>
        <w:pStyle w:val="BodyText"/>
        <w:rPr>
          <w:b/>
          <w:bCs/>
        </w:rPr>
      </w:pPr>
      <w:r>
        <w:rPr>
          <w:b/>
          <w:bCs/>
        </w:rPr>
      </w:r>
    </w:p>
    <w:p>
      <w:pPr>
        <w:pStyle w:val="BodyText"/>
        <w:rPr>
          <w:b/>
          <w:bCs/>
          <w:u w:val="single"/>
        </w:rPr>
      </w:pPr>
      <w:r>
        <w:rPr>
          <w:b/>
          <w:bCs/>
          <w:u w:val="single"/>
        </w:rPr>
        <w:t>Re:</w:t>
        <w:tab/>
        <w:tab/>
        <w:t>ABX2 65 (Cardoza) OPPOSE</w:t>
        <w:tab/>
        <w:tab/>
        <w:tab/>
        <w:tab/>
        <w:tab/>
      </w:r>
    </w:p>
    <w:p>
      <w:pPr>
        <w:pStyle w:val="BodyText"/>
        <w:rPr>
          <w:b/>
          <w:bCs/>
          <w:u w:val="single"/>
        </w:rPr>
      </w:pPr>
      <w:r>
        <w:rPr>
          <w:b/>
          <w:bCs/>
          <w:u w:val="single"/>
        </w:rPr>
      </w:r>
    </w:p>
    <w:p>
      <w:pPr>
        <w:pStyle w:val="BodyText"/>
        <w:rPr/>
      </w:pPr>
      <w:r>
        <w:rPr/>
        <w:t>On behalf of Enron, we are writing to express our opposition to ABX2 65 (Cardoza) which is unconstitutionally vague, preempted by federal law, and poor public policy.</w:t>
      </w:r>
    </w:p>
    <w:p>
      <w:pPr>
        <w:pStyle w:val="Normal"/>
        <w:rPr>
          <w:sz w:val="24"/>
        </w:rPr>
      </w:pPr>
      <w:r>
        <w:rPr>
          <w:sz w:val="24"/>
        </w:rPr>
      </w:r>
    </w:p>
    <w:p>
      <w:pPr>
        <w:pStyle w:val="Normal"/>
        <w:rPr>
          <w:sz w:val="24"/>
        </w:rPr>
      </w:pPr>
      <w:r>
        <w:rPr>
          <w:sz w:val="24"/>
        </w:rPr>
        <w:t>ABX2 65 purports to criminialize such common business practices as bidding at prices above marginal cost- - seemingly making it a felony to produce a profit.  Accordingly, at a time when California needs ample new electrical generation, this bill threatens those who might invest in such production with criminal sanction should they manage their business in a reasonable and prudent manner so as to realize a profit on their investment.</w:t>
      </w:r>
    </w:p>
    <w:p>
      <w:pPr>
        <w:pStyle w:val="Normal"/>
        <w:rPr>
          <w:sz w:val="24"/>
        </w:rPr>
      </w:pPr>
      <w:r>
        <w:rPr>
          <w:sz w:val="24"/>
        </w:rPr>
      </w:r>
    </w:p>
    <w:p>
      <w:pPr>
        <w:pStyle w:val="Normal"/>
        <w:rPr>
          <w:sz w:val="24"/>
        </w:rPr>
      </w:pPr>
      <w:r>
        <w:rPr>
          <w:sz w:val="24"/>
        </w:rPr>
        <w:t>To the extent that this measure seeks to punish perceived “price gougers” for their role in the current energy crisis, the bill is inherently flawed because criminal laws may not be applied retroactively.  Moreover, even if ABX2 65 could be applied retroactively, the proposed penalty standard of 10 percent of the corporation’s gross corporate assets creates a fine that is unconstitutional in application.  Since any fine levied under ABX2 65 would likely be grossly disproportionate to the actual conduct, the proposed corporate fine would appear to violate the Excessive Fines Clause of the Eight Amendment to the United States Constitution.</w:t>
      </w:r>
    </w:p>
    <w:p>
      <w:pPr>
        <w:pStyle w:val="Normal"/>
        <w:rPr>
          <w:sz w:val="24"/>
        </w:rPr>
      </w:pPr>
      <w:r>
        <w:rPr>
          <w:sz w:val="24"/>
        </w:rPr>
      </w:r>
    </w:p>
    <w:p>
      <w:pPr>
        <w:pStyle w:val="Normal"/>
        <w:rPr>
          <w:sz w:val="24"/>
        </w:rPr>
      </w:pPr>
      <w:r>
        <w:rPr>
          <w:sz w:val="24"/>
        </w:rPr>
        <w:t>ABX2 65 conflicts with several Supreme Court cases which have affirmed that federal law preempts any state regulation of matters related to wholesale power, including activities connected to wholesale rates.  These cases prevent the State from implementing what appears to be among the main goals of ABX2 65 - - Creating a de facto rate cap by threat of criminal sanction for those who might “profit too much.”</w:t>
      </w:r>
    </w:p>
    <w:p>
      <w:pPr>
        <w:pStyle w:val="Normal"/>
        <w:rPr>
          <w:sz w:val="24"/>
        </w:rPr>
      </w:pPr>
      <w:r>
        <w:rPr>
          <w:sz w:val="24"/>
        </w:rPr>
      </w:r>
    </w:p>
    <w:p>
      <w:pPr>
        <w:pStyle w:val="Normal"/>
        <w:rPr>
          <w:sz w:val="24"/>
        </w:rPr>
      </w:pPr>
      <w:r>
        <w:rPr>
          <w:sz w:val="24"/>
        </w:rPr>
        <w:t xml:space="preserve">To the extent that ABX2 65 seeks to prohibit activity that improperly distorts that market and harms consumers, this measure is unnecessary and duplicative of existing law.  California’s Cartwright Act and section 1 of the federal Sherman Act prohibit combinations, contracts and conspiracies to restrain trade.   </w:t>
      </w:r>
    </w:p>
    <w:p>
      <w:pPr>
        <w:pStyle w:val="Normal"/>
        <w:rPr>
          <w:sz w:val="24"/>
        </w:rPr>
      </w:pPr>
      <w:r>
        <w:rPr>
          <w:sz w:val="24"/>
        </w:rPr>
      </w:r>
    </w:p>
    <w:p>
      <w:pPr>
        <w:pStyle w:val="Normal"/>
        <w:rPr>
          <w:sz w:val="24"/>
        </w:rPr>
      </w:pPr>
      <w:r>
        <w:rPr>
          <w:sz w:val="24"/>
        </w:rPr>
        <w:t>It is for the reasons mentioned above that we respectfully request that you vote “NO” on this measure when it is heard on the Assembly floor.</w:t>
      </w:r>
    </w:p>
    <w:p>
      <w:pPr>
        <w:pStyle w:val="Normal"/>
        <w:rPr>
          <w:sz w:val="24"/>
        </w:rPr>
      </w:pPr>
      <w:r>
        <w:rPr>
          <w:sz w:val="24"/>
        </w:rPr>
      </w:r>
    </w:p>
    <w:p>
      <w:pPr>
        <w:pStyle w:val="Normal"/>
        <w:rPr>
          <w:sz w:val="24"/>
        </w:rPr>
      </w:pPr>
      <w:r>
        <w:rPr>
          <w:sz w:val="24"/>
        </w:rPr>
      </w:r>
    </w:p>
    <w:p>
      <w:pPr>
        <w:pStyle w:val="Normal"/>
        <w:rPr>
          <w:sz w:val="24"/>
        </w:rPr>
      </w:pPr>
      <w:r>
        <w:rPr>
          <w:sz w:val="24"/>
        </w:rPr>
        <w:t>Cc:</w:t>
        <w:tab/>
        <w:t>The Honorable Dennis Cardoza</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2001-09-05T18:30:00Z</dcterms:created>
  <dc:creator>Melissa Cortez</dc:creator>
  <dc:description/>
  <dc:language>en-CA</dc:language>
  <cp:lastModifiedBy>Scott Govenar</cp:lastModifiedBy>
  <cp:lastPrinted>2001-09-05T16:52:00Z</cp:lastPrinted>
  <dcterms:modified xsi:type="dcterms:W3CDTF">2001-09-05T21:24:00Z</dcterms:modified>
  <cp:revision>2</cp:revision>
  <dc:subject/>
  <dc:title>The Independent Energy Producers Association writes this letter to OPPOSE ABX2 65 (Cardoza) and urges a NO vote on this legislation</dc:title>
</cp:coreProperties>
</file>