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rPr>
      </w:pPr>
      <w:r>
        <w:rPr>
          <w:b/>
        </w:rPr>
        <w:t>SWEETGUM ENERGY LP</w:t>
      </w:r>
    </w:p>
    <w:p>
      <w:pPr>
        <w:pStyle w:val="BodyText"/>
        <w:spacing w:before="0" w:after="0"/>
        <w:jc w:val="center"/>
        <w:rPr>
          <w:b/>
        </w:rPr>
      </w:pPr>
      <w:r>
        <w:rPr>
          <w:b/>
        </w:rPr>
        <w:t>c/o InterGen North America LP</w:t>
      </w:r>
    </w:p>
    <w:p>
      <w:pPr>
        <w:pStyle w:val="BodyText"/>
        <w:spacing w:before="0" w:after="0"/>
        <w:jc w:val="center"/>
        <w:rPr>
          <w:b/>
        </w:rPr>
      </w:pPr>
      <w:r>
        <w:rPr>
          <w:b/>
        </w:rPr>
        <w:t>909 Fannin, Suite 2200</w:t>
      </w:r>
    </w:p>
    <w:p>
      <w:pPr>
        <w:pStyle w:val="BodyText"/>
        <w:spacing w:before="0" w:after="120"/>
        <w:jc w:val="center"/>
        <w:rPr>
          <w:b/>
        </w:rPr>
      </w:pPr>
      <w:r>
        <w:rPr>
          <w:b/>
        </w:rPr>
        <w:t>Houston, Texas 77010</w:t>
      </w:r>
    </w:p>
    <w:p>
      <w:pPr>
        <w:pStyle w:val="BodyText"/>
        <w:spacing w:before="0" w:after="120"/>
        <w:jc w:val="center"/>
        <w:rPr/>
      </w:pPr>
      <w:r>
        <w:rPr/>
        <w:t>January __, 2001</w:t>
      </w:r>
    </w:p>
    <w:p>
      <w:pPr>
        <w:pStyle w:val="BodyText"/>
        <w:spacing w:before="0" w:after="120"/>
        <w:jc w:val="start"/>
        <w:rPr/>
      </w:pPr>
      <w:r>
        <w:rPr/>
      </w:r>
    </w:p>
    <w:p>
      <w:pPr>
        <w:pStyle w:val="BodyText"/>
        <w:spacing w:before="0" w:after="120"/>
        <w:jc w:val="start"/>
        <w:rPr/>
      </w:pPr>
      <w:r>
        <w:rPr/>
      </w:r>
    </w:p>
    <w:p>
      <w:pPr>
        <w:pStyle w:val="BodyText"/>
        <w:spacing w:before="0" w:after="0"/>
        <w:ind w:hanging="720" w:start="720" w:end="0"/>
        <w:jc w:val="start"/>
        <w:rPr/>
      </w:pPr>
      <w:r>
        <w:rPr/>
        <w:t>Re:</w:t>
        <w:tab/>
        <w:t>Facility Agreement dated January __, 2001, between ABB Power T &amp; D Company, as Seller (the “Seller”), and CA Energy Development II, LLC, a Delaware limited liability company, as Purchaser (the “Purchaser”), covering the sale and purchase of one (1) generator step-up (13.8kV x 115kV/230kV) transformer (the “Unit”) and certain related equipment and services (the “Facility Agreement”)</w:t>
      </w:r>
    </w:p>
    <w:p>
      <w:pPr>
        <w:pStyle w:val="BodyText"/>
        <w:spacing w:before="0" w:after="120"/>
        <w:jc w:val="start"/>
        <w:rPr/>
      </w:pPr>
      <w:r>
        <w:rPr/>
      </w:r>
    </w:p>
    <w:p>
      <w:pPr>
        <w:pStyle w:val="BodyText"/>
        <w:spacing w:before="0" w:after="120"/>
        <w:jc w:val="start"/>
        <w:rPr/>
      </w:pPr>
      <w:r>
        <w:rPr/>
      </w:r>
    </w:p>
    <w:p>
      <w:pPr>
        <w:pStyle w:val="BodyText"/>
        <w:spacing w:before="0" w:after="0"/>
        <w:jc w:val="start"/>
        <w:rPr/>
      </w:pPr>
      <w:r>
        <w:rPr/>
        <w:t>ABB Power T &amp; D Company</w:t>
      </w:r>
    </w:p>
    <w:p>
      <w:pPr>
        <w:pStyle w:val="BodyText"/>
        <w:spacing w:before="0" w:after="0"/>
        <w:jc w:val="start"/>
        <w:rPr/>
      </w:pPr>
      <w:r>
        <w:rPr/>
        <w:t>3010 Briar Park Drive</w:t>
      </w:r>
    </w:p>
    <w:p>
      <w:pPr>
        <w:pStyle w:val="BodyText"/>
        <w:spacing w:before="0" w:after="0"/>
        <w:jc w:val="start"/>
        <w:rPr/>
      </w:pPr>
      <w:r>
        <w:rPr/>
        <w:t>Houston, Texas 77042</w:t>
      </w:r>
    </w:p>
    <w:p>
      <w:pPr>
        <w:pStyle w:val="BodyText"/>
        <w:spacing w:before="0" w:after="0"/>
        <w:jc w:val="start"/>
        <w:rPr/>
      </w:pPr>
      <w:r>
        <w:rPr/>
      </w:r>
    </w:p>
    <w:p>
      <w:pPr>
        <w:pStyle w:val="BodyText"/>
        <w:spacing w:before="0" w:after="0"/>
        <w:jc w:val="start"/>
        <w:rPr/>
      </w:pPr>
      <w:r>
        <w:rPr/>
        <w:t>Gentlemen:</w:t>
      </w:r>
    </w:p>
    <w:p>
      <w:pPr>
        <w:pStyle w:val="BodyText"/>
        <w:spacing w:before="0" w:after="0"/>
        <w:jc w:val="start"/>
        <w:rPr/>
      </w:pPr>
      <w:r>
        <w:rPr/>
      </w:r>
    </w:p>
    <w:p>
      <w:pPr>
        <w:pStyle w:val="BodyText"/>
        <w:spacing w:before="0" w:after="0"/>
        <w:jc w:val="start"/>
        <w:rPr/>
      </w:pPr>
      <w:r>
        <w:rPr/>
        <w:tab/>
        <w:t>Sweetgum Energy LP or another affiliate of InterGen North America LP (Sweetgum Energy LP or such affiliate being called “Sweetgum”) is contemplating the purchase of 100% of the equity interests in Purchaser pursuant to one or more transfers from Enron North America Corp. or an Affiliate thereof.  As a precondition to such purchase, Sweetgum has requested that Seller furnish Sweetgum certain acknowledgements and confirmations relating to the Facility Agreement.  Accordingly, Seller hereby acknowledges and confirms to Sweetgum the following:</w:t>
      </w:r>
    </w:p>
    <w:p>
      <w:pPr>
        <w:pStyle w:val="BodyText"/>
        <w:spacing w:before="0" w:after="0"/>
        <w:jc w:val="start"/>
        <w:rPr/>
      </w:pPr>
      <w:r>
        <w:rPr/>
      </w:r>
    </w:p>
    <w:p>
      <w:pPr>
        <w:pStyle w:val="BodyText"/>
        <w:spacing w:before="0" w:after="0"/>
        <w:ind w:hanging="720" w:start="720" w:end="0"/>
        <w:jc w:val="start"/>
        <w:rPr/>
      </w:pPr>
      <w:r>
        <w:rPr/>
        <w:tab/>
        <w:t>As of the date of this letter, (a) the Facility Agreement is in full force and effect and is binding upon Seller, (b) the “Purchase Amount” under the Facility Agreement (other than the Retention Amount defined therein) has been fully paid, (c) to the knowledge of Seller, no breach or default or act, omission or other event which could give rise to a breach or default on the part of Purchaser under the Facility Agreement has occurred, and (d) the Facility Agreement has not been amended or modified.</w:t>
      </w:r>
    </w:p>
    <w:p>
      <w:pPr>
        <w:pStyle w:val="BodyText"/>
        <w:spacing w:before="0" w:after="0"/>
        <w:ind w:hanging="720" w:start="720" w:end="0"/>
        <w:jc w:val="start"/>
        <w:rPr/>
      </w:pPr>
      <w:r>
        <w:rPr/>
      </w:r>
    </w:p>
    <w:p>
      <w:pPr>
        <w:pStyle w:val="BodyText"/>
        <w:spacing w:before="0" w:after="0"/>
        <w:jc w:val="start"/>
        <w:rPr/>
      </w:pPr>
      <w:r>
        <w:rPr/>
        <w:tab/>
        <w:t>Seller understands and agrees that Sweetgum is and will be relying upon the foregoing acknowledgements and confirmations from Seller in consummating its purchase of the equity interests in Purchaser and would not take such action but for the foregoing acknowledgements and confirmations.</w:t>
      </w:r>
    </w:p>
    <w:p>
      <w:pPr>
        <w:pStyle w:val="BodyText"/>
        <w:spacing w:before="0" w:after="0"/>
        <w:jc w:val="start"/>
        <w:rPr/>
      </w:pPr>
      <w:r>
        <w:rPr/>
      </w:r>
      <w:r>
        <w:br w:type="page"/>
      </w:r>
    </w:p>
    <w:p>
      <w:pPr>
        <w:pStyle w:val="BodyText"/>
        <w:spacing w:before="0" w:after="0"/>
        <w:jc w:val="start"/>
        <w:rPr/>
      </w:pPr>
      <w:r>
        <w:rPr/>
        <w:tab/>
        <w:t>Please evidence Seller’s agreement with and confirmation of the foregoing by executing two or more copies of this letter and returning at least one executed copy hereof to Sweetgum.  Sweetgum appreciates very much Seller’s assistance and cooperation in this matter.</w:t>
      </w:r>
    </w:p>
    <w:p>
      <w:pPr>
        <w:pStyle w:val="BodyText"/>
        <w:spacing w:before="0" w:after="0"/>
        <w:jc w:val="start"/>
        <w:rPr/>
      </w:pPr>
      <w:r>
        <w:rPr/>
      </w:r>
    </w:p>
    <w:p>
      <w:pPr>
        <w:pStyle w:val="BodyText"/>
        <w:spacing w:before="0" w:after="0"/>
        <w:ind w:start="4320" w:end="0"/>
        <w:jc w:val="start"/>
        <w:rPr/>
      </w:pPr>
      <w:r>
        <w:rPr/>
        <w:t>Sweetgum Energy LP</w:t>
      </w:r>
    </w:p>
    <w:p>
      <w:pPr>
        <w:pStyle w:val="BodyText"/>
        <w:spacing w:before="0" w:after="0"/>
        <w:ind w:start="4320" w:end="0"/>
        <w:jc w:val="start"/>
        <w:rPr/>
      </w:pPr>
      <w:r>
        <w:rPr/>
      </w:r>
    </w:p>
    <w:p>
      <w:pPr>
        <w:pStyle w:val="BodyText"/>
        <w:spacing w:before="0" w:after="0"/>
        <w:ind w:start="4320" w:end="0"/>
        <w:jc w:val="start"/>
        <w:rPr/>
      </w:pPr>
      <w:r>
        <w:rPr/>
      </w:r>
    </w:p>
    <w:p>
      <w:pPr>
        <w:pStyle w:val="BodyText"/>
        <w:spacing w:before="0" w:after="0"/>
        <w:ind w:start="4320" w:end="0"/>
        <w:jc w:val="start"/>
        <w:rPr/>
      </w:pPr>
      <w:r>
        <w:rPr/>
        <w:t>By: _____________________________</w:t>
      </w:r>
    </w:p>
    <w:p>
      <w:pPr>
        <w:pStyle w:val="BodyText"/>
        <w:spacing w:before="0" w:after="0"/>
        <w:ind w:start="4320" w:end="0"/>
        <w:jc w:val="start"/>
        <w:rPr/>
      </w:pPr>
      <w:r>
        <w:rPr/>
        <w:t>Name: ___________________________</w:t>
      </w:r>
    </w:p>
    <w:p>
      <w:pPr>
        <w:pStyle w:val="BodyText"/>
        <w:spacing w:before="0" w:after="0"/>
        <w:ind w:start="4320" w:end="0"/>
        <w:jc w:val="start"/>
        <w:rPr/>
      </w:pPr>
      <w:r>
        <w:rPr/>
        <w:t>Title: ____________________________</w:t>
      </w:r>
    </w:p>
    <w:p>
      <w:pPr>
        <w:pStyle w:val="BodyText"/>
        <w:spacing w:before="0" w:after="0"/>
        <w:ind w:hanging="4320" w:start="4320" w:end="0"/>
        <w:jc w:val="start"/>
        <w:rPr/>
      </w:pPr>
      <w:r>
        <w:rPr/>
      </w:r>
    </w:p>
    <w:p>
      <w:pPr>
        <w:pStyle w:val="BodyText"/>
        <w:spacing w:before="0" w:after="0"/>
        <w:ind w:hanging="4320" w:start="4320" w:end="0"/>
        <w:jc w:val="start"/>
        <w:rPr/>
      </w:pPr>
      <w:r>
        <w:rPr/>
        <w:t>AGREED AND CONFIRMED:</w:t>
      </w:r>
    </w:p>
    <w:p>
      <w:pPr>
        <w:pStyle w:val="BodyText"/>
        <w:spacing w:before="0" w:after="0"/>
        <w:ind w:hanging="4320" w:start="4320" w:end="0"/>
        <w:jc w:val="start"/>
        <w:rPr/>
      </w:pPr>
      <w:r>
        <w:rPr/>
      </w:r>
    </w:p>
    <w:p>
      <w:pPr>
        <w:pStyle w:val="BodyText"/>
        <w:spacing w:before="0" w:after="0"/>
        <w:ind w:hanging="4320" w:start="4320" w:end="0"/>
        <w:jc w:val="start"/>
        <w:rPr/>
      </w:pPr>
      <w:r>
        <w:rPr/>
        <w:t>ABB Power T &amp; D Company</w:t>
      </w:r>
    </w:p>
    <w:p>
      <w:pPr>
        <w:pStyle w:val="BodyText"/>
        <w:spacing w:before="0" w:after="0"/>
        <w:jc w:val="start"/>
        <w:rPr/>
      </w:pPr>
      <w:r>
        <w:rPr/>
      </w:r>
    </w:p>
    <w:p>
      <w:pPr>
        <w:pStyle w:val="BodyText"/>
        <w:spacing w:before="0" w:after="0"/>
        <w:jc w:val="start"/>
        <w:rPr/>
      </w:pPr>
      <w:r>
        <w:rPr/>
      </w:r>
    </w:p>
    <w:p>
      <w:pPr>
        <w:pStyle w:val="BodyText"/>
        <w:spacing w:before="0" w:after="0"/>
        <w:jc w:val="start"/>
        <w:rPr/>
      </w:pPr>
      <w:r>
        <w:rPr/>
        <w:t>By: _____________________________</w:t>
      </w:r>
    </w:p>
    <w:p>
      <w:pPr>
        <w:pStyle w:val="BodyText"/>
        <w:spacing w:before="0" w:after="0"/>
        <w:jc w:val="start"/>
        <w:rPr/>
      </w:pPr>
      <w:r>
        <w:rPr/>
        <w:t>Name: ___________________________</w:t>
      </w:r>
    </w:p>
    <w:p>
      <w:pPr>
        <w:pStyle w:val="BodyText"/>
        <w:tabs>
          <w:tab w:val="clear" w:pos="720"/>
          <w:tab w:val="left" w:pos="0" w:leader="none"/>
        </w:tabs>
        <w:spacing w:before="0" w:after="0"/>
        <w:jc w:val="start"/>
        <w:rPr/>
      </w:pPr>
      <w:r>
        <w:rPr/>
        <w:t>Title: ____________________________</w:t>
      </w:r>
    </w:p>
    <w:p>
      <w:pPr>
        <w:pStyle w:val="BodyText"/>
        <w:spacing w:before="0" w:after="0"/>
        <w:ind w:hanging="4320" w:start="4320" w:end="0"/>
        <w:jc w:val="start"/>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DocumentInformation"/>
            <w:snapToGrid w:val="false"/>
            <w:rPr/>
          </w:pPr>
          <w:r>
            <w:rPr/>
          </w:r>
        </w:p>
      </w:tc>
      <w:tc>
        <w:tcPr>
          <w:tcW w:w="3192" w:type="dxa"/>
          <w:tcBorders/>
        </w:tcPr>
        <w:p>
          <w:pPr>
            <w:pStyle w:val="Footer"/>
            <w:snapToGrid w:val="false"/>
            <w:jc w:val="center"/>
            <w:rPr>
              <w:rStyle w:val="PageNumber"/>
            </w:rPr>
          </w:pPr>
          <w:r>
            <w:rPr/>
          </w:r>
        </w:p>
      </w:tc>
      <w:tc>
        <w:tcPr>
          <w:tcW w:w="3192" w:type="dxa"/>
          <w:tcBorders/>
        </w:tcPr>
        <w:p>
          <w:pPr>
            <w:pStyle w:val="Footer"/>
            <w:snapToGrid w:val="false"/>
            <w:jc w:val="end"/>
            <w:rPr>
              <w:rStyle w:val="PageNumber"/>
            </w:rPr>
          </w:pPr>
          <w:r>
            <w:rPr/>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b/>
      <w:sz w:val="24"/>
    </w:rPr>
  </w:style>
  <w:style w:type="paragraph" w:styleId="Heading2">
    <w:name w:val="heading 2"/>
    <w:basedOn w:val="Normal"/>
    <w:next w:val="BodyText"/>
    <w:qFormat/>
    <w:pPr>
      <w:keepNext w:val="true"/>
      <w:numPr>
        <w:ilvl w:val="1"/>
        <w:numId w:val="1"/>
      </w:numPr>
      <w:spacing w:before="0" w:after="240"/>
      <w:outlineLvl w:val="1"/>
    </w:pPr>
    <w:rPr>
      <w:b/>
      <w:i/>
      <w:sz w:val="24"/>
    </w:rPr>
  </w:style>
  <w:style w:type="paragraph" w:styleId="Heading3">
    <w:name w:val="heading 3"/>
    <w:basedOn w:val="Normal"/>
    <w:next w:val="BodyText"/>
    <w:qFormat/>
    <w:pPr>
      <w:keepNext w:val="true"/>
      <w:numPr>
        <w:ilvl w:val="2"/>
        <w:numId w:val="1"/>
      </w:numPr>
      <w:spacing w:before="0" w:after="240"/>
      <w:outlineLvl w:val="2"/>
    </w:pPr>
    <w:rPr>
      <w:i/>
      <w:sz w:val="24"/>
    </w:rPr>
  </w:style>
  <w:style w:type="paragraph" w:styleId="Heading4">
    <w:name w:val="heading 4"/>
    <w:basedOn w:val="Normal"/>
    <w:next w:val="BodyText"/>
    <w:qFormat/>
    <w:pPr>
      <w:numPr>
        <w:ilvl w:val="3"/>
        <w:numId w:val="1"/>
      </w:numPr>
      <w:spacing w:before="0" w:after="240"/>
      <w:outlineLvl w:val="3"/>
    </w:pPr>
    <w:rPr>
      <w:sz w:val="24"/>
    </w:rPr>
  </w:style>
  <w:style w:type="paragraph" w:styleId="Heading5">
    <w:name w:val="heading 5"/>
    <w:basedOn w:val="Normal"/>
    <w:next w:val="BodyText"/>
    <w:qFormat/>
    <w:pPr>
      <w:numPr>
        <w:ilvl w:val="4"/>
        <w:numId w:val="1"/>
      </w:numPr>
      <w:spacing w:before="0" w:after="240"/>
      <w:outlineLvl w:val="4"/>
    </w:pPr>
    <w:rPr>
      <w:sz w:val="24"/>
    </w:rPr>
  </w:style>
  <w:style w:type="paragraph" w:styleId="Heading6">
    <w:name w:val="heading 6"/>
    <w:basedOn w:val="Normal"/>
    <w:next w:val="BodyText"/>
    <w:qFormat/>
    <w:pPr>
      <w:numPr>
        <w:ilvl w:val="5"/>
        <w:numId w:val="1"/>
      </w:numPr>
      <w:spacing w:before="0" w:after="240"/>
      <w:outlineLvl w:val="5"/>
    </w:pPr>
    <w:rPr>
      <w:sz w:val="24"/>
    </w:rPr>
  </w:style>
  <w:style w:type="paragraph" w:styleId="Heading7">
    <w:name w:val="heading 7"/>
    <w:basedOn w:val="Normal"/>
    <w:next w:val="BodyText"/>
    <w:qFormat/>
    <w:pPr>
      <w:numPr>
        <w:ilvl w:val="6"/>
        <w:numId w:val="1"/>
      </w:numPr>
      <w:spacing w:before="0" w:after="240"/>
      <w:outlineLvl w:val="6"/>
    </w:pPr>
    <w:rPr>
      <w:sz w:val="24"/>
    </w:rPr>
  </w:style>
  <w:style w:type="paragraph" w:styleId="Heading8">
    <w:name w:val="heading 8"/>
    <w:basedOn w:val="Normal"/>
    <w:next w:val="BodyText"/>
    <w:qFormat/>
    <w:pPr>
      <w:numPr>
        <w:ilvl w:val="7"/>
        <w:numId w:val="1"/>
      </w:numPr>
      <w:spacing w:before="0" w:after="240"/>
      <w:outlineLvl w:val="7"/>
    </w:pPr>
    <w:rPr>
      <w:sz w:val="24"/>
    </w:rPr>
  </w:style>
  <w:style w:type="paragraph" w:styleId="Heading9">
    <w:name w:val="heading 9"/>
    <w:basedOn w:val="Normal"/>
    <w:next w:val="BodyText"/>
    <w:qFormat/>
    <w:pPr>
      <w:numPr>
        <w:ilvl w:val="8"/>
        <w:numId w:val="1"/>
      </w:numPr>
      <w:spacing w:before="0" w:after="24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b/>
      <w:u w:val="single"/>
    </w:rPr>
  </w:style>
  <w:style w:type="character" w:styleId="PageNumber">
    <w:name w:val="page number"/>
    <w:basedOn w:val="DefaultParagraphFont"/>
    <w:rPr>
      <w:sz w:val="24"/>
    </w:rPr>
  </w:style>
  <w:style w:type="paragraph" w:styleId="Heading">
    <w:name w:val="Heading"/>
    <w:basedOn w:val="Normal"/>
    <w:next w:val="BodyText"/>
    <w:qFormat/>
    <w:pPr>
      <w:keepNext w:val="true"/>
      <w:spacing w:before="0" w:after="240"/>
      <w:jc w:val="center"/>
      <w:outlineLvl w:val="0"/>
    </w:pPr>
    <w:rPr>
      <w:b/>
      <w:caps/>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CommentText">
    <w:name w:val="Comment Text"/>
    <w:basedOn w:val="Normal"/>
    <w:qFormat/>
    <w:pPr/>
    <w:rPr>
      <w:sz w:val="24"/>
    </w:rPr>
  </w:style>
  <w:style w:type="paragraph" w:styleId="EnvelopeAddress">
    <w:name w:val="envelope address"/>
    <w:basedOn w:val="Normal"/>
    <w:pPr>
      <w:ind w:hanging="0" w:start="2880" w:end="0"/>
    </w:pPr>
    <w:rPr>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z w:val="24"/>
    </w:rPr>
  </w:style>
  <w:style w:type="paragraph" w:styleId="Header">
    <w:name w:val="header"/>
    <w:basedOn w:val="Normal"/>
    <w:pPr/>
    <w:rPr>
      <w:sz w:val="24"/>
    </w:rPr>
  </w:style>
  <w:style w:type="paragraph" w:styleId="Signature">
    <w:name w:val="Signature"/>
    <w:basedOn w:val="Normal"/>
    <w:pPr>
      <w:keepLines/>
      <w:tabs>
        <w:tab w:val="clear" w:pos="720"/>
        <w:tab w:val="right" w:pos="9360" w:leader="none"/>
      </w:tabs>
      <w:spacing w:before="0" w:after="240"/>
      <w:ind w:hanging="0" w:start="4680" w:end="0"/>
    </w:pPr>
    <w:rPr/>
  </w:style>
  <w:style w:type="paragraph" w:styleId="Subtitle">
    <w:name w:val="Subtitle"/>
    <w:basedOn w:val="Normal"/>
    <w:next w:val="BodyText"/>
    <w:qFormat/>
    <w:pPr>
      <w:keepNext w:val="true"/>
      <w:spacing w:before="0" w:after="240"/>
      <w:jc w:val="center"/>
      <w:outlineLvl w:val="1"/>
    </w:pPr>
    <w:rPr>
      <w:b/>
      <w:caps/>
      <w:u w:val="single"/>
    </w:rPr>
  </w:style>
  <w:style w:type="paragraph" w:styleId="BodyText2">
    <w:name w:val="Body Text 2"/>
    <w:basedOn w:val="BodyText"/>
    <w:qFormat/>
    <w:pPr/>
    <w:rPr/>
  </w:style>
  <w:style w:type="paragraph" w:styleId="TOC1">
    <w:name w:val="toc 1"/>
    <w:basedOn w:val="Normal"/>
    <w:next w:val="Normal"/>
    <w:pPr>
      <w:spacing w:before="240" w:after="0"/>
      <w:ind w:hanging="0" w:start="0" w:end="720"/>
    </w:pPr>
    <w:rPr/>
  </w:style>
  <w:style w:type="paragraph" w:styleId="DocumentInformation">
    <w:name w:val="Document Information"/>
    <w:basedOn w:val="Normal"/>
    <w:qFormat/>
    <w:pPr/>
    <w:rPr>
      <w:sz w:val="16"/>
    </w:rPr>
  </w:style>
  <w:style w:type="paragraph" w:styleId="BodyText3">
    <w:name w:val="Body Text 3"/>
    <w:basedOn w:val="BodyText"/>
    <w:qFormat/>
    <w:pPr/>
    <w:rPr/>
  </w:style>
  <w:style w:type="paragraph" w:styleId="TOC2">
    <w:name w:val="toc 2"/>
    <w:basedOn w:val="Normal"/>
    <w:next w:val="Normal"/>
    <w:pPr>
      <w:ind w:hanging="0" w:start="720" w:end="720"/>
    </w:pPr>
    <w:rPr/>
  </w:style>
  <w:style w:type="paragraph" w:styleId="TOC3">
    <w:name w:val="toc 3"/>
    <w:basedOn w:val="Normal"/>
    <w:next w:val="Normal"/>
    <w:pPr>
      <w:ind w:hanging="0" w:start="1440" w:end="720"/>
    </w:pPr>
    <w:rPr/>
  </w:style>
  <w:style w:type="paragraph" w:styleId="TOC4">
    <w:name w:val="toc 4"/>
    <w:basedOn w:val="Normal"/>
    <w:next w:val="Normal"/>
    <w:pPr>
      <w:ind w:hanging="0" w:start="2160" w:end="720"/>
    </w:pPr>
    <w:rPr/>
  </w:style>
  <w:style w:type="paragraph" w:styleId="TOC5">
    <w:name w:val="toc 5"/>
    <w:basedOn w:val="Normal"/>
    <w:next w:val="Normal"/>
    <w:pPr>
      <w:ind w:hanging="0" w:start="2160" w:end="720"/>
    </w:pPr>
    <w:rPr/>
  </w:style>
  <w:style w:type="paragraph" w:styleId="TOC6">
    <w:name w:val="toc 6"/>
    <w:basedOn w:val="Normal"/>
    <w:next w:val="Normal"/>
    <w:pPr>
      <w:ind w:hanging="0" w:start="2160" w:end="720"/>
    </w:pPr>
    <w:rPr/>
  </w:style>
  <w:style w:type="paragraph" w:styleId="TOC7">
    <w:name w:val="toc 7"/>
    <w:basedOn w:val="Normal"/>
    <w:next w:val="Normal"/>
    <w:pPr>
      <w:ind w:hanging="0" w:start="2160" w:end="720"/>
    </w:pPr>
    <w:rPr/>
  </w:style>
  <w:style w:type="paragraph" w:styleId="TOC8">
    <w:name w:val="toc 8"/>
    <w:basedOn w:val="Normal"/>
    <w:next w:val="Normal"/>
    <w:pPr>
      <w:ind w:hanging="0" w:start="2160" w:end="720"/>
    </w:pPr>
    <w:rPr/>
  </w:style>
  <w:style w:type="paragraph" w:styleId="TOC9">
    <w:name w:val="toc 9"/>
    <w:basedOn w:val="Normal"/>
    <w:next w:val="Normal"/>
    <w:pPr>
      <w:ind w:hanging="0" w:start="2160" w:end="720"/>
    </w:pPr>
    <w:rPr/>
  </w:style>
  <w:style w:type="paragraph" w:styleId="Closing">
    <w:name w:val="Closing"/>
    <w:basedOn w:val="Normal"/>
    <w:qFormat/>
    <w:pPr>
      <w:keepNext w:val="true"/>
      <w:ind w:hanging="0" w:start="4680" w:end="0"/>
    </w:pPr>
    <w:rPr/>
  </w:style>
  <w:style w:type="paragraph" w:styleId="FootnoteText">
    <w:name w:val="footnote text"/>
    <w:basedOn w:val="Normal"/>
    <w:pPr>
      <w:spacing w:before="0" w:after="20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2001-01-05T15:53:00Z</dcterms:created>
  <dc:creator>GFK</dc:creator>
  <dc:description/>
  <dc:language>en-CA</dc:language>
  <cp:lastModifiedBy>kmann</cp:lastModifiedBy>
  <cp:lastPrinted>2000-12-09T09:30:00Z</cp:lastPrinted>
  <dcterms:modified xsi:type="dcterms:W3CDTF">2001-01-05T15:53:00Z</dcterms:modified>
  <cp:revision>2</cp:revision>
  <dc:subject/>
  <dc:title>TEJAS ENERGY NS HOLDINGS, LLC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GK00279</vt:lpwstr>
  </property>
  <property fmtid="{D5CDD505-2E9C-101B-9397-08002B2CF9AE}" pid="4" name="AuthorName">
    <vt:lpwstr>KUTZSCHBACH,GEORGE F.</vt:lpwstr>
  </property>
  <property fmtid="{D5CDD505-2E9C-101B-9397-08002B2CF9AE}" pid="5" name="ClientID">
    <vt:lpwstr>059962</vt:lpwstr>
  </property>
  <property fmtid="{D5CDD505-2E9C-101B-9397-08002B2CF9AE}" pid="6" name="ClientName">
    <vt:lpwstr>TEJAS POWER GENERATION, LLC</vt:lpwstr>
  </property>
  <property fmtid="{D5CDD505-2E9C-101B-9397-08002B2CF9AE}" pid="7" name="CreationDate">
    <vt:lpwstr>12/9/2000</vt:lpwstr>
  </property>
  <property fmtid="{D5CDD505-2E9C-101B-9397-08002B2CF9AE}" pid="8" name="DocName">
    <vt:lpwstr>CORAL/ABB ACKNOWLEDGEMENT LETTER</vt:lpwstr>
  </property>
  <property fmtid="{D5CDD505-2E9C-101B-9397-08002B2CF9AE}" pid="9" name="DocNumber">
    <vt:lpwstr>5595286.2</vt:lpwstr>
  </property>
  <property fmtid="{D5CDD505-2E9C-101B-9397-08002B2CF9AE}" pid="10" name="DocTypeDsc">
    <vt:lpwstr>AGREEMENT;PARTNERSHIP;JOINT VENTURE;EMPLOYEE;OTHER</vt:lpwstr>
  </property>
  <property fmtid="{D5CDD505-2E9C-101B-9397-08002B2CF9AE}" pid="11" name="DocTypeID">
    <vt:lpwstr>AGREEMENT</vt:lpwstr>
  </property>
  <property fmtid="{D5CDD505-2E9C-101B-9397-08002B2CF9AE}" pid="12" name="LastEditDate">
    <vt:lpwstr>12/9/2000</vt:lpwstr>
  </property>
  <property fmtid="{D5CDD505-2E9C-101B-9397-08002B2CF9AE}" pid="13" name="MatterID">
    <vt:lpwstr>10023927</vt:lpwstr>
  </property>
  <property fmtid="{D5CDD505-2E9C-101B-9397-08002B2CF9AE}" pid="14" name="MatterName">
    <vt:lpwstr>WSCC PEAKING PROJECTS -  DEVELOPMENT</vt:lpwstr>
  </property>
  <property fmtid="{D5CDD505-2E9C-101B-9397-08002B2CF9AE}" pid="15" name="TypistID">
    <vt:lpwstr>GK00279</vt:lpwstr>
  </property>
  <property fmtid="{D5CDD505-2E9C-101B-9397-08002B2CF9AE}" pid="16" name="TypistName">
    <vt:lpwstr>KUTZSCHBACH,GEORGE F.</vt:lpwstr>
  </property>
</Properties>
</file>