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t>DRAFT 10/25/00</w:t>
      </w:r>
    </w:p>
    <w:p>
      <w:pPr>
        <w:pStyle w:val="Normal"/>
        <w:rPr/>
      </w:pPr>
      <w:r>
        <w:rPr/>
      </w:r>
    </w:p>
    <w:p>
      <w:pPr>
        <w:pStyle w:val="Normal"/>
        <w:rPr/>
      </w:pPr>
      <w:r>
        <w:rPr/>
      </w:r>
    </w:p>
    <w:p>
      <w:pPr>
        <w:pStyle w:val="Normal"/>
        <w:rPr/>
      </w:pPr>
      <w:r>
        <w:rPr/>
      </w:r>
    </w:p>
    <w:p>
      <w:pPr>
        <w:pStyle w:val="Normal"/>
        <w:rPr/>
      </w:pPr>
      <w:r>
        <w:rPr/>
      </w:r>
    </w:p>
    <w:p>
      <w:pPr>
        <w:pStyle w:val="Title"/>
        <w:spacing w:before="0" w:after="240"/>
        <w:rPr/>
      </w:pPr>
      <w:r>
        <w:rPr/>
        <w:t>AGREEMENT</w:t>
      </w:r>
    </w:p>
    <w:p>
      <w:pPr>
        <w:pStyle w:val="Title"/>
        <w:spacing w:before="0" w:after="240"/>
        <w:rPr/>
      </w:pPr>
      <w:r>
        <w:rPr/>
        <w:t>By and Between</w:t>
      </w:r>
    </w:p>
    <w:p>
      <w:pPr>
        <w:pStyle w:val="Title"/>
        <w:spacing w:before="0" w:after="240"/>
        <w:rPr/>
      </w:pPr>
      <w:r>
        <w:rPr/>
        <w:t>[_____________________]</w:t>
      </w:r>
    </w:p>
    <w:p>
      <w:pPr>
        <w:pStyle w:val="Title"/>
        <w:spacing w:before="0" w:after="240"/>
        <w:rPr/>
      </w:pPr>
      <w:r>
        <w:rPr/>
        <w:t>and</w:t>
      </w:r>
    </w:p>
    <w:p>
      <w:pPr>
        <w:pStyle w:val="Title"/>
        <w:spacing w:before="0" w:after="240"/>
        <w:rPr/>
      </w:pPr>
      <w:r>
        <w:rPr/>
        <w:t>ABB POWER T &amp; D COMPANY</w:t>
      </w:r>
    </w:p>
    <w:p>
      <w:pPr>
        <w:pStyle w:val="Title"/>
        <w:spacing w:before="0" w:after="240"/>
        <w:rPr/>
      </w:pPr>
      <w:r>
        <w:rPr/>
        <w:t xml:space="preserve">For The Purchase of  </w:t>
      </w:r>
    </w:p>
    <w:p>
      <w:pPr>
        <w:pStyle w:val="Title"/>
        <w:rPr/>
      </w:pPr>
      <w:r>
        <w:rPr/>
        <w:t>[___]</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rPr>
          <w:sz w:val="28"/>
        </w:rPr>
      </w:pPr>
      <w:r>
        <w:rPr>
          <w:sz w:val="28"/>
        </w:rPr>
      </w:r>
    </w:p>
    <w:p>
      <w:pPr>
        <w:pStyle w:val="Normal"/>
        <w:jc w:val="center"/>
        <w:rPr>
          <w:b/>
        </w:rPr>
      </w:pPr>
      <w:r>
        <w:rPr>
          <w:b/>
        </w:rPr>
        <w:t>TABLE OF CONTENTS</w:t>
      </w:r>
    </w:p>
    <w:p>
      <w:pPr>
        <w:pStyle w:val="Normal"/>
        <w:rPr>
          <w:b/>
        </w:rPr>
      </w:pPr>
      <w:r>
        <w:rPr>
          <w:b/>
        </w:rPr>
      </w:r>
    </w:p>
    <w:p>
      <w:pPr>
        <w:pStyle w:val="Normal"/>
        <w:jc w:val="center"/>
        <w:rPr>
          <w:b/>
        </w:rPr>
      </w:pPr>
      <w:r>
        <w:rPr>
          <w:b/>
        </w:rPr>
        <w:t>[TO COME]</w:t>
      </w:r>
    </w:p>
    <w:p>
      <w:pPr>
        <w:sectPr>
          <w:footerReference w:type="default" r:id="rId3"/>
          <w:footerReference w:type="first" r:id="rId4"/>
          <w:type w:val="nextPage"/>
          <w:pgSz w:w="12240" w:h="15840"/>
          <w:pgMar w:left="1440" w:right="1440" w:gutter="0" w:header="0" w:top="1440" w:footer="720" w:bottom="1440"/>
          <w:pgNumType w:start="1" w:fmt="lowerRoman"/>
          <w:formProt w:val="false"/>
          <w:titlePg/>
          <w:textDirection w:val="lrTb"/>
          <w:docGrid w:type="default" w:linePitch="360" w:charSpace="0"/>
        </w:sectPr>
        <w:pStyle w:val="Normal"/>
        <w:jc w:val="center"/>
        <w:rPr>
          <w:b/>
          <w:lang w:val="en-CA" w:eastAsia="en-CA"/>
        </w:rPr>
      </w:pPr>
      <w:r>
        <w:rPr>
          <w:b/>
          <w:lang w:val="en-CA" w:eastAsia="en-CA"/>
        </w:rPr>
      </w:r>
    </w:p>
    <w:p>
      <w:pPr>
        <w:pStyle w:val="Normal"/>
        <w:spacing w:before="0" w:after="240"/>
        <w:jc w:val="center"/>
        <w:rPr>
          <w:b/>
        </w:rPr>
      </w:pPr>
      <w:r>
        <w:rPr>
          <w:b/>
          <w:u w:val="single"/>
        </w:rPr>
        <w:t>AGREEMENT</w:t>
      </w:r>
    </w:p>
    <w:p>
      <w:pPr>
        <w:pStyle w:val="BodyTextFirstIndent"/>
        <w:rPr/>
      </w:pPr>
      <w:r>
        <w:rPr/>
        <w:t xml:space="preserve">This Agreement is made and entered into on the </w:t>
      </w:r>
      <w:r>
        <w:rPr>
          <w:b/>
        </w:rPr>
        <w:t>[____]</w:t>
      </w:r>
      <w:r>
        <w:rPr/>
        <w:t xml:space="preserve"> day of </w:t>
      </w:r>
      <w:r>
        <w:rPr>
          <w:b/>
        </w:rPr>
        <w:t>[_____]</w:t>
      </w:r>
      <w:r>
        <w:rPr/>
        <w:t xml:space="preserve">, 2000 (hereinafter, the “Effective Date”) by and between </w:t>
      </w:r>
      <w:r>
        <w:rPr>
          <w:b/>
        </w:rPr>
        <w:t>[__________]</w:t>
      </w:r>
      <w:r>
        <w:rPr/>
        <w:t xml:space="preserve">, a corporation organized under the laws of the State of </w:t>
      </w:r>
      <w:r>
        <w:rPr>
          <w:b/>
        </w:rPr>
        <w:t>[_______]</w:t>
      </w:r>
      <w:r>
        <w:rPr/>
        <w:t xml:space="preserve"> (“Purchaser”), and ABB Power T  &amp; D Company, a corporation organized under the laws of Connecticut (“Seller”).</w:t>
      </w:r>
    </w:p>
    <w:p>
      <w:pPr>
        <w:pStyle w:val="Normal"/>
        <w:spacing w:lineRule="auto" w:line="300"/>
        <w:jc w:val="center"/>
        <w:rPr>
          <w:b/>
        </w:rPr>
      </w:pPr>
      <w:r>
        <w:rPr>
          <w:b/>
          <w:u w:val="single"/>
        </w:rPr>
        <w:t>RECITALS</w:t>
      </w:r>
    </w:p>
    <w:p>
      <w:pPr>
        <w:pStyle w:val="Normal"/>
        <w:spacing w:lineRule="auto" w:line="300"/>
        <w:ind w:firstLine="720" w:end="0"/>
        <w:jc w:val="both"/>
        <w:rPr>
          <w:b/>
        </w:rPr>
      </w:pPr>
      <w:r>
        <w:rPr>
          <w:b/>
        </w:rPr>
      </w:r>
    </w:p>
    <w:p>
      <w:pPr>
        <w:pStyle w:val="BodyTextFirstIndent"/>
        <w:rPr/>
      </w:pPr>
      <w:r>
        <w:rPr/>
        <w:t xml:space="preserve">WHEREAS, Purchaser has the need to acquire generator step-up transformer packages of various ratings (the “Units,” whether one or more) and associated equipment and services for installation in its </w:t>
      </w:r>
      <w:r>
        <w:rPr>
          <w:b/>
        </w:rPr>
        <w:t>[______]</w:t>
      </w:r>
      <w:r>
        <w:rPr/>
        <w:t xml:space="preserve"> kW electricity generation plant to be located in or near </w:t>
      </w:r>
      <w:r>
        <w:rPr>
          <w:b/>
        </w:rPr>
        <w:t xml:space="preserve">[_________] </w:t>
      </w:r>
      <w:r>
        <w:rPr/>
        <w:t>(the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Normal"/>
        <w:spacing w:lineRule="auto" w:line="300" w:before="0" w:after="240"/>
        <w:ind w:firstLine="720" w:end="0"/>
        <w:jc w:val="both"/>
        <w:rPr/>
      </w:pPr>
      <w:r>
        <w:rPr/>
        <w:t>NOW, THEREFORE, in consideration of the mutual covenants herein contained, and intending to be legally bound, the parties hereto agree as follows:</w:t>
      </w:r>
    </w:p>
    <w:p>
      <w:pPr>
        <w:pStyle w:val="Heading1"/>
        <w:tabs>
          <w:tab w:val="clear" w:pos="1080"/>
        </w:tabs>
        <w:ind w:hanging="0" w:start="0"/>
        <w:rPr/>
      </w:pPr>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tabs>
          <w:tab w:val="clear" w:pos="1080"/>
        </w:tabs>
        <w:ind w:hanging="0" w:start="0"/>
        <w:rPr/>
      </w:pPr>
      <w:r>
        <w:rPr>
          <w:u w:val="single"/>
        </w:rPr>
        <w:t>Acceptance</w:t>
      </w:r>
      <w:r>
        <w:rPr/>
        <w:t>.  Shall have the meaning as set forth in Section 10.9.</w:t>
      </w:r>
    </w:p>
    <w:p>
      <w:pPr>
        <w:pStyle w:val="Heading2"/>
        <w:tabs>
          <w:tab w:val="clear" w:pos="1080"/>
        </w:tabs>
        <w:ind w:hanging="0" w:start="0"/>
        <w:rPr/>
      </w:pPr>
      <w:r>
        <w:rPr>
          <w:u w:val="single"/>
        </w:rPr>
        <w:t>Affected Party</w:t>
      </w:r>
      <w:r>
        <w:rPr/>
        <w:t>.  Shall have the meaning set forth in Section 18.1.</w:t>
      </w:r>
    </w:p>
    <w:p>
      <w:pPr>
        <w:pStyle w:val="Heading2"/>
        <w:tabs>
          <w:tab w:val="clear" w:pos="1080"/>
        </w:tabs>
        <w:ind w:hanging="0" w:start="0"/>
        <w:rPr/>
      </w:pPr>
      <w:r>
        <w:rPr>
          <w:u w:val="single"/>
        </w:rPr>
        <w:t>Affiliate</w:t>
      </w: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clear" w:pos="1080"/>
        </w:tabs>
        <w:ind w:hanging="0" w:start="0"/>
        <w:rPr/>
      </w:pPr>
      <w:r>
        <w:rPr>
          <w:u w:val="single"/>
        </w:rPr>
        <w:t>Agreement</w:t>
      </w:r>
      <w:r>
        <w:rPr/>
        <w:t>.  Shall mean this Agreement for the purchase of the Equipment, including all Exhibits attached hereto, as amended from time to time as provided herein.</w:t>
      </w:r>
    </w:p>
    <w:p>
      <w:pPr>
        <w:pStyle w:val="Heading2"/>
        <w:tabs>
          <w:tab w:val="clear" w:pos="1080"/>
        </w:tabs>
        <w:ind w:hanging="0" w:start="0"/>
        <w:rPr/>
      </w:pPr>
      <w:r>
        <w:rPr>
          <w:u w:val="single"/>
        </w:rPr>
        <w:t>Applicable Laws</w:t>
      </w: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tabs>
          <w:tab w:val="clear" w:pos="1080"/>
        </w:tabs>
        <w:ind w:hanging="0" w:start="0"/>
        <w:rPr/>
      </w:pPr>
      <w:r>
        <w:rPr>
          <w:u w:val="single"/>
        </w:rPr>
        <w:t>Business Day</w:t>
      </w:r>
      <w:r>
        <w:rPr/>
        <w:t>.  Shall mean any calendar day on which commercial banks are not authorized or required to close in the State of New York.</w:t>
      </w:r>
    </w:p>
    <w:p>
      <w:pPr>
        <w:pStyle w:val="Heading2"/>
        <w:tabs>
          <w:tab w:val="clear" w:pos="1080"/>
        </w:tabs>
        <w:ind w:hanging="0" w:start="0"/>
        <w:rPr/>
      </w:pPr>
      <w:r>
        <w:rPr>
          <w:u w:val="single"/>
        </w:rPr>
        <w:t>Buy Back Amount</w:t>
      </w:r>
      <w:r>
        <w:rPr/>
        <w:t>.  Shall have the meaning set forth in Section 5.4.3.</w:t>
      </w:r>
    </w:p>
    <w:p>
      <w:pPr>
        <w:pStyle w:val="Heading2"/>
        <w:tabs>
          <w:tab w:val="clear" w:pos="1080"/>
        </w:tabs>
        <w:ind w:hanging="0" w:start="0"/>
        <w:rPr/>
      </w:pPr>
      <w:r>
        <w:rPr>
          <w:u w:val="single"/>
        </w:rPr>
        <w:t>Buy Back Option</w:t>
      </w:r>
      <w:r>
        <w:rPr/>
        <w:t>.  Shall have the meaning set forth in Section 5.4.3.</w:t>
      </w:r>
    </w:p>
    <w:p>
      <w:pPr>
        <w:pStyle w:val="Heading2"/>
        <w:tabs>
          <w:tab w:val="clear" w:pos="1080"/>
        </w:tabs>
        <w:ind w:hanging="0" w:start="0"/>
        <w:rPr/>
      </w:pPr>
      <w:r>
        <w:rPr>
          <w:u w:val="single"/>
        </w:rPr>
        <w:t>Cancellation Charge</w:t>
      </w:r>
      <w:r>
        <w:rPr/>
        <w:t>.  Shall have the meaning as set forth in Section 5.4.1(c).</w:t>
      </w:r>
    </w:p>
    <w:p>
      <w:pPr>
        <w:pStyle w:val="Heading2"/>
        <w:tabs>
          <w:tab w:val="clear" w:pos="1080"/>
        </w:tabs>
        <w:ind w:hanging="0" w:start="0"/>
        <w:rPr/>
      </w:pPr>
      <w:r>
        <w:rPr>
          <w:u w:val="single"/>
        </w:rPr>
        <w:t>Change in Law</w:t>
      </w:r>
      <w:r>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r>
        <w:rPr>
          <w:b/>
        </w:rPr>
        <w:t>[Note:  How will any Changes in Law occurring after the Effective Date of the WestdeutscheLB/ABB Agreement, but prior to this Agreement, be handled?]</w:t>
      </w:r>
    </w:p>
    <w:p>
      <w:pPr>
        <w:pStyle w:val="Heading2"/>
        <w:tabs>
          <w:tab w:val="clear" w:pos="1080"/>
        </w:tabs>
        <w:ind w:hanging="0" w:start="0"/>
        <w:rPr/>
      </w:pPr>
      <w:r>
        <w:rPr>
          <w:u w:val="single"/>
        </w:rPr>
        <w:t>Change Order</w:t>
      </w:r>
      <w:r>
        <w:rPr/>
        <w:t xml:space="preserve">.  Shall have the meaning as set forth in Section 11.2. </w:t>
      </w:r>
    </w:p>
    <w:p>
      <w:pPr>
        <w:pStyle w:val="Heading2"/>
        <w:tabs>
          <w:tab w:val="clear" w:pos="1080"/>
        </w:tabs>
        <w:ind w:hanging="0" w:start="0"/>
        <w:rPr/>
      </w:pPr>
      <w:r>
        <w:rPr>
          <w:u w:val="single"/>
        </w:rPr>
        <w:t>Commercial Operation</w:t>
      </w:r>
      <w:r>
        <w:rPr/>
        <w:t>.  Shall mean the reliable operation of the Unit by Purchaser in accordance with industry standards while the associated turbine is connected to the utility grid and producing electrical energy for sale.</w:t>
      </w:r>
    </w:p>
    <w:p>
      <w:pPr>
        <w:pStyle w:val="Heading2"/>
        <w:tabs>
          <w:tab w:val="clear" w:pos="1080"/>
        </w:tabs>
        <w:ind w:hanging="0" w:start="0"/>
        <w:rPr/>
      </w:pPr>
      <w:r>
        <w:rPr>
          <w:u w:val="single"/>
        </w:rPr>
        <w:t>Day</w:t>
      </w: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tabs>
          <w:tab w:val="clear" w:pos="1080"/>
        </w:tabs>
        <w:ind w:hanging="0" w:start="0"/>
        <w:rPr/>
      </w:pPr>
      <w:r>
        <w:rPr>
          <w:u w:val="single"/>
        </w:rPr>
        <w:t>Delay Event</w:t>
      </w:r>
      <w:r>
        <w:rPr/>
        <w:t>.  Shall have the meaning set forth in Section 10.3.1.</w:t>
      </w:r>
    </w:p>
    <w:p>
      <w:pPr>
        <w:pStyle w:val="Heading2"/>
        <w:tabs>
          <w:tab w:val="clear" w:pos="1080"/>
        </w:tabs>
        <w:ind w:hanging="0" w:start="0"/>
        <w:rPr/>
      </w:pPr>
      <w:r>
        <w:rPr>
          <w:u w:val="single"/>
        </w:rPr>
        <w:t>Delay Liquidated Damages</w:t>
      </w:r>
      <w:r>
        <w:rPr/>
        <w:t>.  Shall have the meaning set forth in Section 10.3.</w:t>
      </w:r>
    </w:p>
    <w:p>
      <w:pPr>
        <w:pStyle w:val="Heading2"/>
        <w:tabs>
          <w:tab w:val="clear" w:pos="1080"/>
        </w:tabs>
        <w:ind w:hanging="0" w:start="0"/>
        <w:rPr/>
      </w:pPr>
      <w:r>
        <w:rPr>
          <w:u w:val="single"/>
        </w:rPr>
        <w:t>Delivery Point</w:t>
      </w:r>
      <w:r>
        <w:rPr/>
        <w:t xml:space="preserve">.  For all Equipment, delivery shall mean Purchaser’s designated location. </w:t>
      </w:r>
    </w:p>
    <w:p>
      <w:pPr>
        <w:pStyle w:val="Heading2"/>
        <w:tabs>
          <w:tab w:val="clear" w:pos="1080"/>
        </w:tabs>
        <w:ind w:hanging="0" w:start="0"/>
        <w:rPr/>
      </w:pPr>
      <w:r>
        <w:rPr>
          <w:u w:val="single"/>
        </w:rPr>
        <w:t>Delivery Liquidated Damages</w:t>
      </w:r>
      <w:r>
        <w:rPr/>
        <w:t>.  Shall have the meaning set forth in Section 10.3.2.</w:t>
      </w:r>
    </w:p>
    <w:p>
      <w:pPr>
        <w:pStyle w:val="Heading2"/>
        <w:tabs>
          <w:tab w:val="clear" w:pos="1080"/>
        </w:tabs>
        <w:ind w:hanging="0" w:start="0"/>
        <w:rPr/>
      </w:pPr>
      <w:r>
        <w:rPr>
          <w:u w:val="single"/>
        </w:rPr>
        <w:t>Document Delivery Date</w:t>
      </w:r>
      <w:r>
        <w:rPr/>
        <w:t>.  Shall have the meaning as set forth in Section 10.1.</w:t>
      </w:r>
    </w:p>
    <w:p>
      <w:pPr>
        <w:pStyle w:val="Heading2"/>
        <w:tabs>
          <w:tab w:val="clear" w:pos="1080"/>
        </w:tabs>
        <w:ind w:hanging="0" w:start="0"/>
        <w:rPr/>
      </w:pPr>
      <w:r>
        <w:rPr>
          <w:u w:val="single"/>
        </w:rPr>
        <w:t>Document Liquidated Damages</w:t>
      </w:r>
      <w:r>
        <w:rPr/>
        <w:t>.  Shall have the meaning as set forth in Section 10.1.</w:t>
      </w:r>
    </w:p>
    <w:p>
      <w:pPr>
        <w:pStyle w:val="Heading2"/>
        <w:tabs>
          <w:tab w:val="clear" w:pos="1080"/>
        </w:tabs>
        <w:ind w:hanging="0" w:start="0"/>
        <w:rPr/>
      </w:pPr>
      <w:r>
        <w:rPr>
          <w:u w:val="single"/>
        </w:rPr>
        <w:t>Due Date</w:t>
      </w:r>
      <w:r>
        <w:rPr/>
        <w:t>.  Shall have the meaning set forth in Section 10.1.</w:t>
      </w:r>
    </w:p>
    <w:p>
      <w:pPr>
        <w:pStyle w:val="Heading2"/>
        <w:tabs>
          <w:tab w:val="clear" w:pos="1080"/>
        </w:tabs>
        <w:ind w:hanging="0" w:start="0"/>
        <w:rPr/>
      </w:pPr>
      <w:r>
        <w:rPr>
          <w:u w:val="single"/>
        </w:rPr>
        <w:t>Effective Date</w:t>
      </w:r>
      <w:r>
        <w:rPr/>
        <w:t>.  Shall have the meaning as set forth in Section 7.1.</w:t>
      </w:r>
    </w:p>
    <w:p>
      <w:pPr>
        <w:pStyle w:val="Heading2"/>
        <w:tabs>
          <w:tab w:val="clear" w:pos="1080"/>
        </w:tabs>
        <w:ind w:hanging="0" w:start="0"/>
        <w:rPr/>
      </w:pPr>
      <w:r>
        <w:rPr>
          <w:u w:val="single"/>
        </w:rPr>
        <w:t>Electrical Losses</w:t>
      </w:r>
      <w:r>
        <w:rPr/>
        <w:t>.  Shall mean the total losses of a Unit as defined in ANSI/IEEE, 1978, C57.12.80, Paragraph 3.7.2.</w:t>
      </w:r>
    </w:p>
    <w:p>
      <w:pPr>
        <w:pStyle w:val="Heading2"/>
        <w:tabs>
          <w:tab w:val="clear" w:pos="1080"/>
        </w:tabs>
        <w:ind w:hanging="0" w:start="0"/>
        <w:rPr/>
      </w:pPr>
      <w:r>
        <w:rPr>
          <w:u w:val="single"/>
        </w:rPr>
        <w:t>Electrical Losses Guarantee</w:t>
      </w:r>
      <w:r>
        <w:rPr/>
        <w:t>.  Shall have the meaning set forth in Section 10.4.1.</w:t>
      </w:r>
    </w:p>
    <w:p>
      <w:pPr>
        <w:pStyle w:val="Heading2"/>
        <w:tabs>
          <w:tab w:val="clear" w:pos="1080"/>
        </w:tabs>
        <w:ind w:hanging="0" w:start="0"/>
        <w:rPr/>
      </w:pPr>
      <w:r>
        <w:rPr>
          <w:u w:val="single"/>
        </w:rPr>
        <w:t>Electrical Losses Liquidated Damages</w:t>
      </w:r>
      <w:r>
        <w:rPr/>
        <w:t>.  Shall have the meaning set forth in Sections 10.4.3.</w:t>
      </w:r>
    </w:p>
    <w:p>
      <w:pPr>
        <w:pStyle w:val="Heading2"/>
        <w:tabs>
          <w:tab w:val="clear" w:pos="1080"/>
        </w:tabs>
        <w:ind w:hanging="0" w:start="0"/>
        <w:rPr/>
      </w:pPr>
      <w:r>
        <w:rPr>
          <w:u w:val="single"/>
        </w:rPr>
        <w:t>Equipment</w:t>
      </w:r>
      <w:r>
        <w:rPr/>
        <w:t>.  Shall mean the Units, equipment and materials required to manufacture, supply, and install the Units pursuant to this Agreement.</w:t>
      </w:r>
    </w:p>
    <w:p>
      <w:pPr>
        <w:pStyle w:val="Heading2"/>
        <w:tabs>
          <w:tab w:val="clear" w:pos="1080"/>
        </w:tabs>
        <w:ind w:hanging="0" w:start="0"/>
        <w:rPr/>
      </w:pPr>
      <w:r>
        <w:rPr>
          <w:u w:val="single"/>
        </w:rPr>
        <w:t>Event of Force Majeure</w:t>
      </w:r>
      <w:r>
        <w:rPr/>
        <w:t>.  Shall have the meaning as defined in Section 18.4.</w:t>
      </w:r>
    </w:p>
    <w:p>
      <w:pPr>
        <w:pStyle w:val="Heading2"/>
        <w:tabs>
          <w:tab w:val="clear" w:pos="1080"/>
        </w:tabs>
        <w:ind w:hanging="0" w:start="0"/>
        <w:rPr/>
      </w:pPr>
      <w:r>
        <w:rPr>
          <w:u w:val="single"/>
        </w:rPr>
        <w:t>Event of Purchaser Default</w:t>
      </w:r>
      <w:r>
        <w:rPr/>
        <w:t>.  Shall have the meaning as defined in Section 17.5.</w:t>
      </w:r>
    </w:p>
    <w:p>
      <w:pPr>
        <w:pStyle w:val="Heading2"/>
        <w:tabs>
          <w:tab w:val="clear" w:pos="1080"/>
        </w:tabs>
        <w:ind w:hanging="0" w:start="0"/>
        <w:rPr/>
      </w:pPr>
      <w:r>
        <w:rPr>
          <w:u w:val="single"/>
        </w:rPr>
        <w:t>Event of Seller Default</w:t>
      </w:r>
      <w:r>
        <w:rPr/>
        <w:t>.  Shall have the meaning as defined in Section 17.1.</w:t>
      </w:r>
    </w:p>
    <w:p>
      <w:pPr>
        <w:pStyle w:val="Heading2"/>
        <w:tabs>
          <w:tab w:val="clear" w:pos="1080"/>
        </w:tabs>
        <w:ind w:hanging="0" w:start="0"/>
        <w:rPr/>
      </w:pPr>
      <w:r>
        <w:rPr>
          <w:u w:val="single"/>
        </w:rPr>
        <w:t>Excess Termination Costs</w:t>
      </w:r>
      <w:r>
        <w:rPr/>
        <w:t>.  Shall have the meaning set forth in Section 17.4.3.</w:t>
      </w:r>
    </w:p>
    <w:p>
      <w:pPr>
        <w:pStyle w:val="Heading2"/>
        <w:tabs>
          <w:tab w:val="clear" w:pos="1080"/>
        </w:tabs>
        <w:ind w:hanging="0" w:start="0"/>
        <w:rPr/>
      </w:pPr>
      <w:r>
        <w:rPr>
          <w:u w:val="single"/>
        </w:rPr>
        <w:t>Extended Warranty Period</w:t>
      </w:r>
      <w:r>
        <w:rPr/>
        <w:t xml:space="preserve">.  Shall have the meaning as set forth in Section 14.2.1. </w:t>
      </w:r>
    </w:p>
    <w:p>
      <w:pPr>
        <w:pStyle w:val="Heading2"/>
        <w:tabs>
          <w:tab w:val="clear" w:pos="1080"/>
        </w:tabs>
        <w:ind w:hanging="0" w:start="0"/>
        <w:rPr/>
      </w:pPr>
      <w:r>
        <w:rPr>
          <w:u w:val="single"/>
        </w:rPr>
        <w:t>Facility</w:t>
      </w:r>
      <w:r>
        <w:rPr/>
        <w:t xml:space="preserve">.  Shall have the meaning set forth in the Recitals. </w:t>
      </w:r>
    </w:p>
    <w:p>
      <w:pPr>
        <w:pStyle w:val="Heading2"/>
        <w:tabs>
          <w:tab w:val="clear" w:pos="1080"/>
        </w:tabs>
        <w:ind w:hanging="0" w:start="0"/>
        <w:rPr/>
      </w:pPr>
      <w:r>
        <w:rPr>
          <w:u w:val="single"/>
        </w:rPr>
        <w:t>Facility Agreement</w:t>
      </w:r>
      <w:r>
        <w:rPr/>
        <w:t>.  Shall have the meaning set forth in Section 22.2.</w:t>
      </w:r>
    </w:p>
    <w:p>
      <w:pPr>
        <w:pStyle w:val="Heading2"/>
        <w:tabs>
          <w:tab w:val="clear" w:pos="1080"/>
        </w:tabs>
        <w:ind w:hanging="0" w:start="0"/>
        <w:rPr/>
      </w:pPr>
      <w:r>
        <w:rPr>
          <w:u w:val="single"/>
        </w:rPr>
        <w:t>Guaranteed Installation Date</w:t>
      </w:r>
      <w:r>
        <w:rPr/>
        <w:t xml:space="preserve">.  Shall have the meaning as set forth in Section 10.2.1. </w:t>
      </w:r>
    </w:p>
    <w:p>
      <w:pPr>
        <w:pStyle w:val="Heading2"/>
        <w:tabs>
          <w:tab w:val="clear" w:pos="1080"/>
        </w:tabs>
        <w:ind w:hanging="0" w:start="0"/>
        <w:rPr/>
      </w:pPr>
      <w:r>
        <w:rPr>
          <w:u w:val="single"/>
        </w:rPr>
        <w:t>Guaranteed Unit Delivery Date</w:t>
      </w:r>
      <w:r>
        <w:rPr/>
        <w:t>.  Shall have the meaning as set forth in Section 10.3.2.</w:t>
      </w:r>
    </w:p>
    <w:p>
      <w:pPr>
        <w:pStyle w:val="Heading2"/>
        <w:tabs>
          <w:tab w:val="clear" w:pos="1080"/>
        </w:tabs>
        <w:ind w:hanging="0" w:start="0"/>
        <w:rPr/>
      </w:pPr>
      <w:r>
        <w:rPr>
          <w:u w:val="single"/>
        </w:rPr>
        <w:t>Hazardous Materials</w:t>
      </w: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tabs>
          <w:tab w:val="clear" w:pos="1080"/>
        </w:tabs>
        <w:ind w:hanging="0" w:start="0"/>
        <w:rPr/>
      </w:pPr>
      <w:r>
        <w:rPr>
          <w:u w:val="single"/>
        </w:rPr>
        <w:t>Indemnified Party</w:t>
      </w:r>
      <w:r>
        <w:rPr/>
        <w:t>.  Shall have the meaning as set forth in Section 20.2.</w:t>
      </w:r>
    </w:p>
    <w:p>
      <w:pPr>
        <w:pStyle w:val="Heading2"/>
        <w:tabs>
          <w:tab w:val="clear" w:pos="1080"/>
        </w:tabs>
        <w:ind w:hanging="0" w:start="0"/>
        <w:rPr/>
      </w:pPr>
      <w:r>
        <w:rPr>
          <w:u w:val="single"/>
        </w:rPr>
        <w:t>Installation Completion</w:t>
      </w:r>
      <w:r>
        <w:rPr/>
        <w:t xml:space="preserve">.   Shall have the meaning set forth in Section 10.2.1. </w:t>
      </w:r>
    </w:p>
    <w:p>
      <w:pPr>
        <w:pStyle w:val="Heading2"/>
        <w:tabs>
          <w:tab w:val="clear" w:pos="1080"/>
        </w:tabs>
        <w:ind w:hanging="0" w:start="0"/>
        <w:rPr/>
      </w:pPr>
      <w:r>
        <w:rPr>
          <w:u w:val="single"/>
        </w:rPr>
        <w:t>Installation Liquidated Damages</w:t>
      </w:r>
      <w:r>
        <w:rPr/>
        <w:t>. Shall have the meaning set forth in Section 10.3.1.</w:t>
      </w:r>
    </w:p>
    <w:p>
      <w:pPr>
        <w:pStyle w:val="Heading2"/>
        <w:tabs>
          <w:tab w:val="clear" w:pos="1080"/>
        </w:tabs>
        <w:ind w:hanging="0" w:start="0"/>
        <w:rPr/>
      </w:pPr>
      <w:r>
        <w:rPr>
          <w:u w:val="single"/>
        </w:rPr>
        <w:t>Installation Option</w:t>
      </w:r>
      <w:r>
        <w:rPr/>
        <w:t>.   Shall mean Purchaser’s option to have Seller install the Units at the Site in accordance with Section 3.2.2.</w:t>
      </w:r>
    </w:p>
    <w:p>
      <w:pPr>
        <w:pStyle w:val="Heading2"/>
        <w:tabs>
          <w:tab w:val="clear" w:pos="1080"/>
        </w:tabs>
        <w:ind w:hanging="0" w:start="0"/>
        <w:rPr/>
      </w:pPr>
      <w:r>
        <w:rPr>
          <w:u w:val="single"/>
        </w:rPr>
        <w:t>Insurability Certificate</w:t>
      </w:r>
      <w:r>
        <w:rPr/>
        <w:t>.  Shall have the meaning as set forth in Section 3.10.2.</w:t>
      </w:r>
    </w:p>
    <w:p>
      <w:pPr>
        <w:pStyle w:val="Heading2"/>
        <w:tabs>
          <w:tab w:val="clear" w:pos="1080"/>
        </w:tabs>
        <w:ind w:hanging="0" w:start="0"/>
        <w:rPr/>
      </w:pPr>
      <w:r>
        <w:rPr>
          <w:u w:val="single"/>
        </w:rPr>
        <w:t>Insurance Representative</w:t>
      </w:r>
      <w:r>
        <w:rPr/>
        <w:t>.  Shall have the meaning as set forth in Section 3.10.1.</w:t>
      </w:r>
    </w:p>
    <w:p>
      <w:pPr>
        <w:pStyle w:val="Heading2"/>
        <w:tabs>
          <w:tab w:val="clear" w:pos="1080"/>
        </w:tabs>
        <w:ind w:hanging="0" w:start="0"/>
        <w:rPr/>
      </w:pPr>
      <w:r>
        <w:rPr>
          <w:u w:val="single"/>
        </w:rPr>
        <w:t>Interest Rate</w:t>
      </w:r>
      <w:r>
        <w:rPr/>
        <w:t>.  Shall mean the prime rate as published by Citibank at its New York office plus two percent (2%) per annum, provided however, that the Interest Rate shall never exceed the highest applicable lawful rate.</w:t>
      </w:r>
    </w:p>
    <w:p>
      <w:pPr>
        <w:pStyle w:val="Heading2"/>
        <w:tabs>
          <w:tab w:val="clear" w:pos="1080"/>
        </w:tabs>
        <w:ind w:hanging="0" w:start="0"/>
        <w:rPr/>
      </w:pPr>
      <w:r>
        <w:rPr>
          <w:u w:val="single"/>
        </w:rPr>
        <w:t>kW</w:t>
      </w:r>
      <w:r>
        <w:rPr/>
        <w:t>.  Shall mean kilowatt.</w:t>
      </w:r>
    </w:p>
    <w:p>
      <w:pPr>
        <w:pStyle w:val="Heading2"/>
        <w:tabs>
          <w:tab w:val="clear" w:pos="1080"/>
        </w:tabs>
        <w:ind w:hanging="0" w:start="0"/>
        <w:rPr/>
      </w:pPr>
      <w:r>
        <w:rPr>
          <w:u w:val="single"/>
        </w:rPr>
        <w:t>kWh or kwh</w:t>
      </w:r>
      <w:r>
        <w:rPr/>
        <w:t>.  Shall mean kilowatt hour.</w:t>
      </w:r>
    </w:p>
    <w:p>
      <w:pPr>
        <w:pStyle w:val="Heading2"/>
        <w:tabs>
          <w:tab w:val="clear" w:pos="1080"/>
        </w:tabs>
        <w:ind w:hanging="0" w:start="0"/>
        <w:rPr/>
      </w:pPr>
      <w:r>
        <w:rPr>
          <w:u w:val="single"/>
        </w:rPr>
        <w:t>Lender</w:t>
      </w:r>
      <w:r>
        <w:rPr/>
        <w:t>.  Shall mean any financial institution from which Purchaser is obtaining (or has obtained) financing in connection with the Facility and associated facilities and services.</w:t>
      </w:r>
    </w:p>
    <w:p>
      <w:pPr>
        <w:pStyle w:val="Heading2"/>
        <w:tabs>
          <w:tab w:val="clear" w:pos="1080"/>
        </w:tabs>
        <w:ind w:hanging="0" w:start="0"/>
        <w:rPr/>
      </w:pPr>
      <w:r>
        <w:rPr>
          <w:u w:val="single"/>
        </w:rPr>
        <w:t>Liquidated Damages</w:t>
      </w:r>
      <w:r>
        <w:rPr/>
        <w:t xml:space="preserve">.  Shall mean any or all Document Liquidated Damages, Delivery Liquidated Damages, Installation Liquidated Damages, Operable Delay Liquidated Damages and/or Electrical Losses Liquidated Damages. </w:t>
      </w:r>
    </w:p>
    <w:p>
      <w:pPr>
        <w:pStyle w:val="Heading2"/>
        <w:tabs>
          <w:tab w:val="clear" w:pos="1080"/>
        </w:tabs>
        <w:ind w:hanging="0" w:start="0"/>
        <w:rPr/>
      </w:pPr>
      <w:r>
        <w:rPr>
          <w:u w:val="single"/>
        </w:rPr>
        <w:t>Liquidated Damages Event</w:t>
      </w:r>
      <w:r>
        <w:rPr/>
        <w:t>.  Shall have the meaning set forth in Section 10.7.</w:t>
      </w:r>
    </w:p>
    <w:p>
      <w:pPr>
        <w:pStyle w:val="Heading2"/>
        <w:tabs>
          <w:tab w:val="clear" w:pos="1080"/>
        </w:tabs>
        <w:ind w:hanging="0" w:start="0"/>
        <w:rPr/>
      </w:pPr>
      <w:r>
        <w:rPr>
          <w:u w:val="single"/>
        </w:rPr>
        <w:t>Marketing Agreement</w:t>
      </w:r>
      <w:r>
        <w:rPr/>
        <w:t>.  Shall have the meaning as set forth in Section 5.4.2.</w:t>
      </w:r>
    </w:p>
    <w:p>
      <w:pPr>
        <w:pStyle w:val="Heading2"/>
        <w:tabs>
          <w:tab w:val="clear" w:pos="1080"/>
        </w:tabs>
        <w:ind w:hanging="0" w:start="0"/>
        <w:rPr/>
      </w:pPr>
      <w:r>
        <w:rPr>
          <w:u w:val="single"/>
        </w:rPr>
        <w:t>Milestone</w:t>
      </w:r>
      <w:r>
        <w:rPr/>
        <w:t>.  Shall mean an event that triggers a responsibility of Purchaser to pay a Milestone Payment Amount as set forth and listed in Section 6.1.2.</w:t>
      </w:r>
    </w:p>
    <w:p>
      <w:pPr>
        <w:pStyle w:val="Heading2"/>
        <w:tabs>
          <w:tab w:val="clear" w:pos="1080"/>
        </w:tabs>
        <w:ind w:hanging="0" w:start="0"/>
        <w:rPr/>
      </w:pPr>
      <w:r>
        <w:rPr>
          <w:u w:val="single"/>
        </w:rPr>
        <w:t>Milestone Payment Amount</w:t>
      </w:r>
      <w:r>
        <w:rPr/>
        <w:t>.  Shall mean the percentage of the Purchase Amount due to Seller from Purchaser as set forth in Section 6.1.2.</w:t>
      </w:r>
    </w:p>
    <w:p>
      <w:pPr>
        <w:pStyle w:val="Heading2"/>
        <w:tabs>
          <w:tab w:val="clear" w:pos="1080"/>
        </w:tabs>
        <w:ind w:hanging="0" w:start="0"/>
        <w:rPr/>
      </w:pPr>
      <w:r>
        <w:rPr>
          <w:u w:val="single"/>
        </w:rPr>
        <w:t>Minimum Electrical Losses Guarantee</w:t>
      </w:r>
      <w:r>
        <w:rPr/>
        <w:t>.  Shall have the meaning as set forth in Section 10.4.2.</w:t>
      </w:r>
    </w:p>
    <w:p>
      <w:pPr>
        <w:pStyle w:val="Heading2"/>
        <w:tabs>
          <w:tab w:val="clear" w:pos="1080"/>
        </w:tabs>
        <w:ind w:hanging="0" w:start="0"/>
        <w:rPr/>
      </w:pPr>
      <w:r>
        <w:rPr>
          <w:u w:val="single"/>
        </w:rPr>
        <w:t>Net Cancellation Charge</w:t>
      </w:r>
      <w:r>
        <w:rPr/>
        <w:t>.  Shall have the meaning as set forth in Section 5.4.1(b).</w:t>
      </w:r>
    </w:p>
    <w:p>
      <w:pPr>
        <w:pStyle w:val="Heading2"/>
        <w:tabs>
          <w:tab w:val="clear" w:pos="1080"/>
        </w:tabs>
        <w:ind w:hanging="0" w:start="0"/>
        <w:rPr/>
      </w:pPr>
      <w:r>
        <w:rPr>
          <w:u w:val="single"/>
        </w:rPr>
        <w:t>Notice</w:t>
      </w:r>
      <w:r>
        <w:rPr/>
        <w:t>.  Shall mean any notification of one party hereto by the other party hereto with respect to any matter arising under or in connection with this Agreement, to be given as provided in Section 25.1 hereof.</w:t>
      </w:r>
    </w:p>
    <w:p>
      <w:pPr>
        <w:pStyle w:val="Heading2"/>
        <w:tabs>
          <w:tab w:val="clear" w:pos="1080"/>
        </w:tabs>
        <w:ind w:hanging="0" w:start="0"/>
        <w:rPr/>
      </w:pPr>
      <w:r>
        <w:rPr>
          <w:u w:val="single"/>
        </w:rPr>
        <w:t>O &amp; M Spare Parts</w:t>
      </w:r>
      <w:r>
        <w:rPr/>
        <w:t>.  Shall have the meaning set forth in Section 3.14.2 and as set forth in Exhibit M-1.</w:t>
      </w:r>
    </w:p>
    <w:p>
      <w:pPr>
        <w:pStyle w:val="Heading2"/>
        <w:tabs>
          <w:tab w:val="clear" w:pos="1080"/>
        </w:tabs>
        <w:ind w:hanging="0" w:start="0"/>
        <w:rPr/>
      </w:pPr>
      <w:r>
        <w:rPr>
          <w:u w:val="single"/>
        </w:rPr>
        <w:t>O &amp; M Spare Parts Amount</w:t>
      </w:r>
      <w:r>
        <w:rPr/>
        <w:t>.  Shall have the meaning as set forth in Section 3.14.2.</w:t>
      </w:r>
    </w:p>
    <w:p>
      <w:pPr>
        <w:pStyle w:val="Heading2"/>
        <w:tabs>
          <w:tab w:val="clear" w:pos="1080"/>
        </w:tabs>
        <w:ind w:hanging="0" w:start="0"/>
        <w:rPr/>
      </w:pPr>
      <w:r>
        <w:rPr>
          <w:u w:val="single"/>
        </w:rPr>
        <w:t>Operable Delay Liquidated Damages</w:t>
      </w:r>
      <w:r>
        <w:rPr/>
        <w:t>.  Shall have the meaning as set forth in Section 10.3.1.</w:t>
      </w:r>
    </w:p>
    <w:p>
      <w:pPr>
        <w:pStyle w:val="Heading2"/>
        <w:tabs>
          <w:tab w:val="clear" w:pos="1080"/>
        </w:tabs>
        <w:ind w:hanging="0" w:start="0"/>
        <w:rPr/>
      </w:pPr>
      <w:r>
        <w:rPr>
          <w:u w:val="single"/>
        </w:rPr>
        <w:t>Patent Indemnitees</w:t>
      </w:r>
      <w:r>
        <w:rPr/>
        <w:t>.  Shall have the meaning as set forth in Section 15.2.2.</w:t>
      </w:r>
    </w:p>
    <w:p>
      <w:pPr>
        <w:pStyle w:val="Heading2"/>
        <w:tabs>
          <w:tab w:val="clear" w:pos="1080"/>
        </w:tabs>
        <w:ind w:hanging="0" w:start="0"/>
        <w:rPr/>
      </w:pPr>
      <w:r>
        <w:rPr>
          <w:u w:val="single"/>
        </w:rPr>
        <w:t>Performance Test</w:t>
      </w:r>
      <w:r>
        <w:rPr/>
        <w:t>.  Shall mean the factory and field tests as listed in Exhibit E and conducted on the Units in accordance with this Specification.</w:t>
      </w:r>
    </w:p>
    <w:p>
      <w:pPr>
        <w:pStyle w:val="Heading2"/>
        <w:tabs>
          <w:tab w:val="clear" w:pos="1080"/>
        </w:tabs>
        <w:ind w:hanging="0" w:start="0"/>
        <w:rPr/>
      </w:pPr>
      <w:r>
        <w:rPr>
          <w:u w:val="single"/>
        </w:rPr>
        <w:t>Performance Test Certificate</w:t>
      </w: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tabs>
          <w:tab w:val="clear" w:pos="1080"/>
        </w:tabs>
        <w:ind w:hanging="0" w:start="0"/>
        <w:rPr/>
      </w:pPr>
      <w:r>
        <w:rPr>
          <w:u w:val="single"/>
        </w:rPr>
        <w:t>Primary Warranty Period</w:t>
      </w:r>
      <w:r>
        <w:rPr/>
        <w:t>.  Shall have the meaning as set forth in Section 14.1.1.</w:t>
      </w:r>
    </w:p>
    <w:p>
      <w:pPr>
        <w:pStyle w:val="Heading2"/>
        <w:tabs>
          <w:tab w:val="clear" w:pos="1080"/>
        </w:tabs>
        <w:ind w:hanging="0" w:start="0"/>
        <w:rPr/>
      </w:pPr>
      <w:r>
        <w:rPr>
          <w:u w:val="single"/>
        </w:rPr>
        <w:t>Project Manager</w:t>
      </w:r>
      <w:r>
        <w:rPr/>
        <w:t>.  Shall mean the project manager designated by Seller pursuant to Section 3.3(a) hereof.</w:t>
      </w:r>
    </w:p>
    <w:p>
      <w:pPr>
        <w:pStyle w:val="Heading2"/>
        <w:tabs>
          <w:tab w:val="clear" w:pos="1080"/>
        </w:tabs>
        <w:ind w:hanging="0" w:start="0"/>
        <w:rPr/>
      </w:pPr>
      <w:r>
        <w:rPr>
          <w:u w:val="single"/>
        </w:rPr>
        <w:t>Proper Scope Value</w:t>
      </w:r>
      <w:r>
        <w:rPr/>
        <w:t>.  Shall have the meaning as set forth in Section 17.4.1.</w:t>
      </w:r>
    </w:p>
    <w:p>
      <w:pPr>
        <w:pStyle w:val="Heading2"/>
        <w:tabs>
          <w:tab w:val="clear" w:pos="1080"/>
        </w:tabs>
        <w:ind w:hanging="0" w:start="0"/>
        <w:rPr/>
      </w:pPr>
      <w:r>
        <w:rPr>
          <w:u w:val="single"/>
        </w:rPr>
        <w:t>Purchase Amount</w:t>
      </w:r>
      <w:r>
        <w:rPr/>
        <w:t>.  Shall have the meaning set forth in Section 5.1.1, as such amount may be adjusted from time to time.</w:t>
      </w:r>
    </w:p>
    <w:p>
      <w:pPr>
        <w:pStyle w:val="Heading2"/>
        <w:tabs>
          <w:tab w:val="clear" w:pos="1080"/>
        </w:tabs>
        <w:ind w:hanging="0" w:start="0"/>
        <w:rPr/>
      </w:pPr>
      <w:r>
        <w:rPr>
          <w:u w:val="single"/>
        </w:rPr>
        <w:t>Purchaser</w:t>
      </w:r>
      <w:r>
        <w:rPr/>
        <w:t>.  Shall have the meaning set forth in the preliminary statements.</w:t>
      </w:r>
    </w:p>
    <w:p>
      <w:pPr>
        <w:pStyle w:val="Heading2"/>
        <w:tabs>
          <w:tab w:val="clear" w:pos="1080"/>
        </w:tabs>
        <w:ind w:hanging="0" w:start="0"/>
        <w:rPr/>
      </w:pPr>
      <w:r>
        <w:rPr>
          <w:u w:val="single"/>
        </w:rPr>
        <w:t>Purchaser’s Representative</w:t>
      </w:r>
      <w:r>
        <w:rPr/>
        <w:t>.  Shall mean the individual designated by Purchaser pursuant to Section 2.1(a) hereof, who shall have the responsibility and authority specifically delegated to such individual by Purchaser and made known in writing to Seller.</w:t>
      </w:r>
    </w:p>
    <w:p>
      <w:pPr>
        <w:pStyle w:val="Heading2"/>
        <w:tabs>
          <w:tab w:val="clear" w:pos="1080"/>
        </w:tabs>
        <w:ind w:hanging="0" w:start="0"/>
        <w:rPr/>
      </w:pPr>
      <w:r>
        <w:rPr>
          <w:u w:val="single"/>
        </w:rPr>
        <w:t>Related Dispute</w:t>
      </w:r>
      <w:r>
        <w:rPr/>
        <w:t>.  Shall have the meaning set forth in Section 26.2.</w:t>
      </w:r>
    </w:p>
    <w:p>
      <w:pPr>
        <w:pStyle w:val="Heading2"/>
        <w:tabs>
          <w:tab w:val="clear" w:pos="1080"/>
        </w:tabs>
        <w:ind w:hanging="0" w:start="0"/>
        <w:rPr/>
      </w:pPr>
      <w:r>
        <w:rPr>
          <w:u w:val="single"/>
        </w:rPr>
        <w:t>Refund Amount</w:t>
      </w:r>
      <w:r>
        <w:rPr/>
        <w:t>.  Shall have the meaning as set forth in Section 17.4.1.</w:t>
      </w:r>
    </w:p>
    <w:p>
      <w:pPr>
        <w:pStyle w:val="Heading2"/>
        <w:tabs>
          <w:tab w:val="clear" w:pos="1080"/>
        </w:tabs>
        <w:ind w:hanging="0" w:start="0"/>
        <w:rPr/>
      </w:pPr>
      <w:r>
        <w:rPr>
          <w:u w:val="single"/>
        </w:rPr>
        <w:t>Retention Amount</w:t>
      </w:r>
      <w:r>
        <w:rPr/>
        <w:t>.  Shall have the meaning as set forth in Section 6.1.3.</w:t>
      </w:r>
    </w:p>
    <w:p>
      <w:pPr>
        <w:pStyle w:val="Heading2"/>
        <w:tabs>
          <w:tab w:val="clear" w:pos="1080"/>
        </w:tabs>
        <w:ind w:hanging="0" w:start="0"/>
        <w:rPr/>
      </w:pPr>
      <w:r>
        <w:rPr>
          <w:u w:val="single"/>
        </w:rPr>
        <w:t>Retention Surety Bond</w:t>
      </w:r>
      <w:r>
        <w:rPr/>
        <w:t>.  Shall have the meaning as set forth in Section 6.1.3.</w:t>
      </w:r>
    </w:p>
    <w:p>
      <w:pPr>
        <w:pStyle w:val="Heading2"/>
        <w:tabs>
          <w:tab w:val="clear" w:pos="1080"/>
        </w:tabs>
        <w:ind w:hanging="0" w:start="0"/>
        <w:rPr/>
      </w:pPr>
      <w:r>
        <w:rPr>
          <w:u w:val="single"/>
        </w:rPr>
        <w:t>Scope of Supply</w:t>
      </w:r>
      <w:r>
        <w:rPr/>
        <w:t>.  Shall have the meaning as set forth in Exhibit B.</w:t>
      </w:r>
    </w:p>
    <w:p>
      <w:pPr>
        <w:pStyle w:val="Heading2"/>
        <w:tabs>
          <w:tab w:val="clear" w:pos="1080"/>
        </w:tabs>
        <w:ind w:hanging="0" w:start="0"/>
        <w:rPr/>
      </w:pPr>
      <w:r>
        <w:rPr>
          <w:u w:val="single"/>
        </w:rPr>
        <w:t>Scope of Work</w:t>
      </w: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tabs>
          <w:tab w:val="clear" w:pos="1080"/>
        </w:tabs>
        <w:ind w:hanging="0" w:start="0"/>
        <w:rPr/>
      </w:pPr>
      <w:r>
        <w:rPr>
          <w:u w:val="single"/>
        </w:rPr>
        <w:t>Scope Value Due</w:t>
      </w:r>
      <w:r>
        <w:rPr/>
        <w:t>.  Shall have the meaning as set forth in Section 17.4.1.</w:t>
      </w:r>
    </w:p>
    <w:p>
      <w:pPr>
        <w:pStyle w:val="Heading2"/>
        <w:tabs>
          <w:tab w:val="clear" w:pos="1080"/>
        </w:tabs>
        <w:ind w:hanging="0" w:start="0"/>
        <w:rPr/>
      </w:pPr>
      <w:r>
        <w:rPr>
          <w:u w:val="single"/>
        </w:rPr>
        <w:t>Seller</w:t>
      </w:r>
      <w:r>
        <w:rPr/>
        <w:t>.  Shall have the meaning set forth in the preliminary statements.</w:t>
      </w:r>
    </w:p>
    <w:p>
      <w:pPr>
        <w:pStyle w:val="Heading2"/>
        <w:tabs>
          <w:tab w:val="clear" w:pos="1080"/>
        </w:tabs>
        <w:ind w:hanging="0" w:start="0"/>
        <w:rPr/>
      </w:pPr>
      <w:r>
        <w:rPr>
          <w:u w:val="single"/>
        </w:rPr>
        <w:t>Site</w:t>
      </w:r>
      <w:r>
        <w:rPr/>
        <w:t>.  Shall mean any part of the land where the referenced Facility is located.</w:t>
      </w:r>
    </w:p>
    <w:p>
      <w:pPr>
        <w:pStyle w:val="Heading2"/>
        <w:tabs>
          <w:tab w:val="clear" w:pos="1080"/>
        </w:tabs>
        <w:ind w:hanging="0" w:start="0"/>
        <w:rPr/>
      </w:pPr>
      <w:r>
        <w:rPr>
          <w:u w:val="single"/>
        </w:rPr>
        <w:t>Specification</w:t>
      </w:r>
      <w:r>
        <w:rPr/>
        <w:t>.  Shall mean the specifications issued by Purchaser for the design, manufacture, assembly, and supply of the Units as set forth in Exhibit B-1.</w:t>
      </w:r>
    </w:p>
    <w:p>
      <w:pPr>
        <w:pStyle w:val="Heading2"/>
        <w:tabs>
          <w:tab w:val="clear" w:pos="1080"/>
        </w:tabs>
        <w:ind w:hanging="0" w:start="0"/>
        <w:rPr/>
      </w:pPr>
      <w:r>
        <w:rPr>
          <w:u w:val="single"/>
        </w:rPr>
        <w:t>Termination Costs</w:t>
      </w:r>
      <w:r>
        <w:rPr/>
        <w:t>.  Shall have the meaning as set forth in Section 17.4.2.</w:t>
      </w:r>
    </w:p>
    <w:p>
      <w:pPr>
        <w:pStyle w:val="Heading2"/>
        <w:tabs>
          <w:tab w:val="clear" w:pos="1080"/>
        </w:tabs>
        <w:ind w:hanging="0" w:start="0"/>
        <w:rPr/>
      </w:pPr>
      <w:r>
        <w:rPr>
          <w:u w:val="single"/>
        </w:rPr>
        <w:t>Termination Settlement</w:t>
      </w:r>
      <w:r>
        <w:rPr/>
        <w:t>.  Shall have the meaning as set forth in Section 17.4.4.</w:t>
      </w:r>
    </w:p>
    <w:p>
      <w:pPr>
        <w:pStyle w:val="Heading2"/>
        <w:tabs>
          <w:tab w:val="clear" w:pos="1080"/>
        </w:tabs>
        <w:ind w:hanging="0" w:start="0"/>
        <w:rPr/>
      </w:pPr>
      <w:r>
        <w:rPr>
          <w:u w:val="single"/>
        </w:rPr>
        <w:t>Test Procedures</w:t>
      </w:r>
      <w:r>
        <w:rPr/>
        <w:t>.  Shall have the meaning as set forth in Exhibit B-1.</w:t>
      </w:r>
    </w:p>
    <w:p>
      <w:pPr>
        <w:pStyle w:val="Heading2"/>
        <w:tabs>
          <w:tab w:val="clear" w:pos="1080"/>
        </w:tabs>
        <w:ind w:hanging="0" w:start="0"/>
        <w:rPr/>
      </w:pPr>
      <w:r>
        <w:rPr>
          <w:u w:val="single"/>
        </w:rPr>
        <w:t>Unit</w:t>
      </w:r>
      <w:r>
        <w:rPr/>
        <w:t>.  Singularly, any of the step-up transformer packages that Seller is furnishing to Purchaser under this Agreement and equipment associated with said transformers.</w:t>
      </w:r>
    </w:p>
    <w:p>
      <w:pPr>
        <w:pStyle w:val="Heading2"/>
        <w:tabs>
          <w:tab w:val="clear" w:pos="1080"/>
        </w:tabs>
        <w:ind w:hanging="0" w:start="0"/>
        <w:rPr/>
      </w:pPr>
      <w:r>
        <w:rPr>
          <w:u w:val="single"/>
        </w:rPr>
        <w:t>Vendor</w:t>
      </w:r>
      <w:r>
        <w:rPr/>
        <w:t>.  Shall mean any vendor, supplier or subcontractor utilized by Seller in the performance of the Scope of Work hereunder.</w:t>
      </w:r>
    </w:p>
    <w:p>
      <w:pPr>
        <w:pStyle w:val="Heading1"/>
        <w:tabs>
          <w:tab w:val="clear" w:pos="1080"/>
        </w:tabs>
        <w:ind w:hanging="0" w:start="0"/>
        <w:rPr/>
      </w:pPr>
      <w:r>
        <w:rPr/>
        <w:t xml:space="preserve">RESPONSIBILITIES OF PURCHASER </w:t>
      </w:r>
    </w:p>
    <w:p>
      <w:pPr>
        <w:pStyle w:val="Heading2"/>
        <w:tabs>
          <w:tab w:val="clear" w:pos="1080"/>
        </w:tabs>
        <w:ind w:hanging="0" w:start="0"/>
        <w:rPr/>
      </w:pPr>
      <w:r>
        <w:rPr>
          <w:u w:val="single"/>
        </w:rPr>
        <w:t>Purchaser’s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tabs>
          <w:tab w:val="clear" w:pos="2160"/>
        </w:tabs>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tabs>
          <w:tab w:val="clear" w:pos="2160"/>
        </w:tabs>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tabs>
          <w:tab w:val="clear" w:pos="2160"/>
        </w:tabs>
        <w:ind w:hanging="0" w:start="0"/>
        <w:rPr/>
      </w:pPr>
      <w:r>
        <w:rPr/>
        <w:t xml:space="preserve">Purchaser shall pay to Seller the sums required to be paid by Purchaser pursuant to the terms of this Agreement; </w:t>
      </w:r>
    </w:p>
    <w:p>
      <w:pPr>
        <w:pStyle w:val="Heading4"/>
        <w:tabs>
          <w:tab w:val="clear" w:pos="2160"/>
        </w:tabs>
        <w:ind w:hanging="0" w:start="0"/>
        <w:rPr/>
      </w:pPr>
      <w:r>
        <w:rPr/>
        <w:t>provide adequate road access to the Facility from the nearest major highway; and</w:t>
      </w:r>
    </w:p>
    <w:p>
      <w:pPr>
        <w:pStyle w:val="Heading4"/>
        <w:tabs>
          <w:tab w:val="clear" w:pos="2160"/>
        </w:tabs>
        <w:ind w:hanging="0" w:start="0"/>
        <w:rPr/>
      </w:pPr>
      <w:r>
        <w:rPr/>
        <w:t>the Units shall be installed, operated and maintained by or on behalf of  Purchaser as identified in Exhibit B-1 and as otherwise stated in this Agreement.</w:t>
      </w:r>
    </w:p>
    <w:p>
      <w:pPr>
        <w:pStyle w:val="Heading2"/>
        <w:tabs>
          <w:tab w:val="clear" w:pos="1080"/>
        </w:tabs>
        <w:ind w:hanging="0" w:start="0"/>
        <w:rPr/>
      </w:pPr>
      <w:r>
        <w:rPr>
          <w:u w:val="single"/>
        </w:rPr>
        <w:t>Not Used</w:t>
      </w:r>
      <w:r>
        <w:rPr/>
        <w:t>.</w:t>
      </w:r>
    </w:p>
    <w:p>
      <w:pPr>
        <w:pStyle w:val="Heading1"/>
        <w:tabs>
          <w:tab w:val="clear" w:pos="1080"/>
        </w:tabs>
        <w:ind w:hanging="0" w:start="0"/>
        <w:rPr/>
      </w:pPr>
      <w:r>
        <w:rPr/>
        <w:t>RESPONSIBILITIES OF SELLER</w:t>
      </w:r>
    </w:p>
    <w:p>
      <w:pPr>
        <w:pStyle w:val="Heading2"/>
        <w:tabs>
          <w:tab w:val="clear" w:pos="1080"/>
        </w:tabs>
        <w:ind w:hanging="0" w:start="0"/>
        <w:rPr/>
      </w:pPr>
      <w:r>
        <w:rPr>
          <w:u w:val="single"/>
        </w:rPr>
        <w:t>General Obligations</w:t>
      </w: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tabs>
          <w:tab w:val="clear" w:pos="1080"/>
        </w:tabs>
        <w:ind w:hanging="0" w:start="0"/>
        <w:rPr/>
      </w:pPr>
      <w:r>
        <w:rPr>
          <w:u w:val="single"/>
        </w:rPr>
        <w:t>Delivery of Equipment and Documentation</w:t>
      </w:r>
      <w:r>
        <w:rPr/>
        <w:t xml:space="preserve">.  </w:t>
      </w:r>
    </w:p>
    <w:p>
      <w:pPr>
        <w:pStyle w:val="Heading3"/>
        <w:ind w:hanging="0" w:start="0"/>
        <w:rPr/>
      </w:pPr>
      <w:r>
        <w:rPr>
          <w:u w:val="single"/>
        </w:rPr>
        <w:t>Delivery to Delivery Point</w:t>
      </w:r>
      <w:r>
        <w:rPr/>
        <w:t>. Seller shall deliver the Equipment to the Delivery Point.</w:t>
      </w:r>
    </w:p>
    <w:p>
      <w:pPr>
        <w:pStyle w:val="Heading3"/>
        <w:ind w:hanging="0" w:start="0"/>
        <w:rPr/>
      </w:pPr>
      <w:r>
        <w:rPr>
          <w:u w:val="single"/>
        </w:rPr>
        <w:t xml:space="preserve">Installation Services </w:t>
      </w: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pPr>
      <w:r>
        <w:rPr>
          <w:u w:val="single"/>
        </w:rPr>
        <w:t>Impact Recorders</w:t>
      </w: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pPr>
      <w:r>
        <w:rPr>
          <w:u w:val="single"/>
        </w:rPr>
        <w:t>Maximize Assembly</w:t>
      </w:r>
      <w:r>
        <w:rPr/>
        <w:t>. Shipment of each item of Equipment shall be made so that it is complete with all accessories and will arrive at its destination simultaneously.</w:t>
      </w:r>
    </w:p>
    <w:p>
      <w:pPr>
        <w:pStyle w:val="Heading3"/>
        <w:ind w:hanging="0" w:start="0"/>
        <w:rPr/>
      </w:pPr>
      <w:r>
        <w:rPr>
          <w:u w:val="single"/>
        </w:rPr>
        <w:t>Documentation Delivery</w:t>
      </w:r>
      <w:r>
        <w:rPr/>
        <w:t>.  Seller shall deliver documentation as set forth in Section 10.1 by the dates set forth therein.</w:t>
      </w:r>
    </w:p>
    <w:p>
      <w:pPr>
        <w:pStyle w:val="Heading2"/>
        <w:tabs>
          <w:tab w:val="clear" w:pos="1080"/>
        </w:tabs>
        <w:ind w:hanging="0" w:start="0"/>
        <w:rPr/>
      </w:pPr>
      <w:r>
        <w:rPr>
          <w:u w:val="single"/>
        </w:rPr>
        <w:t>Relevant Information</w:t>
      </w:r>
      <w:r>
        <w:rPr/>
        <w:t>.  Seller shall provide on a timely basis to Purchaser information reasonably necessary to fulfill Seller’s obligation pursuant to this Agreement, including, without limitation:</w:t>
      </w:r>
    </w:p>
    <w:p>
      <w:pPr>
        <w:pStyle w:val="Heading4"/>
        <w:tabs>
          <w:tab w:val="clear" w:pos="2160"/>
        </w:tabs>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tabs>
          <w:tab w:val="clear" w:pos="2160"/>
        </w:tabs>
        <w:ind w:hanging="0" w:start="0"/>
        <w:rPr/>
      </w:pPr>
      <w:r>
        <w:rPr/>
        <w:t xml:space="preserve">such information as is requested by Purchaser in dealing with its customer and/or any governmental authority in matters relating to the Scope of Work; and </w:t>
      </w:r>
    </w:p>
    <w:p>
      <w:pPr>
        <w:pStyle w:val="Heading4"/>
        <w:tabs>
          <w:tab w:val="clear" w:pos="2160"/>
        </w:tabs>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tabs>
          <w:tab w:val="clear" w:pos="1080"/>
        </w:tabs>
        <w:ind w:hanging="0" w:start="0"/>
        <w:rPr/>
      </w:pPr>
      <w:r>
        <w:rPr>
          <w:u w:val="single"/>
        </w:rPr>
        <w:t>Hazardous Materials Notification</w:t>
      </w:r>
      <w:r>
        <w:rPr/>
        <w:t xml:space="preserve">.  </w:t>
      </w:r>
    </w:p>
    <w:p>
      <w:pPr>
        <w:pStyle w:val="Heading4"/>
        <w:tabs>
          <w:tab w:val="clear" w:pos="2160"/>
        </w:tabs>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tabs>
          <w:tab w:val="clear" w:pos="2160"/>
        </w:tabs>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tabs>
          <w:tab w:val="clear" w:pos="1080"/>
        </w:tabs>
        <w:ind w:hanging="0" w:start="0"/>
        <w:rPr/>
      </w:pPr>
      <w:r>
        <w:rPr>
          <w:u w:val="single"/>
        </w:rPr>
        <w:t>Employment of Licensed Personnel</w:t>
      </w: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tabs>
          <w:tab w:val="clear" w:pos="1080"/>
        </w:tabs>
        <w:ind w:hanging="0" w:start="0"/>
        <w:rPr/>
      </w:pPr>
      <w:r>
        <w:rPr>
          <w:u w:val="single"/>
        </w:rPr>
        <w:t>Customs Clearance</w:t>
      </w:r>
      <w:r>
        <w:rPr/>
        <w:t xml:space="preserve">.  Seller shall perform customs clearance for the Equipment through U.S. Customs </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Compliance with Governmental Rules</w:t>
      </w:r>
      <w:r>
        <w:rPr/>
        <w:t>.  Seller shall comply with government rules in the categories enumerated below.</w:t>
      </w:r>
    </w:p>
    <w:p>
      <w:pPr>
        <w:pStyle w:val="Heading4"/>
        <w:tabs>
          <w:tab w:val="clear" w:pos="2160"/>
        </w:tabs>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tabs>
          <w:tab w:val="clear" w:pos="2160"/>
        </w:tabs>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tabs>
          <w:tab w:val="clear" w:pos="2160"/>
        </w:tabs>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w:t>
      </w:r>
      <w:r>
        <w:rPr>
          <w:b/>
        </w:rPr>
        <w:t>[the date this Agreement was signed]</w:t>
      </w:r>
      <w:r>
        <w:rPr/>
        <w:t xml:space="preserve">; or </w:t>
      </w:r>
    </w:p>
    <w:p>
      <w:pPr>
        <w:pStyle w:val="Heading6"/>
        <w:ind w:hanging="0" w:start="0"/>
        <w:rPr/>
      </w:pPr>
      <w:r>
        <w:rPr/>
        <w:t xml:space="preserve">were not yet in effect on </w:t>
      </w:r>
      <w:r>
        <w:rPr>
          <w:b/>
        </w:rPr>
        <w:t>[the date this Agreement was signed]</w:t>
      </w:r>
      <w:r>
        <w:rPr/>
        <w:t>, but at such time a change to such valid Applicable Laws, issued or promulgated by units of government and regulatory bodies had passed but was not yet effective.</w:t>
      </w:r>
    </w:p>
    <w:p>
      <w:pPr>
        <w:pStyle w:val="Normal"/>
        <w:spacing w:lineRule="auto" w:line="300" w:before="0" w:after="240"/>
        <w:ind w:start="2160" w:end="0"/>
        <w:jc w:val="both"/>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jc w:val="both"/>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jc w:val="both"/>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jc w:val="both"/>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r>
        <w:rPr>
          <w:b/>
        </w:rPr>
        <w:t>[Note:  This section speaks to Change of Law as of the date of signing of the Westdeutsche/ABB Agreement, yet the definition of “Change Order” speaks in terms of the Effective Date which was June 30, 2000.  How should this be resolved?]</w:t>
      </w:r>
    </w:p>
    <w:p>
      <w:pPr>
        <w:pStyle w:val="Heading2"/>
        <w:tabs>
          <w:tab w:val="clear" w:pos="1080"/>
        </w:tabs>
        <w:ind w:hanging="0" w:start="0"/>
        <w:rPr/>
      </w:pPr>
      <w:r>
        <w:rPr>
          <w:u w:val="single"/>
        </w:rPr>
        <w:t>Purchaser Review of Vendors</w:t>
      </w: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tabs>
          <w:tab w:val="clear" w:pos="1080"/>
        </w:tabs>
        <w:ind w:hanging="0" w:start="0"/>
        <w:rPr/>
      </w:pPr>
      <w:r>
        <w:rPr>
          <w:u w:val="single"/>
        </w:rPr>
        <w:t>Packing and Insurance Surveyor</w:t>
      </w:r>
      <w:r>
        <w:rPr/>
        <w:t>.</w:t>
      </w:r>
    </w:p>
    <w:p>
      <w:pPr>
        <w:pStyle w:val="Heading3"/>
        <w:ind w:hanging="0" w:start="0"/>
        <w:rPr/>
      </w:pPr>
      <w:r>
        <w:rPr>
          <w:u w:val="single"/>
        </w:rPr>
        <w:t>Packing Recommendation</w:t>
      </w: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tabs>
          <w:tab w:val="clear" w:pos="2160"/>
        </w:tabs>
        <w:ind w:hanging="0" w:start="0"/>
        <w:rPr/>
      </w:pPr>
      <w:r>
        <w:rPr/>
        <w:t xml:space="preserve">packaging of the Equipment; </w:t>
      </w:r>
    </w:p>
    <w:p>
      <w:pPr>
        <w:pStyle w:val="Heading4"/>
        <w:tabs>
          <w:tab w:val="clear" w:pos="2160"/>
        </w:tabs>
        <w:ind w:hanging="0" w:start="0"/>
        <w:rPr/>
      </w:pPr>
      <w:r>
        <w:rPr/>
        <w:t>Seller’s execution of the load plan on vehicle or vessel to preclude damage during transit;</w:t>
      </w:r>
    </w:p>
    <w:p>
      <w:pPr>
        <w:pStyle w:val="Heading4"/>
        <w:tabs>
          <w:tab w:val="clear" w:pos="2160"/>
        </w:tabs>
        <w:ind w:hanging="0" w:start="0"/>
        <w:rPr/>
      </w:pPr>
      <w:r>
        <w:rPr/>
        <w:t>offloading at the Delivery Point; and</w:t>
      </w:r>
    </w:p>
    <w:p>
      <w:pPr>
        <w:pStyle w:val="Heading4"/>
        <w:tabs>
          <w:tab w:val="clear" w:pos="2160"/>
        </w:tabs>
        <w:ind w:hanging="0" w:start="0"/>
        <w:rPr/>
      </w:pPr>
      <w:r>
        <w:rPr/>
        <w:t>delivery to the Site, including dock and route.</w:t>
      </w:r>
    </w:p>
    <w:p>
      <w:pPr>
        <w:pStyle w:val="Normal"/>
        <w:spacing w:before="0" w:after="240"/>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Contract number, item number, equipment description and Seller identification number.</w:t>
      </w:r>
    </w:p>
    <w:p>
      <w:pPr>
        <w:pStyle w:val="Heading3"/>
        <w:ind w:hanging="0" w:start="0"/>
        <w:rPr/>
      </w:pPr>
      <w:r>
        <w:rPr>
          <w:u w:val="single"/>
        </w:rPr>
        <w:t>Insurability Certificate</w:t>
      </w:r>
      <w:r>
        <w:rPr/>
        <w:t>.  Seller expressly acknowledges and agrees that it will not commence transport of the items of Equipment unless;</w:t>
      </w:r>
    </w:p>
    <w:p>
      <w:pPr>
        <w:pStyle w:val="Heading4"/>
        <w:tabs>
          <w:tab w:val="clear" w:pos="2160"/>
        </w:tabs>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tabs>
          <w:tab w:val="clear" w:pos="2160"/>
        </w:tabs>
        <w:ind w:hanging="0" w:start="0"/>
        <w:rPr/>
      </w:pPr>
      <w:r>
        <w:rPr/>
        <w:t>Purchaser’s Representative expressly waives such requirement for that shipment.</w:t>
      </w:r>
    </w:p>
    <w:p>
      <w:pPr>
        <w:pStyle w:val="Heading3"/>
        <w:ind w:hanging="0" w:start="0"/>
        <w:rPr/>
      </w:pPr>
      <w:r>
        <w:rPr>
          <w:u w:val="single"/>
        </w:rPr>
        <w:t>Notice of Shipment</w:t>
      </w: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pPr>
      <w:r>
        <w:rPr>
          <w:u w:val="single"/>
        </w:rPr>
        <w:t>Compliance with Recommendation</w:t>
      </w: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tabs>
          <w:tab w:val="clear" w:pos="1080"/>
        </w:tabs>
        <w:ind w:hanging="0" w:start="0"/>
        <w:rPr/>
      </w:pPr>
      <w:r>
        <w:rPr>
          <w:u w:val="single"/>
        </w:rPr>
        <w:t>Financing Assistance</w:t>
      </w: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tabs>
          <w:tab w:val="clear" w:pos="1080"/>
        </w:tabs>
        <w:ind w:hanging="0" w:start="0"/>
        <w:rPr/>
      </w:pPr>
      <w:r>
        <w:rPr>
          <w:u w:val="single"/>
        </w:rPr>
        <w:t>Purchaser Permit Support</w:t>
      </w:r>
      <w:r>
        <w:rPr/>
        <w:t>.  Seller shall provide all information, data and documents in a timely fashion that Purchaser may reasonably require for Purchaser to obtain applicable permits.</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Spare Parts</w:t>
      </w:r>
      <w:r>
        <w:rPr/>
        <w:t>.</w:t>
      </w:r>
    </w:p>
    <w:p>
      <w:pPr>
        <w:pStyle w:val="Heading3"/>
        <w:ind w:hanging="0" w:start="0"/>
        <w:rPr>
          <w:b/>
        </w:rPr>
      </w:pPr>
      <w:r>
        <w:rPr>
          <w:u w:val="single"/>
        </w:rPr>
        <w:t>Commissioning Spares</w:t>
      </w:r>
      <w:r>
        <w:rPr/>
        <w:t xml:space="preserve">.  Seller’s representative price list of start-up and commissioning spares and a representative list of special tools needed during start-up and commissioning are set forth in Exhibit M.  </w:t>
      </w:r>
      <w:r>
        <w:rPr>
          <w:b/>
        </w:rPr>
        <w:t xml:space="preserve">[Note:  Exhibit M states that it is Not Used.]  </w:t>
      </w:r>
      <w:r>
        <w:rPr/>
        <w:t>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[Note:  How are spare parts to be handled? Are they purchased from Seller or WestLB?] </w:t>
      </w:r>
    </w:p>
    <w:p>
      <w:pPr>
        <w:pStyle w:val="Heading3"/>
        <w:ind w:hanging="0" w:start="0"/>
        <w:rPr/>
      </w:pPr>
      <w:r>
        <w:rPr>
          <w:u w:val="single"/>
        </w:rPr>
        <w:t>O &amp; M Spare Parts</w:t>
      </w:r>
      <w:r>
        <w:rPr/>
        <w:t>.</w:t>
      </w:r>
    </w:p>
    <w:p>
      <w:pPr>
        <w:pStyle w:val="Normal"/>
        <w:spacing w:lineRule="auto" w:line="300" w:before="0" w:after="240"/>
        <w:ind w:hanging="990" w:start="1710" w:end="0"/>
        <w:jc w:val="both"/>
        <w:rPr/>
      </w:pPr>
      <w:r>
        <w:rPr>
          <w:rStyle w:val="ParaNum"/>
        </w:rPr>
        <w:t>3.14.2.1</w:t>
      </w:r>
      <w:r>
        <w:rPr/>
        <w:t xml:space="preserve">   </w:t>
      </w:r>
      <w:r>
        <w:rPr>
          <w:u w:val="single"/>
        </w:rPr>
        <w:t>O &amp; M Spare Parts</w:t>
      </w: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w:t>
      </w:r>
      <w:r>
        <w:rPr>
          <w:b/>
        </w:rPr>
        <w:t xml:space="preserve">[Note: “Notice to Proceed” not defined] </w:t>
      </w:r>
      <w:r>
        <w:rPr/>
        <w:t xml:space="preserve">The prices of the O &amp; M Spare Parts set forth in Exhibit M-1 are not included in the Purchase Amount. </w:t>
      </w:r>
    </w:p>
    <w:p>
      <w:pPr>
        <w:pStyle w:val="Normal"/>
        <w:spacing w:lineRule="auto" w:line="300" w:before="0" w:after="240"/>
        <w:ind w:hanging="990" w:start="1710" w:end="0"/>
        <w:jc w:val="both"/>
        <w:rPr/>
      </w:pPr>
      <w:r>
        <w:rPr>
          <w:rStyle w:val="ParaNum"/>
        </w:rPr>
        <w:t>3.14.2.2</w:t>
      </w:r>
      <w:r>
        <w:rPr/>
        <w:t xml:space="preserve">   </w:t>
      </w:r>
      <w:r>
        <w:rPr>
          <w:u w:val="single"/>
        </w:rPr>
        <w:t>Purchase of O &amp; M Spare Parts</w:t>
      </w: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spacing w:lineRule="auto" w:line="300" w:before="0" w:after="240"/>
        <w:ind w:hanging="990" w:start="1710" w:end="0"/>
        <w:jc w:val="both"/>
        <w:rPr/>
      </w:pPr>
      <w:r>
        <w:rPr>
          <w:rStyle w:val="ParaNum"/>
        </w:rPr>
        <w:t>3.14.2.3</w:t>
      </w:r>
      <w:r>
        <w:rPr/>
        <w:t xml:space="preserve">   </w:t>
      </w:r>
      <w:r>
        <w:rPr>
          <w:u w:val="single"/>
        </w:rPr>
        <w:t>Delivery of O &amp; M Spare Parts</w:t>
      </w: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spacing w:lineRule="auto" w:line="300" w:before="0" w:after="240"/>
        <w:ind w:hanging="990" w:start="1710" w:end="0"/>
        <w:jc w:val="both"/>
        <w:rPr/>
      </w:pPr>
      <w:r>
        <w:rPr>
          <w:rStyle w:val="ParaNum"/>
        </w:rPr>
        <w:t>3.14.2.4</w:t>
      </w:r>
      <w:r>
        <w:rPr/>
        <w:t xml:space="preserve">   </w:t>
      </w:r>
      <w:r>
        <w:rPr>
          <w:u w:val="single"/>
        </w:rPr>
        <w:t>Use of O &amp; M Spare Parts</w:t>
      </w: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tabs>
          <w:tab w:val="clear" w:pos="1080"/>
        </w:tabs>
        <w:ind w:hanging="0" w:start="0"/>
        <w:rPr/>
      </w:pPr>
      <w:r>
        <w:rPr>
          <w:u w:val="single"/>
        </w:rPr>
        <w:t>Key Personnel</w:t>
      </w:r>
      <w:r>
        <w:rPr/>
        <w:t xml:space="preserve">.  Seller shall provide Purchaser with biographical data for Project Manager, the Units engineering manager, Units production manager and </w:t>
      </w:r>
      <w:r>
        <w:rPr>
          <w:b/>
        </w:rPr>
        <w:t>[TDI]</w:t>
      </w:r>
      <w:r>
        <w:rPr/>
        <w:t xml:space="preserve"> </w:t>
      </w:r>
      <w:r>
        <w:rPr>
          <w:b/>
        </w:rPr>
        <w:t>[Note: This is undefined]</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tabs>
          <w:tab w:val="clear" w:pos="1080"/>
        </w:tabs>
        <w:ind w:hanging="0" w:start="0"/>
        <w:rPr/>
      </w:pPr>
      <w:r>
        <w:rPr>
          <w:u w:val="single"/>
        </w:rPr>
        <w:t>Project Planning and Control</w:t>
      </w:r>
      <w:r>
        <w:rPr/>
        <w:t xml:space="preserve">.  Exhibit K sets forth the Project Planning and Control system for tracking the progress of the Scope of Work.  Seller shall establish a program, submit reports and data as set forth therein.   </w:t>
      </w:r>
    </w:p>
    <w:p>
      <w:pPr>
        <w:pStyle w:val="Heading1"/>
        <w:tabs>
          <w:tab w:val="clear" w:pos="1080"/>
        </w:tabs>
        <w:ind w:hanging="0" w:start="0"/>
        <w:rPr/>
      </w:pPr>
      <w:r>
        <w:rPr/>
        <w:t>REPRESENTATIONS AND WARRANTIES</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Purchaser Supplied Information</w:t>
      </w: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tabs>
          <w:tab w:val="clear" w:pos="1080"/>
        </w:tabs>
        <w:ind w:hanging="0" w:start="0"/>
        <w:rPr/>
      </w:pPr>
      <w:r>
        <w:rPr>
          <w:u w:val="single"/>
        </w:rPr>
        <w:t>Representations and Warranties of Seller</w:t>
      </w:r>
      <w:r>
        <w:rPr/>
        <w:t>.  Seller makes the following representations and warranties to Purchaser, each of which is true and correct on the date hereof:</w:t>
      </w:r>
    </w:p>
    <w:p>
      <w:pPr>
        <w:pStyle w:val="Heading4"/>
        <w:tabs>
          <w:tab w:val="clear" w:pos="2160"/>
        </w:tabs>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tabs>
          <w:tab w:val="clear" w:pos="2160"/>
        </w:tabs>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tabs>
          <w:tab w:val="clear" w:pos="2160"/>
        </w:tabs>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tabs>
          <w:tab w:val="clear" w:pos="2160"/>
        </w:tabs>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tabs>
          <w:tab w:val="clear" w:pos="2160"/>
        </w:tabs>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tabs>
          <w:tab w:val="clear" w:pos="2160"/>
        </w:tabs>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tabs>
          <w:tab w:val="clear" w:pos="2160"/>
        </w:tabs>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tabs>
          <w:tab w:val="clear" w:pos="2160"/>
        </w:tabs>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tabs>
          <w:tab w:val="clear" w:pos="2160"/>
        </w:tabs>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tabs>
          <w:tab w:val="clear" w:pos="1080"/>
        </w:tabs>
        <w:ind w:hanging="0" w:start="0"/>
        <w:rPr/>
      </w:pPr>
      <w:r>
        <w:rPr/>
        <w:t>PURCHASE AMOUNT AND OTHER CHARGES</w:t>
      </w:r>
    </w:p>
    <w:p>
      <w:pPr>
        <w:pStyle w:val="Heading2"/>
        <w:tabs>
          <w:tab w:val="clear" w:pos="1080"/>
        </w:tabs>
        <w:ind w:hanging="0" w:start="0"/>
        <w:rPr/>
      </w:pPr>
      <w:r>
        <w:rPr>
          <w:u w:val="single"/>
        </w:rPr>
        <w:t>Purchase Amount</w:t>
      </w:r>
      <w:r>
        <w:rPr/>
        <w:t xml:space="preserve">. </w:t>
      </w:r>
    </w:p>
    <w:p>
      <w:pPr>
        <w:pStyle w:val="Heading3"/>
        <w:ind w:hanging="0" w:start="0"/>
        <w:rPr>
          <w:b/>
        </w:rPr>
      </w:pPr>
      <w:r>
        <w:rPr>
          <w:u w:val="single"/>
        </w:rPr>
        <w:t>Purchase Amount</w:t>
      </w:r>
      <w:r>
        <w:rPr/>
        <w:t>.  The purchase amount for the supply of the Units Purchaser has elected to purchase is set forth in Exhibit N (the “Purchase Amount”).</w:t>
      </w:r>
      <w:r>
        <w:rPr>
          <w:b/>
        </w:rPr>
        <w:t xml:space="preserve">[Note: Exhibit N should be amended on a case-by-case basis depending upon the type of transformer purchased] </w:t>
      </w:r>
      <w:r>
        <w:rPr/>
        <w:t xml:space="preserve"> The Purchase Amount shall be paid in accordance with Article VI and is subject to increases or decreases only as provided in Section 5.3. </w:t>
      </w:r>
      <w:r>
        <w:rPr>
          <w:b/>
        </w:rPr>
        <w:t>[Note:  How do we account for amounts already paid by WestdeutscheLB?]</w:t>
      </w:r>
    </w:p>
    <w:p>
      <w:pPr>
        <w:pStyle w:val="BodyTextFirstIndent"/>
        <w:rPr/>
      </w:pPr>
      <w:r>
        <w:rPr/>
        <w:t xml:space="preserve">Exhibit N lists options, prices and times by which the options must be exercised by Purchaser.  </w:t>
      </w:r>
      <w:r>
        <w:rPr>
          <w:b/>
        </w:rPr>
        <w:t>[Note: Exhibit N does not list times or options, just the types of transformers offered and the amounts thereof]</w:t>
      </w:r>
      <w:r>
        <w:rPr/>
        <w:t xml:space="preserve">  If an option is exercised by Purchaser, the applicable option amount as set forth in Exhibit N shall be used to adjust the Purchase Amount.</w:t>
      </w:r>
    </w:p>
    <w:p>
      <w:pPr>
        <w:pStyle w:val="BodyTextFirstIndent"/>
        <w:rPr/>
      </w:pPr>
      <w:r>
        <w:rPr/>
        <w:t>Seller shall prepare the initial invoices in the name of Purchaser and forward such invoices to Purchaser for approval and payment pursuant to Section 6.1.1.</w:t>
      </w:r>
    </w:p>
    <w:p>
      <w:pPr>
        <w:pStyle w:val="Heading2"/>
        <w:tabs>
          <w:tab w:val="clear" w:pos="1080"/>
        </w:tabs>
        <w:ind w:hanging="0" w:start="0"/>
        <w:rPr/>
      </w:pPr>
      <w:r>
        <w:rPr>
          <w:u w:val="single"/>
        </w:rPr>
        <w:t>Taxes and Contributions</w:t>
      </w:r>
      <w:r>
        <w:rPr/>
        <w:t>.</w:t>
      </w:r>
    </w:p>
    <w:p>
      <w:pPr>
        <w:pStyle w:val="Heading3"/>
        <w:ind w:hanging="0" w:start="0"/>
        <w:rPr/>
      </w:pPr>
      <w:r>
        <w:rPr>
          <w:u w:val="single"/>
        </w:rPr>
        <w:t>Seller’s Responsibility for Personnel Taxes</w:t>
      </w: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pPr>
      <w:r>
        <w:rPr>
          <w:u w:val="single"/>
        </w:rPr>
        <w:t>Seller’s Responsibility for Taxes</w:t>
      </w: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pPr>
      <w:r>
        <w:rPr>
          <w:u w:val="single"/>
        </w:rPr>
        <w:t>Not Used</w:t>
      </w:r>
      <w:r>
        <w:rPr/>
        <w:t>.</w:t>
      </w:r>
    </w:p>
    <w:p>
      <w:pPr>
        <w:pStyle w:val="Heading3"/>
        <w:ind w:hanging="0" w:start="0"/>
        <w:rPr/>
      </w:pPr>
      <w:r>
        <w:rPr>
          <w:u w:val="single"/>
        </w:rPr>
        <w:t>Tax Penalties</w:t>
      </w: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tabs>
          <w:tab w:val="clear" w:pos="1080"/>
        </w:tabs>
        <w:ind w:hanging="0" w:start="0"/>
        <w:rPr/>
      </w:pPr>
      <w:r>
        <w:rPr>
          <w:u w:val="single"/>
        </w:rPr>
        <w:t>Changes to the Purchase Amount</w:t>
      </w:r>
      <w:r>
        <w:rPr/>
        <w:t>. The Purchase Amount may be adjusted by Change Order in the following circumstances:</w:t>
      </w:r>
    </w:p>
    <w:p>
      <w:pPr>
        <w:pStyle w:val="Normal"/>
        <w:rPr/>
      </w:pPr>
      <w:r>
        <w:rPr/>
        <w:t>Change in Law requiring changes to the Equipment as provided in Section 3.8(c)(iv);</w:t>
      </w:r>
    </w:p>
    <w:p>
      <w:pPr>
        <w:pStyle w:val="Normal"/>
        <w:rPr/>
      </w:pPr>
      <w:r>
        <w:rPr/>
      </w:r>
    </w:p>
    <w:p>
      <w:pPr>
        <w:pStyle w:val="Heading4"/>
        <w:tabs>
          <w:tab w:val="clear" w:pos="2160"/>
        </w:tabs>
        <w:ind w:hanging="0" w:start="0"/>
        <w:rPr/>
      </w:pPr>
      <w:r>
        <w:rPr/>
        <w:t>suspension of performance in the Scope of Work by Purchaser as provided in Section 5.5.;</w:t>
      </w:r>
    </w:p>
    <w:p>
      <w:pPr>
        <w:pStyle w:val="Heading4"/>
        <w:tabs>
          <w:tab w:val="clear" w:pos="2160"/>
        </w:tabs>
        <w:ind w:hanging="0" w:start="0"/>
        <w:rPr/>
      </w:pPr>
      <w:r>
        <w:rPr/>
        <w:t>material breach or default of contract by Purchaser or Seller;</w:t>
      </w:r>
    </w:p>
    <w:p>
      <w:pPr>
        <w:pStyle w:val="Heading4"/>
        <w:tabs>
          <w:tab w:val="clear" w:pos="2160"/>
        </w:tabs>
        <w:ind w:hanging="0" w:start="0"/>
        <w:rPr/>
      </w:pPr>
      <w:r>
        <w:rPr/>
        <w:t xml:space="preserve">delay in Notice to Proceed;[Note: “Notice to Proceed” not defined] </w:t>
      </w:r>
    </w:p>
    <w:p>
      <w:pPr>
        <w:pStyle w:val="Heading4"/>
        <w:tabs>
          <w:tab w:val="clear" w:pos="2160"/>
        </w:tabs>
        <w:ind w:hanging="0" w:start="0"/>
        <w:rPr/>
      </w:pPr>
      <w:r>
        <w:rPr/>
        <w:t>Event of Force Majeure; exceeding a duration in the aggregate of ninety (90) Days; and</w:t>
      </w:r>
    </w:p>
    <w:p>
      <w:pPr>
        <w:pStyle w:val="Normal"/>
        <w:spacing w:lineRule="auto" w:line="300" w:before="0" w:after="240"/>
        <w:jc w:val="both"/>
        <w:rPr/>
      </w:pPr>
      <w:r>
        <w:rPr/>
        <w:t>Seller’s entitlement to an increase in the Purchase Amount shall be conditional upon:</w:t>
      </w:r>
    </w:p>
    <w:p>
      <w:pPr>
        <w:pStyle w:val="Heading5"/>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br/>
      </w:r>
    </w:p>
    <w:p>
      <w:pPr>
        <w:pStyle w:val="Heading5"/>
        <w:ind w:hanging="0" w:start="0"/>
        <w:rPr/>
      </w:pPr>
      <w:r>
        <w:rPr/>
        <w:t>the cost increase not being attributable to Seller’s default.</w:t>
      </w:r>
    </w:p>
    <w:p>
      <w:pPr>
        <w:pStyle w:val="Heading2"/>
        <w:tabs>
          <w:tab w:val="clear" w:pos="1080"/>
        </w:tabs>
        <w:ind w:hanging="0" w:start="0"/>
        <w:rPr/>
      </w:pPr>
      <w:r>
        <w:rPr>
          <w:u w:val="single"/>
        </w:rPr>
        <w:t>Cancellation</w:t>
      </w:r>
      <w:r>
        <w:rPr/>
        <w:t>.</w:t>
      </w:r>
    </w:p>
    <w:p>
      <w:pPr>
        <w:pStyle w:val="Heading3"/>
        <w:ind w:hanging="0" w:start="0"/>
        <w:rPr/>
      </w:pPr>
      <w:r>
        <w:rPr>
          <w:u w:val="single"/>
        </w:rPr>
        <w:t>Cancellation by Purchaser</w:t>
      </w:r>
      <w:r>
        <w:rPr/>
        <w:t xml:space="preserve">.  Purchaser may cancel the Agreement, in whole or in part, if Purchaser determines that such cancellation is in Purchaser’s interest. </w:t>
      </w:r>
    </w:p>
    <w:p>
      <w:pPr>
        <w:pStyle w:val="Normal"/>
        <w:spacing w:lineRule="auto" w:line="300" w:before="0" w:after="240"/>
        <w:jc w:val="both"/>
        <w:rPr/>
      </w:pPr>
      <w:r>
        <w:rPr/>
        <w:t>The following terms shall govern cancellation:</w:t>
      </w:r>
    </w:p>
    <w:p>
      <w:pPr>
        <w:pStyle w:val="Heading4"/>
        <w:tabs>
          <w:tab w:val="clear" w:pos="2160"/>
        </w:tabs>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tabs>
          <w:tab w:val="clear" w:pos="2160"/>
        </w:tabs>
        <w:ind w:hanging="0" w:start="0"/>
        <w:rPr/>
      </w:pPr>
      <w:r>
        <w:rPr/>
        <w:t xml:space="preserve">If Purchaser cancels this Agreement </w:t>
      </w:r>
      <w:r>
        <w:rPr>
          <w:b/>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r>
        <w:rPr>
          <w:b/>
        </w:rPr>
        <w:t xml:space="preserve">[Note:  Is it Scope of Work or by Unit?  See Exhibit I.] </w:t>
      </w:r>
    </w:p>
    <w:p>
      <w:pPr>
        <w:pStyle w:val="Heading5"/>
        <w:ind w:hanging="0" w:start="0"/>
        <w:rPr/>
      </w:pPr>
      <w:r>
        <w:rPr/>
        <w:t>credits for components and supplies of the canceled Scope of Work that are returned to Seller’s or Vendor’s stock.</w:t>
      </w:r>
    </w:p>
    <w:p>
      <w:pPr>
        <w:pStyle w:val="Heading4"/>
        <w:tabs>
          <w:tab w:val="clear" w:pos="2160"/>
        </w:tabs>
        <w:ind w:hanging="0" w:start="0"/>
        <w:rPr/>
      </w:pPr>
      <w:r>
        <w:rPr/>
        <w:t>The cancellation charge (the “Cancellation Charge”) shall not exceed the values set forth in Exhibit I at the time Purchaser issues a cancellation Notice to Seller;</w:t>
      </w:r>
    </w:p>
    <w:p>
      <w:pPr>
        <w:pStyle w:val="Heading4"/>
        <w:tabs>
          <w:tab w:val="clear" w:pos="2160"/>
        </w:tabs>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tabs>
          <w:tab w:val="clear" w:pos="2160"/>
        </w:tabs>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pPr>
      <w:r>
        <w:rPr>
          <w:u w:val="single"/>
        </w:rPr>
        <w:t>Marketing Agreement</w:t>
      </w: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pPr>
      <w:r>
        <w:rPr>
          <w:u w:val="single"/>
        </w:rPr>
        <w:t>Buy Back Option.</w:t>
      </w:r>
      <w:r>
        <w:rPr/>
        <w:t xml:space="preserve">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3"/>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tabs>
          <w:tab w:val="clear" w:pos="1080"/>
        </w:tabs>
        <w:ind w:hanging="0" w:start="0"/>
        <w:rPr/>
      </w:pPr>
      <w:r>
        <w:rPr>
          <w:u w:val="single"/>
        </w:rPr>
        <w:t>Suspension of Work</w:t>
      </w:r>
      <w:r>
        <w:rPr/>
        <w:t>.</w:t>
      </w:r>
    </w:p>
    <w:p>
      <w:pPr>
        <w:pStyle w:val="Heading3"/>
        <w:ind w:hanging="0" w:start="0"/>
        <w:rPr/>
      </w:pPr>
      <w:r>
        <w:rPr/>
        <w:t>Purchaser shall be entitled to suspend at any time the carrying out of the whole or any part of the Scope of Work.</w:t>
      </w:r>
    </w:p>
    <w:p>
      <w:pPr>
        <w:pStyle w:val="Heading3"/>
        <w:ind w:hanging="0" w:start="0"/>
        <w:rPr/>
      </w:pPr>
      <w:r>
        <w:rPr/>
        <w:t>In the event Purchaser suspends the Agreement, Seller shall be entitled to a pro rata payment of the next due Milestone Payment for the Scope of Work completed, but in no case shall such pro rata amount exceed the value of the next Milestone Payment.</w:t>
      </w:r>
    </w:p>
    <w:p>
      <w:pPr>
        <w:pStyle w:val="Heading3"/>
        <w:ind w:hanging="0" w:start="0"/>
        <w:rPr/>
      </w:pPr>
      <w:r>
        <w:rPr/>
        <w:t>Seller shall during any suspension store, preserve, protect and otherwise secure and protect the Equipment and advise Purchaser of such.</w:t>
      </w:r>
    </w:p>
    <w:p>
      <w:pPr>
        <w:pStyle w:val="Heading3"/>
        <w:ind w:hanging="0" w:start="0"/>
        <w:rPr/>
      </w:pPr>
      <w:r>
        <w:rPr/>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Heading3"/>
        <w:ind w:hanging="0" w:start="0"/>
        <w:rPr/>
      </w:pPr>
      <w:r>
        <w:rPr/>
        <w:t>Seller shall not be entitled to an equitable adjustment as a result of a suspension directed by Purchaser nor shall it be eligible for a payment in accordance with Section 5.5.2, if such suspension is necessary:</w:t>
      </w:r>
    </w:p>
    <w:p>
      <w:pPr>
        <w:pStyle w:val="Heading4"/>
        <w:tabs>
          <w:tab w:val="clear" w:pos="2160"/>
        </w:tabs>
        <w:ind w:hanging="0" w:start="0"/>
        <w:rPr/>
      </w:pPr>
      <w:r>
        <w:rPr/>
        <w:t>by reason of default (including but not limited to default under Section 17.1 on the part of Seller; or</w:t>
      </w:r>
    </w:p>
    <w:p>
      <w:pPr>
        <w:pStyle w:val="Heading4"/>
        <w:tabs>
          <w:tab w:val="clear" w:pos="2160"/>
        </w:tabs>
        <w:ind w:hanging="0" w:start="0"/>
        <w:rPr/>
      </w:pPr>
      <w:r>
        <w:rPr/>
        <w:t>to cause proper or safe execution of the Scope of Work,</w:t>
      </w:r>
    </w:p>
    <w:p>
      <w:pPr>
        <w:pStyle w:val="Normal"/>
        <w:spacing w:lineRule="auto" w:line="300" w:before="0" w:after="240"/>
        <w:jc w:val="both"/>
        <w:rPr/>
      </w:pPr>
      <w:r>
        <w:rPr/>
        <w:t>unless (a) or (b) arose from any act or default of Purchaser.</w:t>
      </w:r>
    </w:p>
    <w:p>
      <w:pPr>
        <w:pStyle w:val="Heading3"/>
        <w:ind w:hanging="0" w:start="0"/>
        <w:rPr/>
      </w:pPr>
      <w:r>
        <w:rPr/>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tabs>
          <w:tab w:val="clear" w:pos="1080"/>
        </w:tabs>
        <w:ind w:hanging="0" w:start="0"/>
        <w:rPr/>
      </w:pPr>
      <w:r>
        <w:rPr/>
        <w:t>PAYMENT TERMS</w:t>
      </w:r>
    </w:p>
    <w:p>
      <w:pPr>
        <w:pStyle w:val="Heading2"/>
        <w:tabs>
          <w:tab w:val="clear" w:pos="1080"/>
        </w:tabs>
        <w:ind w:hanging="0" w:start="0"/>
        <w:rPr/>
      </w:pPr>
      <w:r>
        <w:rPr>
          <w:u w:val="single"/>
        </w:rPr>
        <w:t>Payment of Purchase Amount</w:t>
      </w:r>
      <w:r>
        <w:rPr/>
        <w:t xml:space="preserve">. </w:t>
      </w:r>
    </w:p>
    <w:p>
      <w:pPr>
        <w:pStyle w:val="Heading3"/>
        <w:ind w:hanging="0" w:start="0"/>
        <w:rPr/>
      </w:pPr>
      <w:r>
        <w:rPr>
          <w:u w:val="single"/>
        </w:rPr>
        <w:t>Payment Periods</w:t>
      </w:r>
      <w:r>
        <w:rPr/>
        <w:t>.  Payment of the respective Milestone Payment Amount for each Unit acquired hereunder shall be due and payable by Purchaser to Seller within fifteen (15) Days of:</w:t>
      </w:r>
    </w:p>
    <w:p>
      <w:pPr>
        <w:pStyle w:val="Heading4"/>
        <w:tabs>
          <w:tab w:val="clear" w:pos="2160"/>
        </w:tabs>
        <w:ind w:hanging="0" w:start="0"/>
        <w:rPr/>
      </w:pPr>
      <w:r>
        <w:rPr/>
        <w:t xml:space="preserve">Seller achieving the applicable Milestone; and </w:t>
      </w:r>
    </w:p>
    <w:p>
      <w:pPr>
        <w:pStyle w:val="Heading4"/>
        <w:tabs>
          <w:tab w:val="clear" w:pos="2160"/>
        </w:tabs>
        <w:ind w:hanging="0" w:start="0"/>
        <w:rPr/>
      </w:pPr>
      <w:r>
        <w:rPr/>
        <w:t>Purchaser’s receipt of a properly prepared invoice for such Milestone Payment Amount, in accordance with the Milestone Payment Schedule set forth in Section 6.1.2.</w:t>
      </w:r>
    </w:p>
    <w:p>
      <w:pPr>
        <w:pStyle w:val="Heading3"/>
        <w:ind w:hanging="0" w:start="0"/>
        <w:rPr/>
      </w:pPr>
      <w:r>
        <w:rPr>
          <w:u w:val="single"/>
        </w:rPr>
        <w:t>Payment Milestones</w:t>
      </w:r>
      <w:r>
        <w:rPr/>
        <w:t xml:space="preserve">. </w:t>
      </w:r>
    </w:p>
    <w:p>
      <w:pPr>
        <w:pStyle w:val="Normal"/>
        <w:spacing w:lineRule="auto" w:line="300" w:before="0" w:after="240"/>
        <w:jc w:val="center"/>
        <w:rPr>
          <w:b/>
        </w:rPr>
      </w:pPr>
      <w:r>
        <w:rPr>
          <w:b/>
        </w:rPr>
        <w:t>MILESTONE PAYMENT SCHEDULE FOR EACH UNIT</w:t>
      </w:r>
    </w:p>
    <w:p>
      <w:pPr>
        <w:pStyle w:val="Normal"/>
        <w:spacing w:lineRule="auto" w:line="300"/>
        <w:jc w:val="both"/>
        <w:rPr>
          <w:b/>
        </w:rPr>
      </w:pPr>
      <w:r>
        <w:rPr>
          <w:b/>
        </w:rPr>
        <w:t>[Note: Table should be revised on a case-by-case basis. Payments already made by WestdeutscheLB should be marked as “Paid” in the chart.]</w:t>
      </w:r>
    </w:p>
    <w:p>
      <w:pPr>
        <w:pStyle w:val="Normal"/>
        <w:rPr>
          <w:b/>
        </w:rPr>
      </w:pPr>
      <w:r>
        <w:rPr>
          <w:b/>
        </w:rPr>
      </w:r>
    </w:p>
    <w:tbl>
      <w:tblPr>
        <w:tblW w:w="10080" w:type="dxa"/>
        <w:jc w:val="start"/>
        <w:tblInd w:w="141" w:type="dxa"/>
        <w:tblLayout w:type="fixed"/>
        <w:tblCellMar>
          <w:top w:w="0" w:type="dxa"/>
          <w:start w:w="141" w:type="dxa"/>
          <w:bottom w:w="0" w:type="dxa"/>
          <w:end w:w="141" w:type="dxa"/>
        </w:tblCellMar>
      </w:tblPr>
      <w:tblGrid>
        <w:gridCol w:w="1980"/>
        <w:gridCol w:w="1620"/>
        <w:gridCol w:w="648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snapToGrid w:val="false"/>
              <w:rPr/>
            </w:pPr>
            <w:r>
              <w:rPr/>
            </w:r>
          </w:p>
          <w:p>
            <w:pPr>
              <w:pStyle w:val="Normal"/>
              <w:jc w:val="center"/>
              <w:rPr>
                <w:b/>
              </w:rPr>
            </w:pPr>
            <w:r>
              <w:rPr>
                <w:b/>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snapToGrid w:val="false"/>
              <w:rPr>
                <w:b/>
              </w:rPr>
            </w:pPr>
            <w:r>
              <w:rPr>
                <w:b/>
              </w:rPr>
            </w:r>
          </w:p>
          <w:p>
            <w:pPr>
              <w:pStyle w:val="Normal"/>
              <w:rPr>
                <w:b/>
              </w:rPr>
            </w:pPr>
            <w:r>
              <w:rPr>
                <w:b/>
              </w:rPr>
              <w:t>MILESTONE #</w:t>
            </w:r>
          </w:p>
        </w:tc>
        <w:tc>
          <w:tcPr>
            <w:tcW w:w="6480" w:type="dxa"/>
            <w:tcBorders>
              <w:top w:val="double" w:sz="6" w:space="0" w:color="000000"/>
              <w:start w:val="single" w:sz="6" w:space="0" w:color="000000"/>
              <w:bottom w:val="single" w:sz="6" w:space="0" w:color="FFFFFF"/>
              <w:end w:val="double" w:sz="6" w:space="0" w:color="000000"/>
            </w:tcBorders>
          </w:tcPr>
          <w:p>
            <w:pPr>
              <w:pStyle w:val="Normal"/>
              <w:snapToGrid w:val="false"/>
              <w:rPr>
                <w:b/>
              </w:rPr>
            </w:pPr>
            <w:r>
              <w:rPr>
                <w:b/>
              </w:rPr>
            </w:r>
          </w:p>
          <w:p>
            <w:pPr>
              <w:pStyle w:val="Normal"/>
              <w:rPr>
                <w:b/>
              </w:rPr>
            </w:pPr>
            <w:r>
              <w:rPr>
                <w:b/>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rPr>
                <w:b/>
              </w:rPr>
            </w:pPr>
            <w:r>
              <w:rPr>
                <w:b/>
              </w:rPr>
            </w:r>
          </w:p>
          <w:p>
            <w:pPr>
              <w:pStyle w:val="Normal"/>
              <w:jc w:val="center"/>
              <w:rPr/>
            </w:pPr>
            <w:r>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jc w:val="center"/>
              <w:rPr/>
            </w:pPr>
            <w:r>
              <w:rPr/>
              <w:t>1</w:t>
            </w:r>
          </w:p>
        </w:tc>
        <w:tc>
          <w:tcPr>
            <w:tcW w:w="6480" w:type="dxa"/>
            <w:tcBorders>
              <w:top w:val="single" w:sz="6" w:space="0" w:color="000000"/>
              <w:start w:val="single" w:sz="6" w:space="0" w:color="000000"/>
              <w:bottom w:val="single" w:sz="6" w:space="0" w:color="FFFFFF"/>
              <w:end w:val="double" w:sz="6" w:space="0" w:color="000000"/>
            </w:tcBorders>
          </w:tcPr>
          <w:p>
            <w:pPr>
              <w:pStyle w:val="Normal"/>
              <w:rPr/>
            </w:pPr>
            <w:r>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rPr>
                <w:b/>
              </w:rPr>
            </w:pPr>
            <w:r>
              <w:rPr>
                <w:b/>
              </w:rPr>
            </w:r>
          </w:p>
          <w:p>
            <w:pPr>
              <w:pStyle w:val="Normal"/>
              <w:jc w:val="center"/>
              <w:rPr/>
            </w:pPr>
            <w:r>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jc w:val="center"/>
              <w:rPr/>
            </w:pPr>
            <w:r>
              <w:rPr/>
              <w:t>2</w:t>
            </w:r>
          </w:p>
        </w:tc>
        <w:tc>
          <w:tcPr>
            <w:tcW w:w="6480" w:type="dxa"/>
            <w:tcBorders>
              <w:top w:val="single" w:sz="6" w:space="0" w:color="000000"/>
              <w:start w:val="single" w:sz="6" w:space="0" w:color="000000"/>
              <w:bottom w:val="single" w:sz="6" w:space="0" w:color="FFFFFF"/>
              <w:end w:val="double" w:sz="6" w:space="0" w:color="000000"/>
            </w:tcBorders>
          </w:tcPr>
          <w:p>
            <w:pPr>
              <w:pStyle w:val="Normal"/>
              <w:rPr/>
            </w:pPr>
            <w:r>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rPr>
                <w:b/>
              </w:rPr>
            </w:pPr>
            <w:r>
              <w:rPr>
                <w:b/>
              </w:rPr>
            </w:r>
          </w:p>
          <w:p>
            <w:pPr>
              <w:pStyle w:val="Normal"/>
              <w:jc w:val="center"/>
              <w:rPr/>
            </w:pPr>
            <w:r>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jc w:val="center"/>
              <w:rPr/>
            </w:pPr>
            <w:r>
              <w:rPr/>
              <w:t>3</w:t>
            </w:r>
          </w:p>
          <w:p>
            <w:pPr>
              <w:pStyle w:val="Normal"/>
              <w:jc w:val="center"/>
              <w:rPr/>
            </w:pPr>
            <w:r>
              <w:rPr/>
            </w:r>
          </w:p>
        </w:tc>
        <w:tc>
          <w:tcPr>
            <w:tcW w:w="648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rPr/>
            </w:pPr>
            <w:r>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snapToGrid w:val="false"/>
              <w:rPr>
                <w:b/>
              </w:rPr>
            </w:pPr>
            <w:r>
              <w:rPr>
                <w:b/>
              </w:rPr>
            </w:r>
          </w:p>
          <w:p>
            <w:pPr>
              <w:pStyle w:val="Normal"/>
              <w:jc w:val="center"/>
              <w:rPr/>
            </w:pPr>
            <w:r>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snapToGrid w:val="false"/>
              <w:rPr/>
            </w:pPr>
            <w:r>
              <w:rPr/>
            </w:r>
          </w:p>
          <w:p>
            <w:pPr>
              <w:pStyle w:val="Normal"/>
              <w:jc w:val="center"/>
              <w:rPr/>
            </w:pPr>
            <w:r>
              <w:rPr/>
              <w:t>4</w:t>
            </w:r>
          </w:p>
        </w:tc>
        <w:tc>
          <w:tcPr>
            <w:tcW w:w="6480" w:type="dxa"/>
            <w:tcBorders>
              <w:top w:val="single" w:sz="6" w:space="0" w:color="000000"/>
              <w:start w:val="single" w:sz="6" w:space="0" w:color="000000"/>
              <w:bottom w:val="single" w:sz="6" w:space="0" w:color="FFFFFF"/>
              <w:end w:val="double" w:sz="6" w:space="0" w:color="000000"/>
            </w:tcBorders>
          </w:tcPr>
          <w:p>
            <w:pPr>
              <w:pStyle w:val="Normal"/>
              <w:snapToGrid w:val="false"/>
              <w:rPr/>
            </w:pPr>
            <w:r>
              <w:rPr/>
            </w:r>
          </w:p>
          <w:p>
            <w:pPr>
              <w:pStyle w:val="Normal"/>
              <w:rPr/>
            </w:pPr>
            <w:r>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spacing w:before="0" w:after="58"/>
              <w:jc w:val="center"/>
              <w:rPr/>
            </w:pPr>
            <w:r>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spacing w:before="0" w:after="58"/>
              <w:jc w:val="center"/>
              <w:rPr/>
            </w:pPr>
            <w:r>
              <w:rPr/>
              <w:t>5</w:t>
            </w:r>
          </w:p>
        </w:tc>
        <w:tc>
          <w:tcPr>
            <w:tcW w:w="6480" w:type="dxa"/>
            <w:tcBorders>
              <w:top w:val="single" w:sz="6" w:space="0" w:color="000000"/>
              <w:start w:val="single" w:sz="6" w:space="0" w:color="000000"/>
              <w:bottom w:val="double" w:sz="6" w:space="0" w:color="000000"/>
              <w:end w:val="double" w:sz="6" w:space="0" w:color="000000"/>
            </w:tcBorders>
          </w:tcPr>
          <w:p>
            <w:pPr>
              <w:pStyle w:val="Normal"/>
              <w:spacing w:before="0" w:after="58"/>
              <w:rPr/>
            </w:pPr>
            <w:r>
              <w:rPr/>
              <w:t>Acceptance of each Unit (See Note 1)</w:t>
            </w:r>
          </w:p>
        </w:tc>
      </w:tr>
    </w:tbl>
    <w:p>
      <w:pPr>
        <w:pStyle w:val="Normal"/>
        <w:rPr/>
      </w:pPr>
      <w:r>
        <w:rPr/>
      </w:r>
    </w:p>
    <w:p>
      <w:pPr>
        <w:pStyle w:val="Normal"/>
        <w:spacing w:lineRule="auto" w:line="300"/>
        <w:jc w:val="both"/>
        <w:rPr/>
      </w:pPr>
      <w:r>
        <w:rPr/>
        <w:t>Note 1:  Payment of the final ten percent (10%) of the Purchase Amount (Payment Number 5) is subject to Section 6.1.3.</w:t>
      </w:r>
    </w:p>
    <w:p>
      <w:pPr>
        <w:pStyle w:val="Normal"/>
        <w:spacing w:lineRule="auto" w:line="300"/>
        <w:jc w:val="both"/>
        <w:rPr/>
      </w:pPr>
      <w:r>
        <w:rPr/>
        <w:t xml:space="preserve"> </w:t>
      </w:r>
    </w:p>
    <w:p>
      <w:pPr>
        <w:pStyle w:val="Heading3"/>
        <w:ind w:hanging="0" w:start="0"/>
        <w:rPr/>
      </w:pPr>
      <w:r>
        <w:rPr>
          <w:u w:val="single"/>
        </w:rPr>
        <w:t>Retention</w:t>
      </w:r>
      <w:r>
        <w:rPr/>
        <w:t>.  Purchaser shall retain the last ten percent (10%) of the Purchase Amount (Payment Number 5) (the “Retention Amount”) for each Unit acquired pursuant to this Agreement until the expiry of the Primary Warranty Period; provided, however, Purchaser shall pay Seller the Retention Amount as earned when:</w:t>
      </w:r>
    </w:p>
    <w:p>
      <w:pPr>
        <w:pStyle w:val="Heading4"/>
        <w:tabs>
          <w:tab w:val="clear" w:pos="2160"/>
        </w:tabs>
        <w:ind w:hanging="0" w:start="0"/>
        <w:rPr/>
      </w:pPr>
      <w:r>
        <w:rPr/>
        <w:t xml:space="preserve">Seller satisfies the requirements set forth in Section 6.6; </w:t>
      </w:r>
    </w:p>
    <w:p>
      <w:pPr>
        <w:pStyle w:val="Heading4"/>
        <w:tabs>
          <w:tab w:val="clear" w:pos="2160"/>
        </w:tabs>
        <w:ind w:hanging="0" w:start="0"/>
        <w:rPr/>
      </w:pPr>
      <w:r>
        <w:rPr/>
        <w:t xml:space="preserve">Seller provides the Retention Surety Bond; </w:t>
      </w:r>
    </w:p>
    <w:p>
      <w:pPr>
        <w:pStyle w:val="Heading4"/>
        <w:tabs>
          <w:tab w:val="clear" w:pos="2160"/>
        </w:tabs>
        <w:ind w:hanging="0" w:start="0"/>
        <w:rPr/>
      </w:pPr>
      <w:r>
        <w:rPr/>
        <w:t xml:space="preserve">Acceptance occurs; </w:t>
      </w:r>
    </w:p>
    <w:p>
      <w:pPr>
        <w:pStyle w:val="Heading4"/>
        <w:tabs>
          <w:tab w:val="clear" w:pos="2160"/>
        </w:tabs>
        <w:ind w:hanging="0" w:start="0"/>
        <w:rPr/>
      </w:pPr>
      <w:r>
        <w:rPr/>
        <w:t>Seller delivers all documentation required by this Agreement; and</w:t>
      </w:r>
    </w:p>
    <w:p>
      <w:pPr>
        <w:pStyle w:val="Heading4"/>
        <w:tabs>
          <w:tab w:val="clear" w:pos="2160"/>
        </w:tabs>
        <w:ind w:hanging="0" w:start="0"/>
        <w:rPr/>
      </w:pPr>
      <w:r>
        <w:rPr/>
        <w:t>“</w:t>
      </w:r>
      <w:r>
        <w:rPr/>
        <w:t>Punchlist” items, if any, have been corrected.</w:t>
      </w:r>
    </w:p>
    <w:p>
      <w:pPr>
        <w:pStyle w:val="Normal"/>
        <w:spacing w:lineRule="auto" w:line="300" w:before="0" w:after="240"/>
        <w:jc w:val="both"/>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w:t>
      </w:r>
      <w:r>
        <w:rPr>
          <w:b/>
        </w:rPr>
        <w:t xml:space="preserve">[Note: Upon the expiry of the Primary Warranty Period of each Unit, should the Retention Surety Bond be reduced incrementally by the Retention Amount attributable for that Unit?] </w:t>
      </w:r>
    </w:p>
    <w:p>
      <w:pPr>
        <w:pStyle w:val="Heading3"/>
        <w:ind w:hanging="0" w:start="0"/>
        <w:rPr/>
      </w:pPr>
      <w:r>
        <w:rPr>
          <w:u w:val="single"/>
        </w:rPr>
        <w:t>Not Used</w:t>
      </w:r>
      <w:r>
        <w:rPr/>
        <w:t>.</w:t>
        <w:tab/>
      </w:r>
    </w:p>
    <w:p>
      <w:pPr>
        <w:pStyle w:val="Heading3"/>
        <w:ind w:hanging="0" w:start="0"/>
        <w:rPr/>
      </w:pPr>
      <w:r>
        <w:rPr/>
        <w:t>Payment of the O &amp; M Spare Parts Amount, to the extent Purchaser orders O &amp; M Spare Parts, shall be due and payable by Purchaser to Seller within thirty (30) Days of:</w:t>
      </w:r>
    </w:p>
    <w:p>
      <w:pPr>
        <w:pStyle w:val="Heading4"/>
        <w:tabs>
          <w:tab w:val="clear" w:pos="2160"/>
        </w:tabs>
        <w:ind w:hanging="0" w:start="0"/>
        <w:rPr/>
      </w:pPr>
      <w:r>
        <w:rPr/>
        <w:t>Seller’s proper delivery of all of the O &amp; M Spare Parts to the Delivery Point in accordance with terms of the Change Order issued hereunder; and</w:t>
      </w:r>
    </w:p>
    <w:p>
      <w:pPr>
        <w:pStyle w:val="Heading4"/>
        <w:tabs>
          <w:tab w:val="clear" w:pos="2160"/>
        </w:tabs>
        <w:ind w:hanging="0" w:start="0"/>
        <w:rPr/>
      </w:pPr>
      <w:r>
        <w:rPr/>
        <w:t>Purchaser’s receipt of a properly prepared invoice for such Spare Parts Amount.</w:t>
      </w:r>
    </w:p>
    <w:p>
      <w:pPr>
        <w:pStyle w:val="Normal"/>
        <w:spacing w:before="0" w:after="240"/>
        <w:jc w:val="both"/>
        <w:rPr>
          <w:b/>
        </w:rPr>
      </w:pPr>
      <w:r>
        <w:rPr>
          <w:b/>
        </w:rPr>
        <w:t>[Note: This language will depend upon how spare parts are handled - i.e., are they purchased from WestdeutscheLB or ABB?]</w:t>
      </w:r>
    </w:p>
    <w:p>
      <w:pPr>
        <w:pStyle w:val="Heading2"/>
        <w:tabs>
          <w:tab w:val="clear" w:pos="1080"/>
        </w:tabs>
        <w:ind w:hanging="0" w:start="0"/>
        <w:rPr/>
      </w:pPr>
      <w:r>
        <w:rPr>
          <w:u w:val="single"/>
        </w:rPr>
        <w:t>Payment Disputes</w:t>
      </w: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tabs>
          <w:tab w:val="clear" w:pos="1080"/>
        </w:tabs>
        <w:ind w:hanging="0" w:start="0"/>
        <w:rPr/>
      </w:pPr>
      <w:r>
        <w:rPr>
          <w:u w:val="single"/>
        </w:rPr>
        <w:t>Payments Withheld or Offset</w:t>
      </w:r>
      <w:r>
        <w:rPr/>
        <w:t>.</w:t>
      </w:r>
    </w:p>
    <w:p>
      <w:pPr>
        <w:pStyle w:val="Heading3"/>
        <w:keepNext w:val="true"/>
        <w:keepLines/>
        <w:ind w:hanging="0" w:start="0"/>
        <w:rPr/>
      </w:pPr>
      <w:r>
        <w:rPr>
          <w:u w:val="single"/>
        </w:rPr>
        <w:t>Payments Withheld</w:t>
      </w: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tabs>
          <w:tab w:val="clear" w:pos="2160"/>
        </w:tabs>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tabs>
          <w:tab w:val="clear" w:pos="216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tabs>
          <w:tab w:val="clear" w:pos="2160"/>
        </w:tabs>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pPr>
      <w:r>
        <w:rPr>
          <w:u w:val="single"/>
        </w:rPr>
        <w:t>Offset for Liquidated Damages</w:t>
      </w: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pPr>
      <w:r>
        <w:rPr>
          <w:u w:val="single"/>
        </w:rPr>
        <w:t>Payment of Subcontractors</w:t>
      </w: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tabs>
          <w:tab w:val="clear" w:pos="1080"/>
        </w:tabs>
        <w:ind w:hanging="0" w:start="0"/>
        <w:rPr/>
      </w:pPr>
      <w:r>
        <w:rPr>
          <w:u w:val="single"/>
        </w:rPr>
        <w:t>Payment of Liquidated Damages</w:t>
      </w:r>
      <w:r>
        <w:rPr/>
        <w:t xml:space="preserve">.  </w:t>
      </w:r>
    </w:p>
    <w:p>
      <w:pPr>
        <w:pStyle w:val="Heading3"/>
        <w:ind w:hanging="0" w:start="0"/>
        <w:rPr/>
      </w:pPr>
      <w:r>
        <w:rPr>
          <w:u w:val="single"/>
        </w:rPr>
        <w:t>Payment of Document Delivery Liquidated Damages</w:t>
      </w: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pPr>
      <w:r>
        <w:rPr>
          <w:u w:val="single"/>
        </w:rPr>
        <w:t xml:space="preserve">Payment of Delivery Liquidated Damages </w:t>
      </w: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pPr>
      <w:r>
        <w:rPr>
          <w:u w:val="single"/>
        </w:rPr>
        <w:t>Payment of Installation Liquidated Damages (If Purchaser Elects the Installation Option)</w:t>
      </w: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pPr>
      <w:r>
        <w:rPr>
          <w:u w:val="single"/>
        </w:rPr>
        <w:t>Payment of Operable Delay Liquidated Damages</w:t>
      </w: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pPr>
      <w:r>
        <w:rPr>
          <w:u w:val="single"/>
        </w:rPr>
        <w:t>Payment of Electrical Losses Liquidated Damages</w:t>
      </w: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tabs>
          <w:tab w:val="clear" w:pos="1080"/>
        </w:tabs>
        <w:ind w:hanging="0" w:start="0"/>
        <w:rPr/>
      </w:pPr>
      <w:r>
        <w:rPr>
          <w:u w:val="single"/>
        </w:rPr>
        <w:t>Notices of Nonpayment</w:t>
      </w: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tabs>
          <w:tab w:val="clear" w:pos="1080"/>
        </w:tabs>
        <w:ind w:hanging="0" w:start="0"/>
        <w:rPr/>
      </w:pPr>
      <w:r>
        <w:rPr>
          <w:u w:val="single"/>
        </w:rPr>
        <w:t>Lien Release</w:t>
      </w:r>
      <w:r>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tabs>
          <w:tab w:val="clear" w:pos="1080"/>
        </w:tabs>
        <w:ind w:hanging="0" w:start="0"/>
        <w:rPr/>
      </w:pPr>
      <w:r>
        <w:rPr>
          <w:u w:val="single"/>
        </w:rPr>
        <w:t>Invoices</w:t>
      </w:r>
      <w:r>
        <w:rPr/>
        <w:t>.</w:t>
      </w:r>
    </w:p>
    <w:p>
      <w:pPr>
        <w:pStyle w:val="Heading3"/>
        <w:keepNext w:val="true"/>
        <w:keepLines/>
        <w:ind w:hanging="0" w:start="0"/>
        <w:rPr/>
      </w:pPr>
      <w:r>
        <w:rPr>
          <w:u w:val="single"/>
        </w:rPr>
        <w:t>Contract Reference</w:t>
      </w:r>
      <w:r>
        <w:rPr/>
        <w:t xml:space="preserve">.  Each invoice will reference CONTRACT </w:t>
      </w:r>
      <w:r>
        <w:rPr>
          <w:b/>
        </w:rPr>
        <w:t>[________]</w:t>
      </w:r>
      <w:r>
        <w:rPr/>
        <w:t>.</w:t>
      </w:r>
    </w:p>
    <w:p>
      <w:pPr>
        <w:pStyle w:val="Heading3"/>
        <w:ind w:hanging="0" w:start="0"/>
        <w:rPr/>
      </w:pPr>
      <w:r>
        <w:rPr>
          <w:u w:val="single"/>
        </w:rPr>
        <w:t>Address for Invoices</w:t>
      </w:r>
      <w:r>
        <w:rPr/>
        <w:t>.  Invoices will be mailed or hand carried to:</w:t>
      </w:r>
    </w:p>
    <w:p>
      <w:pPr>
        <w:pStyle w:val="Normal"/>
        <w:spacing w:lineRule="auto" w:line="300"/>
        <w:jc w:val="both"/>
        <w:rPr>
          <w:b/>
        </w:rPr>
      </w:pPr>
      <w:r>
        <w:rPr>
          <w:b/>
        </w:rPr>
        <w:t>[__________________________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Attn:  _____________________]</w:t>
      </w:r>
    </w:p>
    <w:p>
      <w:pPr>
        <w:pStyle w:val="Normal"/>
        <w:spacing w:lineRule="auto" w:line="300"/>
        <w:jc w:val="both"/>
        <w:rPr/>
      </w:pPr>
      <w:r>
        <w:rPr/>
        <w:t xml:space="preserve">      </w:t>
      </w:r>
    </w:p>
    <w:p>
      <w:pPr>
        <w:pStyle w:val="Normal"/>
        <w:spacing w:lineRule="auto" w:line="300" w:before="0" w:after="240"/>
        <w:jc w:val="both"/>
        <w:rPr/>
      </w:pPr>
      <w:r>
        <w:rPr/>
        <w:t xml:space="preserve">Purchaser anticipates that this address may change, and will notify Seller of such change, prior to the change. </w:t>
      </w:r>
    </w:p>
    <w:p>
      <w:pPr>
        <w:pStyle w:val="Heading3"/>
        <w:ind w:hanging="0" w:start="0"/>
        <w:rPr/>
      </w:pPr>
      <w:r>
        <w:rPr>
          <w:u w:val="single"/>
        </w:rPr>
        <w:t>Date of Receipt</w:t>
      </w:r>
      <w:r>
        <w:rPr/>
        <w:t>.  Date of receipt of invoice by Purchaser will be evidenced by date stamp, or other generally accepted date receipting system.</w:t>
      </w:r>
    </w:p>
    <w:p>
      <w:pPr>
        <w:pStyle w:val="Heading2"/>
        <w:tabs>
          <w:tab w:val="clear" w:pos="1080"/>
        </w:tabs>
        <w:ind w:hanging="0" w:start="0"/>
        <w:rPr/>
      </w:pPr>
      <w:r>
        <w:rPr>
          <w:u w:val="single"/>
        </w:rPr>
        <w:t>Method of Payment</w:t>
      </w: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tabs>
          <w:tab w:val="clear" w:pos="1080"/>
        </w:tabs>
        <w:ind w:hanging="0" w:start="0"/>
        <w:rPr/>
      </w:pPr>
      <w:r>
        <w:rPr>
          <w:u w:val="single"/>
        </w:rPr>
        <w:t>Payments Not Acceptance of Work</w:t>
      </w: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tabs>
          <w:tab w:val="clear" w:pos="1080"/>
        </w:tabs>
        <w:ind w:hanging="0" w:start="0"/>
        <w:rPr/>
      </w:pPr>
      <w:r>
        <w:rPr/>
        <w:t>EFFECTIVE DATE, COMMENCEMENT OF THE WORK, TERMINATION</w:t>
      </w:r>
    </w:p>
    <w:p>
      <w:pPr>
        <w:pStyle w:val="Heading2"/>
        <w:tabs>
          <w:tab w:val="clear" w:pos="1080"/>
        </w:tabs>
        <w:ind w:hanging="0" w:start="0"/>
        <w:rPr/>
      </w:pPr>
      <w:r>
        <w:rPr>
          <w:u w:val="single"/>
        </w:rPr>
        <w:t>Effective Date</w:t>
      </w:r>
      <w:r>
        <w:rPr/>
        <w:t xml:space="preserve">.  The effective date of this Agreement shall be </w:t>
      </w:r>
      <w:r>
        <w:rPr>
          <w:b/>
        </w:rPr>
        <w:t>[__________]</w:t>
      </w:r>
      <w:r>
        <w:rPr/>
        <w:t xml:space="preserve">, 2000, (the “Effective Date”). </w:t>
      </w:r>
    </w:p>
    <w:p>
      <w:pPr>
        <w:pStyle w:val="Heading2"/>
        <w:tabs>
          <w:tab w:val="clear" w:pos="1080"/>
        </w:tabs>
        <w:ind w:hanging="0" w:start="0"/>
        <w:rPr/>
      </w:pPr>
      <w:r>
        <w:rPr>
          <w:u w:val="single"/>
        </w:rPr>
        <w:t>Commencement of Work</w:t>
      </w:r>
      <w:r>
        <w:rPr/>
        <w:t xml:space="preserve">.  Seller shall have been deemed to receive Notice to proceed as of the Effective Date.  Such Notice authorized Seller to proceed with the full Scope of Work subject to the terms of this Agreement.  </w:t>
      </w:r>
      <w:r>
        <w:rPr>
          <w:b/>
        </w:rPr>
        <w:t>[Note:  How do we account for the fact that Seller already received the notice to proceed under the Westdeutsche/ABB Agreement?]</w:t>
      </w:r>
    </w:p>
    <w:p>
      <w:pPr>
        <w:pStyle w:val="Heading2"/>
        <w:tabs>
          <w:tab w:val="clear" w:pos="1080"/>
        </w:tabs>
        <w:ind w:hanging="0" w:start="0"/>
        <w:rPr/>
      </w:pPr>
      <w:r>
        <w:rPr>
          <w:u w:val="single"/>
        </w:rPr>
        <w:t>Termination</w:t>
      </w:r>
      <w:r>
        <w:rPr/>
        <w:t>.  This Agreement shall terminate upon the earlier of:</w:t>
      </w:r>
    </w:p>
    <w:p>
      <w:pPr>
        <w:pStyle w:val="Heading4"/>
        <w:tabs>
          <w:tab w:val="clear" w:pos="2160"/>
        </w:tabs>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tabs>
          <w:tab w:val="clear" w:pos="2160"/>
        </w:tabs>
        <w:ind w:hanging="0" w:start="0"/>
        <w:rPr/>
      </w:pPr>
      <w:r>
        <w:rPr/>
        <w:t>termination due to an event of default by Seller or Purchaser under Article XVII;  or</w:t>
      </w:r>
    </w:p>
    <w:p>
      <w:pPr>
        <w:pStyle w:val="Heading4"/>
        <w:tabs>
          <w:tab w:val="clear" w:pos="2160"/>
        </w:tabs>
        <w:ind w:hanging="0" w:start="0"/>
        <w:rPr/>
      </w:pPr>
      <w:r>
        <w:rPr/>
        <w:t>when all obligations of the Parties under this Agreement are complete;  or</w:t>
      </w:r>
    </w:p>
    <w:p>
      <w:pPr>
        <w:pStyle w:val="Normal"/>
        <w:spacing w:lineRule="auto" w:line="300" w:before="0" w:after="240"/>
        <w:jc w:val="both"/>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tabs>
          <w:tab w:val="clear" w:pos="1080"/>
        </w:tabs>
        <w:ind w:hanging="0" w:start="0"/>
        <w:rPr/>
      </w:pPr>
      <w:r>
        <w:rPr/>
        <w:t>RELATIONSHIP OF PURCHASER AND SELLER</w:t>
      </w:r>
    </w:p>
    <w:p>
      <w:pPr>
        <w:pStyle w:val="Heading2"/>
        <w:tabs>
          <w:tab w:val="clear" w:pos="1080"/>
        </w:tabs>
        <w:ind w:hanging="0" w:start="0"/>
        <w:rPr/>
      </w:pPr>
      <w:r>
        <w:rPr>
          <w:u w:val="single"/>
        </w:rPr>
        <w:t>Status of Contractors</w:t>
      </w: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tabs>
          <w:tab w:val="clear" w:pos="1080"/>
        </w:tabs>
        <w:ind w:hanging="0" w:start="0"/>
        <w:rPr/>
      </w:pPr>
      <w:r>
        <w:rPr/>
        <w:t>INSPECTION AND CORRECTION OF WORK</w:t>
      </w:r>
    </w:p>
    <w:p>
      <w:pPr>
        <w:pStyle w:val="Heading2"/>
        <w:tabs>
          <w:tab w:val="clear" w:pos="1080"/>
        </w:tabs>
        <w:ind w:hanging="0" w:start="0"/>
        <w:rPr/>
      </w:pPr>
      <w:r>
        <w:rPr>
          <w:u w:val="single"/>
        </w:rPr>
        <w:t>Inspections</w:t>
      </w: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tabs>
          <w:tab w:val="clear" w:pos="1080"/>
        </w:tabs>
        <w:ind w:hanging="0" w:start="0"/>
        <w:rPr/>
      </w:pPr>
      <w:r>
        <w:rPr>
          <w:u w:val="single"/>
        </w:rPr>
        <w:t>Resident Facilities</w:t>
      </w:r>
      <w:r>
        <w:rPr/>
        <w:t xml:space="preserve">.  If reasonably requested by Purchaser, Seller will provide facilities as reasonably available for a resident quality representative in Seller’s work and those of its major component vendors.  </w:t>
      </w:r>
    </w:p>
    <w:p>
      <w:pPr>
        <w:pStyle w:val="Heading2"/>
        <w:tabs>
          <w:tab w:val="clear" w:pos="1080"/>
        </w:tabs>
        <w:ind w:hanging="0" w:start="0"/>
        <w:rPr/>
      </w:pPr>
      <w:r>
        <w:rPr>
          <w:u w:val="single"/>
        </w:rPr>
        <w:t>Quality Plan</w:t>
      </w:r>
      <w:r>
        <w:rPr/>
        <w:t>.  Seller shall maintain quality plan compliant with ISO 9001, 1994 and with the quality assurance plan set forth in Exhibit J, detailing:</w:t>
      </w:r>
    </w:p>
    <w:p>
      <w:pPr>
        <w:pStyle w:val="Heading4"/>
        <w:tabs>
          <w:tab w:val="clear" w:pos="2160"/>
        </w:tabs>
        <w:ind w:hanging="0" w:start="0"/>
        <w:rPr/>
      </w:pPr>
      <w:r>
        <w:rPr/>
        <w:t>specific authorities and responsibilities;</w:t>
      </w:r>
    </w:p>
    <w:p>
      <w:pPr>
        <w:pStyle w:val="Heading4"/>
        <w:tabs>
          <w:tab w:val="clear" w:pos="2160"/>
        </w:tabs>
        <w:ind w:hanging="0" w:start="0"/>
        <w:rPr/>
      </w:pPr>
      <w:r>
        <w:rPr/>
        <w:t>procedures, methods and work instructions; and</w:t>
      </w:r>
    </w:p>
    <w:p>
      <w:pPr>
        <w:pStyle w:val="Heading4"/>
        <w:tabs>
          <w:tab w:val="clear" w:pos="2160"/>
        </w:tabs>
        <w:ind w:hanging="0" w:start="0"/>
        <w:rPr/>
      </w:pPr>
      <w:r>
        <w:rPr/>
        <w:t>inspection and test plans.</w:t>
      </w:r>
    </w:p>
    <w:p>
      <w:pPr>
        <w:pStyle w:val="Heading4"/>
        <w:tabs>
          <w:tab w:val="clear" w:pos="2160"/>
        </w:tabs>
        <w:ind w:hanging="0" w:start="0"/>
        <w:rPr/>
      </w:pPr>
      <w:r>
        <w:rPr/>
        <w:t>In the event of a conflict between Exhibit J and ISO 9001, 1994 the higher standard of the two (2) shall prevail.</w:t>
      </w:r>
    </w:p>
    <w:p>
      <w:pPr>
        <w:pStyle w:val="Heading2"/>
        <w:tabs>
          <w:tab w:val="clear" w:pos="1080"/>
        </w:tabs>
        <w:ind w:hanging="0" w:start="0"/>
        <w:rPr/>
      </w:pPr>
      <w:r>
        <w:rPr>
          <w:u w:val="single"/>
        </w:rPr>
        <w:t>Notice</w:t>
      </w: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tabs>
          <w:tab w:val="clear" w:pos="1080"/>
        </w:tabs>
        <w:ind w:hanging="0" w:start="0"/>
        <w:rPr/>
      </w:pPr>
      <w:r>
        <w:rPr>
          <w:u w:val="single"/>
        </w:rPr>
        <w:t>Correction of Equipment</w:t>
      </w: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Release for Delivery</w:t>
      </w:r>
      <w:r>
        <w:rPr/>
        <w:t xml:space="preserve">.  In addition to other conditions set forth in this Agreement, prior to Seller performing any Equipment export packing and prior to actual shipment, Seller shall, at least seven (7) Days in advance, request in writing to Purchaser’s </w:t>
      </w:r>
      <w:r>
        <w:rPr>
          <w:b/>
        </w:rPr>
        <w:t>[Quality Assurance Manager]</w:t>
      </w:r>
      <w:r>
        <w:rPr/>
        <w:t xml:space="preserve"> </w:t>
      </w:r>
      <w:r>
        <w:rPr>
          <w:b/>
        </w:rPr>
        <w:t xml:space="preserve">[Note: This term is not defined.] </w:t>
      </w:r>
      <w:r>
        <w:rPr/>
        <w:t>for release to ship such Equipment.  Purchaser’s approval shall not be unreasonably withheld provided Seller has met the requirements of this Agreement.</w:t>
      </w:r>
    </w:p>
    <w:p>
      <w:pPr>
        <w:pStyle w:val="Heading1"/>
        <w:tabs>
          <w:tab w:val="clear" w:pos="1080"/>
        </w:tabs>
        <w:ind w:hanging="0" w:start="0"/>
        <w:rPr/>
      </w:pPr>
      <w:r>
        <w:rPr/>
        <w:t>DELIVERY AND PERFORMANCE</w:t>
      </w:r>
    </w:p>
    <w:p>
      <w:pPr>
        <w:pStyle w:val="Heading2"/>
        <w:tabs>
          <w:tab w:val="clear" w:pos="1080"/>
        </w:tabs>
        <w:ind w:hanging="0" w:start="0"/>
        <w:rPr/>
      </w:pPr>
      <w:r>
        <w:rPr>
          <w:u w:val="single"/>
        </w:rPr>
        <w:t>Delivery of Documentation</w:t>
      </w:r>
      <w:r>
        <w:rPr/>
        <w:t xml:space="preserve">.  In addition to the documentation specifically described within the articles of this Agreement, Seller shall supply the documentation deliverables as set forth in Drawing List set forth in Exhibit B-2 by the due dates therein. </w:t>
      </w:r>
      <w:r>
        <w:rPr>
          <w:b/>
        </w:rPr>
        <w:t xml:space="preserve">[Note: Exhibit B-2 should be amended on a case-by-case basis to delete reference to those documents already delivered] </w:t>
      </w:r>
      <w:r>
        <w:rPr/>
        <w:t>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spacing w:lineRule="auto" w:line="300" w:before="0" w:after="240"/>
        <w:jc w:val="both"/>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tabs>
          <w:tab w:val="clear" w:pos="2160"/>
        </w:tabs>
        <w:ind w:hanging="0" w:start="0"/>
        <w:rPr/>
      </w:pPr>
      <w:r>
        <w:rPr/>
        <w:t>Upon delivery of each item of documentation, Purchaser shall within fifteen (15) Days of receipt of such document review the document and provide Seller the applicable status code and comments;</w:t>
      </w:r>
    </w:p>
    <w:p>
      <w:pPr>
        <w:pStyle w:val="Heading4"/>
        <w:tabs>
          <w:tab w:val="clear" w:pos="2160"/>
        </w:tabs>
        <w:ind w:hanging="0" w:start="0"/>
        <w:rPr/>
      </w:pPr>
      <w:r>
        <w:rPr/>
        <w:t>Upon receipt of any comments from Purchaser, Seller shall diligently work to correct and resubmit such returned documentation within thirty (30) Days; and</w:t>
      </w:r>
    </w:p>
    <w:p>
      <w:pPr>
        <w:pStyle w:val="Heading4"/>
        <w:tabs>
          <w:tab w:val="clear" w:pos="2160"/>
        </w:tabs>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spacing w:lineRule="auto" w:line="300" w:before="0" w:after="240"/>
        <w:jc w:val="both"/>
        <w:rPr/>
      </w:pPr>
      <w:r>
        <w:rPr/>
        <w:t>As soon as Purchaser determines that a document will receive a “Status 3”, it will notify Seller of such.</w:t>
      </w:r>
    </w:p>
    <w:p>
      <w:pPr>
        <w:pStyle w:val="Normal"/>
        <w:spacing w:lineRule="auto" w:line="300" w:before="0" w:after="240"/>
        <w:jc w:val="both"/>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spacing w:lineRule="auto" w:line="300" w:before="0" w:after="240"/>
        <w:jc w:val="both"/>
        <w:rPr>
          <w:b/>
        </w:rPr>
      </w:pPr>
      <w:r>
        <w:rPr/>
        <w:t>Seller shall deliver nine (9) complete sets of drawings, (two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spacing w:lineRule="auto" w:line="300" w:before="0" w:after="240"/>
        <w:jc w:val="both"/>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tabs>
          <w:tab w:val="clear" w:pos="1080"/>
        </w:tabs>
        <w:ind w:hanging="0" w:start="0"/>
        <w:rPr/>
      </w:pPr>
      <w:r>
        <w:rPr>
          <w:u w:val="single"/>
        </w:rPr>
        <w:t>Delivery and Installation of Equipment</w:t>
      </w:r>
      <w:r>
        <w:rPr/>
        <w:t xml:space="preserve">.  </w:t>
      </w:r>
    </w:p>
    <w:p>
      <w:pPr>
        <w:pStyle w:val="Heading3"/>
        <w:ind w:hanging="0" w:start="0"/>
        <w:rPr>
          <w:b/>
        </w:rPr>
      </w:pPr>
      <w:r>
        <w:rPr>
          <w:u w:val="single"/>
        </w:rPr>
        <w:t>Guaranteed Installation Date (If Purchaser Elects the Installation Option)</w:t>
      </w:r>
      <w:bookmarkStart w:id="2" w:name="zTemp"/>
      <w:bookmarkEnd w:id="2"/>
      <w:r>
        <w:rPr/>
        <w:t>.  Seller shall (a) cause the Equipment to be delivered to the Delivery Point in undamaged condition in accordance with the Specification and Guaranteed Unit Delivery Date(s) as set forth in Exhibit C [</w:t>
      </w:r>
      <w:r>
        <w:rPr>
          <w:b/>
        </w:rPr>
        <w:t xml:space="preserve">Note:  Exhibit C should be revised on a case-by-case basis depending on the particular Units sold under each Facility Agreement] </w:t>
      </w:r>
      <w:r>
        <w:rPr/>
        <w:t xml:space="preserve">and  (b) conduct and satisfactorily complete the field Performance Tests at the Site (“Installation Completion”) by no later than the dates as may be agreed to by the Parties (“Guaranteed Installation Date”).  </w:t>
      </w:r>
      <w:r>
        <w:rPr>
          <w:b/>
        </w:rPr>
        <w:t>[Note: When will the Guaranteed Installation Dates be known?]</w:t>
      </w:r>
    </w:p>
    <w:p>
      <w:pPr>
        <w:pStyle w:val="Heading3"/>
        <w:ind w:hanging="0" w:start="0"/>
        <w:rPr/>
      </w:pPr>
      <w:r>
        <w:rPr>
          <w:u w:val="single"/>
        </w:rPr>
        <w:t>Delivery Restrictions.</w:t>
      </w:r>
      <w:r>
        <w:rPr/>
        <w:t xml:space="preserve">  Seller shall use appropriately licensed and insurable carriers.  Seller may not transport more than one Unit per carrier, and no tandem tows shall be permitted.  Seller may not transport the Units on the same carrier.</w:t>
      </w:r>
    </w:p>
    <w:p>
      <w:pPr>
        <w:pStyle w:val="Normal"/>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rPr/>
      </w:pPr>
      <w:r>
        <w:rPr/>
      </w:r>
    </w:p>
    <w:p>
      <w:pPr>
        <w:pStyle w:val="Heading4"/>
        <w:tabs>
          <w:tab w:val="clear" w:pos="2160"/>
        </w:tabs>
        <w:ind w:hanging="0" w:start="0"/>
        <w:rPr/>
      </w:pPr>
      <w:r>
        <w:rPr/>
        <w:t xml:space="preserve">such damage will not prevent erection of such Equipment and/or Unit; </w:t>
      </w:r>
    </w:p>
    <w:p>
      <w:pPr>
        <w:pStyle w:val="Heading4"/>
        <w:tabs>
          <w:tab w:val="clear" w:pos="2160"/>
        </w:tabs>
        <w:ind w:hanging="0" w:start="0"/>
        <w:rPr/>
      </w:pPr>
      <w:r>
        <w:rPr/>
        <w:t>Seller is able to repair or replace such damaged Equipment without delaying or interrupting assembly, erection and testing of the Equipment; and</w:t>
      </w:r>
    </w:p>
    <w:p>
      <w:pPr>
        <w:pStyle w:val="Heading4"/>
        <w:tabs>
          <w:tab w:val="clear" w:pos="2160"/>
        </w:tabs>
        <w:ind w:hanging="0" w:start="0"/>
        <w:rPr/>
      </w:pPr>
      <w:r>
        <w:rPr/>
        <w:t>Such damage once repaired by Seller will not adversely affect the performance, reliability, or longevity of the Unit.</w:t>
      </w:r>
    </w:p>
    <w:p>
      <w:pPr>
        <w:pStyle w:val="Heading3"/>
        <w:ind w:hanging="0" w:start="0"/>
        <w:rPr/>
      </w:pPr>
      <w:r>
        <w:rPr>
          <w:u w:val="single"/>
        </w:rPr>
        <w:t>Not Used</w:t>
      </w:r>
      <w:r>
        <w:rPr/>
        <w:t>.</w:t>
      </w:r>
    </w:p>
    <w:p>
      <w:pPr>
        <w:pStyle w:val="Heading3"/>
        <w:ind w:hanging="0" w:start="0"/>
        <w:rPr/>
      </w:pPr>
      <w:r>
        <w:rPr>
          <w:u w:val="single"/>
        </w:rPr>
        <w:t>Not Used</w:t>
      </w:r>
      <w:r>
        <w:rPr/>
        <w:t xml:space="preserve">.  </w:t>
      </w:r>
    </w:p>
    <w:p>
      <w:pPr>
        <w:pStyle w:val="Heading3"/>
        <w:ind w:hanging="0" w:start="0"/>
        <w:rPr/>
      </w:pPr>
      <w:r>
        <w:rPr>
          <w:u w:val="single"/>
        </w:rPr>
        <w:t>Extensions of the Guaranteed Unit Delivery and Installation Dates</w:t>
      </w:r>
      <w:r>
        <w:rPr/>
        <w:t>.</w:t>
      </w:r>
    </w:p>
    <w:p>
      <w:pPr>
        <w:pStyle w:val="Normal"/>
        <w:spacing w:lineRule="auto" w:line="300" w:before="0" w:after="240"/>
        <w:ind w:hanging="1440" w:start="1440" w:end="0"/>
        <w:jc w:val="both"/>
        <w:rPr/>
      </w:pPr>
      <w:r>
        <w:rPr>
          <w:rStyle w:val="ParaNum"/>
        </w:rPr>
        <w:t>10.2.5.1</w:t>
        <w:tab/>
      </w:r>
      <w:r>
        <w:rPr/>
        <w:t>A Guaranteed Unit Delivery and/or Installation Date may be extended by Change Order if and to the extent there has been a delay due to:</w:t>
      </w:r>
    </w:p>
    <w:p>
      <w:pPr>
        <w:pStyle w:val="Heading4"/>
        <w:tabs>
          <w:tab w:val="clear" w:pos="2160"/>
        </w:tabs>
        <w:ind w:hanging="0" w:start="0"/>
        <w:rPr/>
      </w:pPr>
      <w:r>
        <w:rPr/>
        <w:t>a suspension of the Scope of Work ordered by Purchaser;</w:t>
      </w:r>
    </w:p>
    <w:p>
      <w:pPr>
        <w:pStyle w:val="Heading4"/>
        <w:tabs>
          <w:tab w:val="clear" w:pos="2160"/>
        </w:tabs>
        <w:ind w:hanging="0" w:start="0"/>
        <w:rPr/>
      </w:pPr>
      <w:r>
        <w:rPr/>
        <w:t>an Event of Force Majeure which justifies an extension under the terms of this Agreement;</w:t>
      </w:r>
    </w:p>
    <w:p>
      <w:pPr>
        <w:pStyle w:val="Heading4"/>
        <w:tabs>
          <w:tab w:val="clear" w:pos="2160"/>
        </w:tabs>
        <w:ind w:hanging="0" w:start="0"/>
        <w:rPr/>
      </w:pPr>
      <w:r>
        <w:rPr/>
        <w:t>breach of the Agreement or default thereunder by Purchaser; or</w:t>
      </w:r>
    </w:p>
    <w:p>
      <w:pPr>
        <w:pStyle w:val="Heading4"/>
        <w:tabs>
          <w:tab w:val="clear" w:pos="2160"/>
        </w:tabs>
        <w:ind w:hanging="0" w:start="0"/>
        <w:rPr/>
      </w:pPr>
      <w:r>
        <w:rPr/>
        <w:t>Change in Law requiring changes to the Equipment as provided in Section 3.8(c)(4);</w:t>
      </w:r>
    </w:p>
    <w:p>
      <w:pPr>
        <w:pStyle w:val="Normal"/>
        <w:spacing w:lineRule="auto" w:line="300" w:before="0" w:after="240"/>
        <w:jc w:val="both"/>
        <w:rPr/>
      </w:pPr>
      <w:r>
        <w:rPr>
          <w:rStyle w:val="ParaNum"/>
        </w:rPr>
        <w:t>10.2.5.2</w:t>
        <w:tab/>
      </w:r>
      <w:r>
        <w:rPr/>
        <w:t>Seller’s entitlement to an extension of time shall be conditional upon:</w:t>
      </w:r>
    </w:p>
    <w:p>
      <w:pPr>
        <w:pStyle w:val="Normal"/>
        <w:rPr/>
      </w:pPr>
      <w:r>
        <w:rPr/>
        <w:tab/>
        <w:t>(a)</w:t>
        <w:tab/>
        <w:t>its having used reasonable endeavors to mitigate the delay;</w:t>
      </w:r>
    </w:p>
    <w:p>
      <w:pPr>
        <w:pStyle w:val="Normal"/>
        <w:rPr/>
      </w:pPr>
      <w:r>
        <w:rPr/>
      </w:r>
    </w:p>
    <w:p>
      <w:pPr>
        <w:pStyle w:val="Normal"/>
        <w:tabs>
          <w:tab w:val="clear" w:pos="720"/>
          <w:tab w:val="left" w:pos="1440" w:leader="none"/>
        </w:tabs>
        <w:ind w:hanging="720" w:start="1440" w:end="0"/>
        <w:rPr/>
      </w:pPr>
      <w:r>
        <w:rPr/>
        <w:t>(b)</w:t>
        <w:tab/>
        <w:t>its having given proper and timely Notice in accordance with the terms of this Agreement; and</w:t>
      </w:r>
    </w:p>
    <w:p>
      <w:pPr>
        <w:pStyle w:val="Normal"/>
        <w:rPr/>
      </w:pPr>
      <w:r>
        <w:rPr/>
      </w:r>
    </w:p>
    <w:p>
      <w:pPr>
        <w:pStyle w:val="Normal"/>
        <w:rPr/>
      </w:pPr>
      <w:r>
        <w:rPr/>
        <w:tab/>
        <w:t>(c)</w:t>
        <w:tab/>
        <w:t>the delay not being attributable to Seller’s default.</w:t>
      </w:r>
    </w:p>
    <w:p>
      <w:pPr>
        <w:pStyle w:val="Normal"/>
        <w:rPr/>
      </w:pPr>
      <w:r>
        <w:rPr/>
      </w:r>
    </w:p>
    <w:p>
      <w:pPr>
        <w:pStyle w:val="Heading3"/>
        <w:ind w:hanging="0" w:start="0"/>
        <w:rPr/>
      </w:pPr>
      <w:r>
        <w:rPr>
          <w:u w:val="single"/>
        </w:rPr>
        <w:t>Not Used</w:t>
      </w:r>
      <w:r>
        <w:rPr/>
        <w:t xml:space="preserve">. </w:t>
      </w:r>
    </w:p>
    <w:p>
      <w:pPr>
        <w:pStyle w:val="Heading2"/>
        <w:tabs>
          <w:tab w:val="clear" w:pos="1080"/>
        </w:tabs>
        <w:ind w:hanging="0" w:start="0"/>
        <w:rPr/>
      </w:pPr>
      <w:r>
        <w:rPr>
          <w:u w:val="single"/>
        </w:rPr>
        <w:t>Delay Liquidated Damages</w:t>
      </w:r>
      <w:r>
        <w:rPr/>
        <w:t xml:space="preserve">.  </w:t>
      </w:r>
    </w:p>
    <w:p>
      <w:pPr>
        <w:pStyle w:val="Heading3"/>
        <w:ind w:hanging="0" w:start="0"/>
        <w:rPr/>
      </w:pPr>
      <w:r>
        <w:rPr>
          <w:u w:val="single"/>
        </w:rPr>
        <w:t>Installation Liquidated Damages (If Purchaser Elects Installation Option)</w:t>
      </w:r>
      <w:r>
        <w:rPr/>
        <w:t xml:space="preserve">.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w:t>
      </w:r>
      <w:r>
        <w:rPr>
          <w:b/>
        </w:rPr>
        <w:t xml:space="preserve">[Note: When are the parties to agree upon the rate?] </w:t>
      </w:r>
      <w:r>
        <w:rPr/>
        <w:t>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p>
    <w:p>
      <w:pPr>
        <w:pStyle w:val="Heading3"/>
        <w:ind w:hanging="0" w:start="0"/>
        <w:rPr/>
      </w:pPr>
      <w:r>
        <w:rPr>
          <w:u w:val="single"/>
        </w:rPr>
        <w:t>Delivery Liquidated Damages</w:t>
      </w:r>
      <w:r>
        <w:rPr/>
        <w:t xml:space="preserve">.  For each day that Seller delivers a Unit to the Delivery Point after its respective Guaranteed Unit Delivery Date as set forth in Exhibit C attached hereto, Purchaser may assess and Seller shall pay to Purchaser, the agreed upon amount of Delivery Liquidated Damages (the “Delivery Liquidated Damages”) for such lateness. </w:t>
      </w:r>
      <w:r>
        <w:rPr>
          <w:b/>
        </w:rPr>
        <w:t>[Note: When are the parties to agree upon the rate for damages?]</w:t>
      </w:r>
    </w:p>
    <w:p>
      <w:pPr>
        <w:pStyle w:val="Heading2"/>
        <w:tabs>
          <w:tab w:val="clear" w:pos="1080"/>
        </w:tabs>
        <w:ind w:hanging="0" w:start="0"/>
        <w:rPr/>
      </w:pPr>
      <w:r>
        <w:rPr>
          <w:u w:val="single"/>
        </w:rPr>
        <w:t>Electrical Losses Guarantee</w:t>
      </w:r>
      <w:r>
        <w:rPr/>
        <w:t>.</w:t>
      </w:r>
    </w:p>
    <w:p>
      <w:pPr>
        <w:pStyle w:val="BodyText3"/>
        <w:rPr/>
      </w:pPr>
      <w:r>
        <w:rPr/>
        <w:t>All numerical values applicable to this Section 10.4 shall be defined and set forth in Exhibit A.</w:t>
      </w:r>
    </w:p>
    <w:p>
      <w:pPr>
        <w:pStyle w:val="Heading3"/>
        <w:ind w:hanging="0" w:start="0"/>
        <w:rPr>
          <w:b/>
        </w:rPr>
      </w:pPr>
      <w:r>
        <w:rPr>
          <w:u w:val="single"/>
        </w:rPr>
        <w:t>Electrical Losses Guarantee</w:t>
      </w: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r>
        <w:rPr>
          <w:b/>
        </w:rPr>
        <w:t>[Note: Exhibit A should be amended on a case-by-case basis to show the guarantee for each Unit acquired hereunder]</w:t>
      </w:r>
    </w:p>
    <w:p>
      <w:pPr>
        <w:pStyle w:val="Heading3"/>
        <w:ind w:hanging="0" w:start="0"/>
        <w:rPr/>
      </w:pPr>
      <w:r>
        <w:rPr>
          <w:u w:val="single"/>
        </w:rPr>
        <w:t>Minimum Electrical Losses Guarantee</w:t>
      </w: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pPr>
      <w:r>
        <w:rPr>
          <w:u w:val="single"/>
        </w:rPr>
        <w:t>Electrical Losses Liquidated Damages</w:t>
      </w: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r>
        <w:rPr>
          <w:b/>
        </w:rPr>
        <w:t>[Note: Exhibit A should be amended on a case-by-case basis to show the base rated load for each Unit acquired hereunder]</w:t>
      </w:r>
    </w:p>
    <w:p>
      <w:pPr>
        <w:pStyle w:val="Heading3"/>
        <w:ind w:hanging="0" w:start="0"/>
        <w:rPr/>
      </w:pPr>
      <w:r>
        <w:rPr>
          <w:u w:val="single"/>
        </w:rPr>
        <w:t>Guarantee Value Table</w:t>
      </w:r>
      <w:r>
        <w:rPr/>
        <w:t>. All values for Electrical Losses Guarantees and associated Liquidated Damages are as set forth in Exhibit A.</w:t>
      </w:r>
    </w:p>
    <w:p>
      <w:pPr>
        <w:pStyle w:val="Heading2"/>
        <w:tabs>
          <w:tab w:val="clear" w:pos="1080"/>
        </w:tabs>
        <w:ind w:hanging="0" w:start="0"/>
        <w:rPr/>
      </w:pPr>
      <w:r>
        <w:rPr>
          <w:u w:val="single"/>
        </w:rPr>
        <w:t>Most Recent Performance Test</w:t>
      </w: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pPr>
      <w:r>
        <w:rPr>
          <w:u w:val="single"/>
        </w:rPr>
        <w:t>Performance Test Required</w:t>
      </w:r>
      <w:r>
        <w:rPr/>
        <w:t>.  In the event Purchaser elects not to have conducted the Performance Tests carried out at Seller’s factory, no Electrical Losses Liquidated Damages shall be assessed or payable.</w:t>
      </w:r>
    </w:p>
    <w:p>
      <w:pPr>
        <w:pStyle w:val="Heading3"/>
        <w:ind w:hanging="0" w:start="0"/>
        <w:rPr/>
      </w:pPr>
      <w:r>
        <w:rPr>
          <w:u w:val="single"/>
        </w:rPr>
        <w:t>Setting Out of Electrical Losses Liquidated Damages</w:t>
      </w: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pPr>
      <w:r>
        <w:rPr>
          <w:u w:val="single"/>
        </w:rPr>
        <w:t>Remedy for Failures to Meet Minimum Electrical Losses Guarantee</w:t>
      </w: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tabs>
          <w:tab w:val="clear" w:pos="1080"/>
        </w:tabs>
        <w:ind w:hanging="0" w:start="0"/>
        <w:rPr/>
      </w:pPr>
      <w:r>
        <w:rPr>
          <w:u w:val="single"/>
        </w:rPr>
        <w:t>Maximum Liabilities for Liquidated Damages</w:t>
      </w:r>
      <w:r>
        <w:rPr/>
        <w:t>.</w:t>
      </w:r>
    </w:p>
    <w:p>
      <w:pPr>
        <w:pStyle w:val="Heading3"/>
        <w:ind w:hanging="0" w:start="0"/>
        <w:rPr/>
      </w:pPr>
      <w:r>
        <w:rPr>
          <w:u w:val="single"/>
        </w:rPr>
        <w:t>Maximum Document Liquidated Damages</w:t>
      </w:r>
      <w:r>
        <w:rPr/>
        <w:t xml:space="preserve">.  Seller’s maximum liability for Document Liquidated Damages shall be five percent (5%) of the Purchase Amount. </w:t>
      </w:r>
    </w:p>
    <w:p>
      <w:pPr>
        <w:pStyle w:val="Heading3"/>
        <w:ind w:hanging="0" w:start="0"/>
        <w:rPr/>
      </w:pPr>
      <w:r>
        <w:rPr>
          <w:u w:val="single"/>
        </w:rPr>
        <w:t>Maximum Electrical Losses Liquidated Damages</w:t>
      </w:r>
      <w:r>
        <w:rPr/>
        <w:t>.  Seller’s maximum liability for Electrical Losses Liquidated Damages shall be ten percent (10%) of the Purchase Amount.</w:t>
      </w:r>
    </w:p>
    <w:p>
      <w:pPr>
        <w:pStyle w:val="Heading3"/>
        <w:ind w:hanging="0" w:start="0"/>
        <w:rPr/>
      </w:pPr>
      <w:r>
        <w:rPr>
          <w:u w:val="single"/>
        </w:rPr>
        <w:t>Maximum Operable Delay Liquidated Damages</w:t>
      </w:r>
      <w:r>
        <w:rPr/>
        <w:t>. Seller’s maximum liability for Operable Delay Liquidated Damages shall be twenty percent (20%) of the Purchase Amount.</w:t>
      </w:r>
    </w:p>
    <w:p>
      <w:pPr>
        <w:pStyle w:val="Heading3"/>
        <w:ind w:hanging="0" w:start="0"/>
        <w:rPr/>
      </w:pPr>
      <w:r>
        <w:rPr>
          <w:u w:val="single"/>
        </w:rPr>
        <w:t>Maximum Aggregate Liquidated Damages</w:t>
      </w:r>
      <w:r>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Heading2"/>
        <w:tabs>
          <w:tab w:val="clear" w:pos="1080"/>
        </w:tabs>
        <w:ind w:hanging="0" w:start="0"/>
        <w:rPr/>
      </w:pPr>
      <w:r>
        <w:rPr>
          <w:u w:val="single"/>
        </w:rPr>
        <w:t>Liquidated Damages Not Penalty</w:t>
      </w:r>
      <w:r>
        <w:rPr/>
        <w:t>.  The parties acknowledge and agree that because of the unique nature of the Equipment and the time requirements for performance:</w:t>
      </w:r>
    </w:p>
    <w:p>
      <w:pPr>
        <w:pStyle w:val="Normal"/>
        <w:spacing w:lineRule="auto" w:line="300" w:before="0" w:after="240"/>
        <w:jc w:val="both"/>
        <w:rPr/>
      </w:pPr>
      <w:r>
        <w:rPr/>
        <w:t>Purchaser shall be damaged by:</w:t>
      </w:r>
    </w:p>
    <w:p>
      <w:pPr>
        <w:pStyle w:val="Heading4"/>
        <w:tabs>
          <w:tab w:val="clear" w:pos="2160"/>
        </w:tabs>
        <w:ind w:hanging="0" w:start="0"/>
        <w:rPr/>
      </w:pPr>
      <w:r>
        <w:rPr/>
        <w:t>Seller failing to accomplish delivery of documents in accordance with Section 10.1;</w:t>
      </w:r>
    </w:p>
    <w:p>
      <w:pPr>
        <w:pStyle w:val="Heading4"/>
        <w:tabs>
          <w:tab w:val="clear" w:pos="2160"/>
        </w:tabs>
        <w:ind w:hanging="0" w:start="0"/>
        <w:rPr/>
      </w:pPr>
      <w:r>
        <w:rPr/>
        <w:t>Seller failing to delivery a Unit by the Guaranteed Unit Delivery Date;</w:t>
      </w:r>
    </w:p>
    <w:p>
      <w:pPr>
        <w:pStyle w:val="Heading4"/>
        <w:tabs>
          <w:tab w:val="clear" w:pos="2160"/>
        </w:tabs>
        <w:ind w:hanging="0" w:start="0"/>
        <w:rPr/>
      </w:pPr>
      <w:r>
        <w:rPr/>
        <w:t>Seller failing to achieve Installation Completion of a Unit by the respective Guaranteed Installation Date;</w:t>
      </w:r>
    </w:p>
    <w:p>
      <w:pPr>
        <w:pStyle w:val="Heading4"/>
        <w:tabs>
          <w:tab w:val="clear" w:pos="2160"/>
        </w:tabs>
        <w:ind w:hanging="0" w:start="0"/>
        <w:rPr/>
      </w:pPr>
      <w:r>
        <w:rPr/>
        <w:t>Seller failing to cause the Units to achieve the Electrical Losses Guarantee,</w:t>
      </w:r>
    </w:p>
    <w:p>
      <w:pPr>
        <w:pStyle w:val="Heading4"/>
        <w:tabs>
          <w:tab w:val="clear" w:pos="2160"/>
        </w:tabs>
        <w:ind w:hanging="0" w:start="0"/>
        <w:rPr/>
      </w:pPr>
      <w:r>
        <w:rPr/>
        <w:t>Seller failing to cause the Units to achieve operating reliability prior to Commercial Operation of the combustion turbines,</w:t>
      </w:r>
    </w:p>
    <w:p>
      <w:pPr>
        <w:pStyle w:val="Normal"/>
        <w:spacing w:lineRule="auto" w:line="300" w:before="0" w:after="240"/>
        <w:jc w:val="both"/>
        <w:rPr/>
      </w:pPr>
      <w:r>
        <w:rPr/>
        <w:t>(the “Liquidated Damages Events”);</w:t>
      </w:r>
    </w:p>
    <w:p>
      <w:pPr>
        <w:pStyle w:val="Heading4"/>
        <w:tabs>
          <w:tab w:val="clear" w:pos="2160"/>
        </w:tabs>
        <w:ind w:hanging="0" w:start="0"/>
        <w:rPr/>
      </w:pPr>
      <w:r>
        <w:rPr/>
        <w:t>it would be impracticable or extremely difficult to fix the actual damages resulting the Liquidated Damages Events;</w:t>
      </w:r>
    </w:p>
    <w:p>
      <w:pPr>
        <w:pStyle w:val="Heading4"/>
        <w:tabs>
          <w:tab w:val="clear" w:pos="2160"/>
        </w:tabs>
        <w:ind w:hanging="0" w:start="0"/>
        <w:rPr/>
      </w:pPr>
      <w:r>
        <w:rPr/>
        <w:t xml:space="preserve">any sums which would be payable under this Article X are in the nature of Liquidated Damages, and not a penalty, and are fair and reasonable; and </w:t>
      </w:r>
    </w:p>
    <w:p>
      <w:pPr>
        <w:pStyle w:val="Heading4"/>
        <w:tabs>
          <w:tab w:val="clear" w:pos="2160"/>
        </w:tabs>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tabs>
          <w:tab w:val="clear" w:pos="1080"/>
        </w:tabs>
        <w:ind w:hanging="0" w:start="0"/>
        <w:rPr/>
      </w:pPr>
      <w:r>
        <w:rPr>
          <w:u w:val="single"/>
        </w:rPr>
        <w:t>Not Used</w:t>
      </w:r>
      <w:r>
        <w:rPr/>
        <w:t>.</w:t>
      </w:r>
    </w:p>
    <w:p>
      <w:pPr>
        <w:pStyle w:val="Heading3"/>
        <w:ind w:hanging="0" w:start="0"/>
        <w:rPr/>
      </w:pPr>
      <w:r>
        <w:rPr>
          <w:u w:val="single"/>
        </w:rPr>
        <w:t>Seller Presence at Tests</w:t>
      </w: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pPr>
      <w:r>
        <w:rPr>
          <w:u w:val="single"/>
        </w:rPr>
        <w:t>Test Results</w:t>
      </w:r>
      <w:r>
        <w:rPr/>
        <w:t xml:space="preserve">. Upon the completion of each Performance Test, Purchaser will issue a Performance Test Certificate setting forth the results achieved during such test. </w:t>
      </w:r>
    </w:p>
    <w:p>
      <w:pPr>
        <w:pStyle w:val="Heading3"/>
        <w:ind w:hanging="0" w:start="0"/>
        <w:rPr/>
      </w:pPr>
      <w:r>
        <w:rPr>
          <w:u w:val="single"/>
        </w:rPr>
        <w:t>Consumable Spare Parts During Retests</w:t>
      </w:r>
      <w:r>
        <w:rPr/>
        <w:t xml:space="preserve">.  The cost of consumable spare parts during retests caused by Seller’s failure to achieve the Electrical Losses Guarantee shall be to Seller’s account.  </w:t>
      </w:r>
    </w:p>
    <w:p>
      <w:pPr>
        <w:pStyle w:val="Heading2"/>
        <w:tabs>
          <w:tab w:val="clear" w:pos="1080"/>
        </w:tabs>
        <w:ind w:hanging="0" w:start="0"/>
        <w:rPr/>
      </w:pPr>
      <w:r>
        <w:rPr>
          <w:u w:val="single"/>
        </w:rPr>
        <w:t>Acceptance</w:t>
      </w:r>
      <w:r>
        <w:rPr/>
        <w:t xml:space="preserve">.  Acceptance shall occur on a Unit basis when all of the following have occurred: </w:t>
      </w:r>
    </w:p>
    <w:p>
      <w:pPr>
        <w:pStyle w:val="Heading4"/>
        <w:tabs>
          <w:tab w:val="clear" w:pos="2160"/>
        </w:tabs>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tabs>
          <w:tab w:val="clear" w:pos="2160"/>
        </w:tabs>
        <w:ind w:hanging="0" w:start="0"/>
        <w:rPr/>
      </w:pPr>
      <w:r>
        <w:rPr/>
        <w:t>all special tools provided hereunder shall have been delivered to Purchaser;</w:t>
      </w:r>
    </w:p>
    <w:p>
      <w:pPr>
        <w:pStyle w:val="Heading4"/>
        <w:tabs>
          <w:tab w:val="clear" w:pos="216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tabs>
          <w:tab w:val="clear" w:pos="2160"/>
        </w:tabs>
        <w:ind w:hanging="0" w:start="0"/>
        <w:rPr/>
      </w:pPr>
      <w:r>
        <w:rPr/>
        <w:t>The Unit has achieved Installation Completion (if Purchaser Elects Installation Option);</w:t>
      </w:r>
    </w:p>
    <w:p>
      <w:pPr>
        <w:pStyle w:val="Heading4"/>
        <w:tabs>
          <w:tab w:val="clear" w:pos="2160"/>
        </w:tabs>
        <w:ind w:hanging="0" w:start="0"/>
        <w:rPr/>
      </w:pPr>
      <w:r>
        <w:rPr/>
        <w:t>Seller has paid any Liquidated Damages due in accordance with Article X;  and</w:t>
      </w:r>
    </w:p>
    <w:p>
      <w:pPr>
        <w:pStyle w:val="Heading4"/>
        <w:tabs>
          <w:tab w:val="clear" w:pos="2160"/>
        </w:tabs>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spacing w:lineRule="auto" w:line="300" w:before="0" w:after="240"/>
        <w:jc w:val="both"/>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clear" w:pos="1080"/>
        </w:tabs>
        <w:ind w:hanging="0" w:start="0"/>
        <w:rPr/>
      </w:pPr>
      <w:r>
        <w:rPr>
          <w:u w:val="single"/>
        </w:rPr>
        <w:t>Manufacturing Slots</w:t>
      </w: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tabs>
          <w:tab w:val="clear" w:pos="1080"/>
        </w:tabs>
        <w:ind w:hanging="0" w:start="0"/>
        <w:rPr/>
      </w:pPr>
      <w:r>
        <w:rPr/>
        <w:t>CHANGE ORDER</w:t>
      </w:r>
    </w:p>
    <w:p>
      <w:pPr>
        <w:pStyle w:val="Heading2"/>
        <w:tabs>
          <w:tab w:val="clear" w:pos="1080"/>
        </w:tabs>
        <w:ind w:hanging="0" w:start="0"/>
        <w:rPr/>
      </w:pPr>
      <w:r>
        <w:rPr>
          <w:u w:val="single"/>
        </w:rPr>
        <w:t>Adjustment of Purchase Amount</w:t>
      </w: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Heading2"/>
        <w:tabs>
          <w:tab w:val="clear" w:pos="1080"/>
        </w:tabs>
        <w:ind w:hanging="0" w:start="0"/>
        <w:rPr/>
      </w:pPr>
      <w:r>
        <w:rPr>
          <w:u w:val="single"/>
        </w:rPr>
        <w:t>Purchaser Requested Change Order</w:t>
      </w: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r>
        <w:br w:type="page"/>
      </w:r>
    </w:p>
    <w:p>
      <w:pPr>
        <w:pStyle w:val="Heading2"/>
        <w:tabs>
          <w:tab w:val="clear" w:pos="1080"/>
        </w:tabs>
        <w:ind w:hanging="0" w:start="0"/>
        <w:rPr/>
      </w:pPr>
      <w:r>
        <w:rPr>
          <w:u w:val="single"/>
        </w:rPr>
        <w:t>Seller Requested Change Order</w:t>
      </w: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clear" w:pos="1080"/>
        </w:tabs>
        <w:ind w:hanging="0" w:start="0"/>
        <w:rPr/>
      </w:pPr>
      <w:r>
        <w:rPr>
          <w:u w:val="single"/>
        </w:rPr>
        <w:t>Other Change Order</w:t>
      </w: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tabs>
          <w:tab w:val="clear" w:pos="1080"/>
        </w:tabs>
        <w:ind w:hanging="0" w:start="0"/>
        <w:rPr/>
      </w:pPr>
      <w:r>
        <w:rPr>
          <w:u w:val="single"/>
        </w:rPr>
        <w:t>Disputes</w:t>
      </w:r>
      <w:r>
        <w:rPr/>
        <w:t xml:space="preserve">.  In the event of an unresolved dispute regarding a Change Order, the parties agree that the matter shall be submitted to expedited arbitration in accordance with Article XXVI. </w:t>
      </w:r>
    </w:p>
    <w:p>
      <w:pPr>
        <w:pStyle w:val="Heading2"/>
        <w:tabs>
          <w:tab w:val="clear" w:pos="1080"/>
        </w:tabs>
        <w:ind w:hanging="0" w:start="0"/>
        <w:rPr/>
      </w:pPr>
      <w:r>
        <w:rPr>
          <w:u w:val="single"/>
        </w:rPr>
        <w:t>Change Order Pricing</w:t>
      </w:r>
      <w:r>
        <w:rPr/>
        <w:t>.</w:t>
      </w:r>
    </w:p>
    <w:p>
      <w:pPr>
        <w:pStyle w:val="Heading3"/>
        <w:ind w:hanging="0" w:start="0"/>
        <w:rPr/>
      </w:pPr>
      <w:r>
        <w:rPr>
          <w:u w:val="single"/>
        </w:rPr>
        <w:t>Method of Pricing</w:t>
      </w:r>
      <w:r>
        <w:rPr/>
        <w:t>.  All changes to the Purchase Amount resulting from a Change Order shall be either lump sum, or unit price.  If either method cannot be agreed upon, the additional work shall be paid on a cost plus basis.</w:t>
      </w:r>
    </w:p>
    <w:p>
      <w:pPr>
        <w:pStyle w:val="Heading3"/>
        <w:ind w:hanging="0" w:start="0"/>
        <w:rPr/>
      </w:pPr>
      <w:r>
        <w:rPr>
          <w:u w:val="single"/>
        </w:rPr>
        <w:t>Cost Plus Basis</w:t>
      </w:r>
      <w:r>
        <w:rPr/>
        <w:t xml:space="preserve">.  The following procedures will be used for all cost plus Change Orders:  </w:t>
      </w:r>
    </w:p>
    <w:p>
      <w:pPr>
        <w:pStyle w:val="Heading4"/>
        <w:tabs>
          <w:tab w:val="clear" w:pos="2160"/>
        </w:tabs>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tabs>
          <w:tab w:val="clear" w:pos="2160"/>
        </w:tabs>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tabs>
          <w:tab w:val="clear" w:pos="2160"/>
        </w:tabs>
        <w:ind w:hanging="0" w:start="0"/>
        <w:rPr/>
      </w:pPr>
      <w:r>
        <w:rPr/>
        <w:t>Charges for use of equipment shall be by agreement of Purchaser’s Representative and Seller’s Project Manager, which agreement shall be noted on Purchaser’s authorization for such work.</w:t>
      </w:r>
    </w:p>
    <w:p>
      <w:pPr>
        <w:pStyle w:val="Heading4"/>
        <w:tabs>
          <w:tab w:val="clear" w:pos="2160"/>
        </w:tabs>
        <w:ind w:hanging="0" w:start="0"/>
        <w:rPr/>
      </w:pPr>
      <w:r>
        <w:rPr/>
        <w:t>Charges for third party shop equipment or services as evidenced by their invoices, plus five percent (5%) thereof.</w:t>
      </w:r>
    </w:p>
    <w:p>
      <w:pPr>
        <w:pStyle w:val="Heading4"/>
        <w:tabs>
          <w:tab w:val="clear" w:pos="2160"/>
        </w:tabs>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tabs>
          <w:tab w:val="clear" w:pos="2160"/>
        </w:tabs>
        <w:ind w:hanging="0" w:start="0"/>
        <w:rPr/>
      </w:pPr>
      <w:r>
        <w:rPr/>
        <w:t xml:space="preserve">Should Seller perform any scope change without advance written authorization from Purchaser’s Representative, as specified above, such work will be at Seller’s expense. </w:t>
      </w:r>
    </w:p>
    <w:p>
      <w:pPr>
        <w:pStyle w:val="Heading4"/>
        <w:tabs>
          <w:tab w:val="clear" w:pos="2160"/>
        </w:tabs>
        <w:ind w:hanging="0" w:start="0"/>
        <w:rPr/>
      </w:pPr>
      <w:r>
        <w:rPr/>
        <w:t>Modifications or changes in the Specification which are within the general scope of the Agreement documents may be made at any time by written order of Purchaser’s Representative to Seller.</w:t>
      </w:r>
    </w:p>
    <w:p>
      <w:pPr>
        <w:pStyle w:val="Heading1"/>
        <w:tabs>
          <w:tab w:val="clear" w:pos="1080"/>
        </w:tabs>
        <w:ind w:hanging="0" w:start="0"/>
        <w:rPr/>
      </w:pPr>
      <w:r>
        <w:rPr/>
        <w:t>INTENTIONALLY OMITTED</w:t>
      </w:r>
    </w:p>
    <w:p>
      <w:pPr>
        <w:pStyle w:val="Heading1"/>
        <w:tabs>
          <w:tab w:val="clear" w:pos="1080"/>
        </w:tabs>
        <w:ind w:hanging="0" w:start="0"/>
        <w:rPr/>
      </w:pPr>
      <w:r>
        <w:rPr/>
        <w:t>ORDER OF PRECEDENCE</w:t>
      </w:r>
    </w:p>
    <w:p>
      <w:pPr>
        <w:pStyle w:val="Heading2"/>
        <w:tabs>
          <w:tab w:val="clear" w:pos="1080"/>
        </w:tabs>
        <w:ind w:hanging="0" w:start="0"/>
        <w:rPr/>
      </w:pPr>
      <w:r>
        <w:rPr>
          <w:u w:val="single"/>
        </w:rPr>
        <w:t>Order of Precedence</w:t>
      </w:r>
      <w:r>
        <w:rPr/>
        <w:t>.  This Agreement shall be read as a whole and in the event of a conflict between documents, the following order of precedence shall govern:</w:t>
      </w:r>
    </w:p>
    <w:p>
      <w:pPr>
        <w:pStyle w:val="Normal"/>
        <w:spacing w:lineRule="auto" w:line="300"/>
        <w:ind w:firstLine="720" w:end="0"/>
        <w:jc w:val="both"/>
        <w:rPr/>
      </w:pPr>
      <w:r>
        <w:rPr/>
        <w:t>a:  Articles of this Agreement</w:t>
      </w:r>
    </w:p>
    <w:p>
      <w:pPr>
        <w:pStyle w:val="Normal"/>
        <w:spacing w:lineRule="auto" w:line="300"/>
        <w:ind w:firstLine="720" w:end="0"/>
        <w:jc w:val="both"/>
        <w:rPr/>
      </w:pPr>
      <w:r>
        <w:rPr/>
        <w:t>b:  Exhibits (except the Specification)</w:t>
      </w:r>
    </w:p>
    <w:p>
      <w:pPr>
        <w:pStyle w:val="Normal"/>
        <w:spacing w:lineRule="auto" w:line="300" w:before="0" w:after="240"/>
        <w:ind w:firstLine="720" w:end="0"/>
        <w:jc w:val="both"/>
        <w:rPr/>
      </w:pPr>
      <w:r>
        <w:rPr/>
        <w:t>c:  Specification</w:t>
      </w:r>
    </w:p>
    <w:p>
      <w:pPr>
        <w:pStyle w:val="Heading1"/>
        <w:tabs>
          <w:tab w:val="clear" w:pos="1080"/>
        </w:tabs>
        <w:ind w:hanging="0" w:start="0"/>
        <w:rPr/>
      </w:pPr>
      <w:r>
        <w:rPr/>
        <w:t>WARRANTY</w:t>
      </w:r>
    </w:p>
    <w:p>
      <w:pPr>
        <w:pStyle w:val="Heading2"/>
        <w:tabs>
          <w:tab w:val="clear" w:pos="1080"/>
        </w:tabs>
        <w:ind w:hanging="0" w:start="0"/>
        <w:rPr/>
      </w:pPr>
      <w:r>
        <w:rPr>
          <w:u w:val="single"/>
        </w:rPr>
        <w:t>Seller’s Warranty</w:t>
      </w:r>
      <w:r>
        <w:rPr/>
        <w:t>.</w:t>
      </w:r>
    </w:p>
    <w:p>
      <w:pPr>
        <w:pStyle w:val="Heading3"/>
        <w:ind w:hanging="0" w:start="0"/>
        <w:rPr/>
      </w:pPr>
      <w:r>
        <w:rPr>
          <w:u w:val="single"/>
        </w:rPr>
        <w:t xml:space="preserve">Warranty </w:t>
      </w:r>
      <w:r>
        <w:rPr/>
        <w:t>.  Seller warrants that:</w:t>
      </w:r>
    </w:p>
    <w:p>
      <w:pPr>
        <w:pStyle w:val="Heading4"/>
        <w:tabs>
          <w:tab w:val="clear" w:pos="2160"/>
        </w:tabs>
        <w:ind w:hanging="0" w:start="0"/>
        <w:rPr/>
      </w:pPr>
      <w:r>
        <w:rPr/>
        <w:t>the Equipment and all other materials and articles furnished hereunder are new, unrepaired (except as permitted by Purchaser) and of suitable grade for the purpose intended;</w:t>
      </w:r>
    </w:p>
    <w:p>
      <w:pPr>
        <w:pStyle w:val="Heading4"/>
        <w:tabs>
          <w:tab w:val="clear" w:pos="2160"/>
        </w:tabs>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tabs>
          <w:tab w:val="clear" w:pos="2160"/>
        </w:tabs>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pPr>
      <w:r>
        <w:rPr>
          <w:u w:val="single"/>
        </w:rPr>
        <w:t>Warranty Clarification</w:t>
      </w:r>
      <w:r>
        <w:rPr/>
        <w:t>.  Seller shall have no obligation for correction, repair or replacement of the Equipment in accordance with this Article XIV to the extent that a defect is the result of:</w:t>
      </w:r>
    </w:p>
    <w:p>
      <w:pPr>
        <w:pStyle w:val="Heading4"/>
        <w:tabs>
          <w:tab w:val="clear" w:pos="2160"/>
        </w:tabs>
        <w:ind w:hanging="0" w:start="0"/>
        <w:rPr/>
      </w:pPr>
      <w:r>
        <w:rPr/>
        <w:t xml:space="preserve">normal wear and tear; </w:t>
      </w:r>
    </w:p>
    <w:p>
      <w:pPr>
        <w:pStyle w:val="Heading4"/>
        <w:tabs>
          <w:tab w:val="clear" w:pos="2160"/>
        </w:tabs>
        <w:ind w:hanging="0" w:start="0"/>
        <w:rPr/>
      </w:pPr>
      <w:r>
        <w:rPr/>
        <w:t xml:space="preserve">normal degradation in the performance of the Equipment; </w:t>
      </w:r>
    </w:p>
    <w:p>
      <w:pPr>
        <w:pStyle w:val="Heading4"/>
        <w:tabs>
          <w:tab w:val="clear" w:pos="2160"/>
        </w:tabs>
        <w:ind w:hanging="0" w:start="0"/>
        <w:rPr/>
      </w:pPr>
      <w:r>
        <w:rPr/>
        <w:t>Purchaser’s misuse or negligence;</w:t>
      </w:r>
    </w:p>
    <w:p>
      <w:pPr>
        <w:pStyle w:val="Heading4"/>
        <w:tabs>
          <w:tab w:val="clear" w:pos="2160"/>
        </w:tabs>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spacing w:lineRule="auto" w:line="300" w:before="0" w:after="240"/>
        <w:jc w:val="both"/>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pPr>
      <w:r>
        <w:rPr>
          <w:u w:val="single"/>
        </w:rPr>
        <w:t>Warranty Breach Notice</w:t>
      </w:r>
      <w:r>
        <w:rPr/>
        <w:t>.  In the event Purchaser determines that a defect exists, Purchaser shall notify Seller of such a defect in writing (fax notification followed by mailed Notice) describing the nature of the breach.</w:t>
      </w:r>
    </w:p>
    <w:p>
      <w:pPr>
        <w:pStyle w:val="Heading2"/>
        <w:tabs>
          <w:tab w:val="clear" w:pos="1080"/>
        </w:tabs>
        <w:ind w:hanging="0" w:start="0"/>
        <w:rPr/>
      </w:pPr>
      <w:r>
        <w:rPr>
          <w:u w:val="single"/>
        </w:rPr>
        <w:t>Extended Warranty Period</w:t>
      </w:r>
      <w:r>
        <w:rPr/>
        <w:t>.</w:t>
      </w:r>
    </w:p>
    <w:p>
      <w:pPr>
        <w:pStyle w:val="Heading3"/>
        <w:ind w:hanging="0" w:start="0"/>
        <w:rPr/>
      </w:pPr>
      <w:r>
        <w:rPr>
          <w:u w:val="single"/>
        </w:rPr>
        <w:t>Continued Warranty on Corrections or Repairs Performed During the Primary Warranty Period</w:t>
      </w: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pPr>
      <w:r>
        <w:rPr>
          <w:u w:val="single"/>
        </w:rPr>
        <w:t>Extension of Warranty Due to Unavailability</w:t>
      </w: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tabs>
          <w:tab w:val="clear" w:pos="1080"/>
        </w:tabs>
        <w:ind w:hanging="0" w:start="0"/>
        <w:rPr/>
      </w:pPr>
      <w:r>
        <w:rPr>
          <w:u w:val="single"/>
        </w:rPr>
        <w:t>Remedy</w:t>
      </w:r>
      <w:r>
        <w:rPr/>
        <w:t>.</w:t>
      </w:r>
    </w:p>
    <w:p>
      <w:pPr>
        <w:pStyle w:val="Heading3"/>
        <w:ind w:hanging="0" w:start="0"/>
        <w:rPr/>
      </w:pPr>
      <w:r>
        <w:rPr>
          <w:u w:val="single"/>
        </w:rPr>
        <w:t>Obligations, Responsibilities and Recourse</w:t>
      </w: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tabs>
          <w:tab w:val="clear" w:pos="1080"/>
        </w:tabs>
        <w:ind w:hanging="0" w:start="0"/>
        <w:rPr/>
      </w:pPr>
      <w:r>
        <w:rPr>
          <w:u w:val="single"/>
        </w:rPr>
        <w:t>Vendor Warranty</w:t>
      </w: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tabs>
          <w:tab w:val="clear" w:pos="1080"/>
        </w:tabs>
        <w:ind w:hanging="0" w:start="0"/>
        <w:rPr/>
      </w:pPr>
      <w:r>
        <w:rPr>
          <w:u w:val="single"/>
        </w:rPr>
        <w:t>Limited Warranty</w:t>
      </w: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tabs>
          <w:tab w:val="clear" w:pos="1080"/>
        </w:tabs>
        <w:ind w:hanging="0" w:start="0"/>
        <w:rPr/>
      </w:pPr>
      <w:r>
        <w:rPr>
          <w:u w:val="single"/>
        </w:rPr>
        <w:t>Defective Equipment</w:t>
      </w: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tabs>
          <w:tab w:val="clear" w:pos="1080"/>
        </w:tabs>
        <w:ind w:hanging="0" w:start="0"/>
        <w:rPr/>
      </w:pPr>
      <w:r>
        <w:rPr>
          <w:u w:val="single"/>
        </w:rPr>
        <w:t>Termination of Warranty</w:t>
      </w: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tabs>
          <w:tab w:val="clear" w:pos="2160"/>
        </w:tabs>
        <w:ind w:hanging="0" w:start="0"/>
        <w:rPr/>
      </w:pPr>
      <w:r>
        <w:rPr/>
        <w:t>immediately take reasonable action to mitigate the damage consequent to the occurrence of the defect;  or</w:t>
      </w:r>
    </w:p>
    <w:p>
      <w:pPr>
        <w:pStyle w:val="Heading4"/>
        <w:tabs>
          <w:tab w:val="clear" w:pos="2160"/>
        </w:tabs>
        <w:ind w:hanging="0" w:start="0"/>
        <w:rPr/>
      </w:pPr>
      <w:r>
        <w:rPr/>
        <w:t>notify Seller and allow Seller to correct the defect,</w:t>
      </w:r>
    </w:p>
    <w:p>
      <w:pPr>
        <w:pStyle w:val="BodyText3"/>
        <w:rPr/>
      </w:pPr>
      <w:r>
        <w:rPr/>
        <w:t>Seller shall not be responsible for repair of that part of the damage attributed to Purchaser’s failure to take such action.</w:t>
      </w:r>
    </w:p>
    <w:p>
      <w:pPr>
        <w:pStyle w:val="Heading2"/>
        <w:tabs>
          <w:tab w:val="clear" w:pos="1080"/>
        </w:tabs>
        <w:ind w:hanging="0" w:start="0"/>
        <w:rPr/>
      </w:pPr>
      <w:r>
        <w:rPr>
          <w:u w:val="single"/>
        </w:rPr>
        <w:t>Damage to Other Facility Equipment</w:t>
      </w: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tabs>
          <w:tab w:val="clear" w:pos="1080"/>
        </w:tabs>
        <w:ind w:hanging="0" w:start="0"/>
        <w:rPr/>
      </w:pPr>
      <w:r>
        <w:rPr/>
        <w:t>RISK OF LOSS AND TITLE</w:t>
      </w:r>
    </w:p>
    <w:p>
      <w:pPr>
        <w:pStyle w:val="Heading2"/>
        <w:tabs>
          <w:tab w:val="clear" w:pos="1080"/>
        </w:tabs>
        <w:ind w:hanging="0" w:start="0"/>
        <w:rPr/>
      </w:pPr>
      <w:r>
        <w:rPr>
          <w:u w:val="single"/>
        </w:rPr>
        <w:t>Risk of Loss</w:t>
      </w: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tabs>
          <w:tab w:val="clear" w:pos="1080"/>
        </w:tabs>
        <w:ind w:hanging="0" w:start="0"/>
        <w:rPr/>
      </w:pPr>
      <w:r>
        <w:rPr>
          <w:u w:val="single"/>
        </w:rPr>
        <w:t>Title</w:t>
      </w:r>
      <w:r>
        <w:rPr/>
        <w:t>.</w:t>
      </w:r>
    </w:p>
    <w:p>
      <w:pPr>
        <w:pStyle w:val="Heading3"/>
        <w:ind w:hanging="0" w:start="0"/>
        <w:rPr/>
      </w:pPr>
      <w:r>
        <w:rPr>
          <w:u w:val="single"/>
        </w:rPr>
        <w:t>Passage of Title</w:t>
      </w:r>
      <w:r>
        <w:rPr/>
        <w:t xml:space="preserve">.  Title to Equipment, drawings, specifications, </w:t>
      </w:r>
      <w:r>
        <w:rPr>
          <w:b/>
        </w:rPr>
        <w:t>[O &amp; M Manuals]</w:t>
      </w:r>
      <w:r>
        <w:rPr/>
        <w:t xml:space="preserve"> </w:t>
      </w:r>
      <w:r>
        <w:rPr>
          <w:b/>
        </w:rPr>
        <w:t>[Note: This term is not defined]</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pPr>
      <w:r>
        <w:rPr>
          <w:u w:val="single"/>
        </w:rPr>
        <w:t>Infringement Cures and Defense</w:t>
      </w: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Normal"/>
        <w:jc w:val="both"/>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spacing w:lineRule="auto" w:line="300" w:before="0" w:after="240"/>
        <w:jc w:val="both"/>
        <w:rPr/>
      </w:pPr>
      <w:r>
        <w:rPr/>
      </w:r>
    </w:p>
    <w:p>
      <w:pPr>
        <w:pStyle w:val="Normal"/>
        <w:rPr/>
      </w:pPr>
      <w:r>
        <w:rPr/>
        <w:t>In the event a Patent Indemnitee is, as a result of such suit or proceeding, prevented from using such alleged infringing Equipment or other deliverables, Seller shall at its option and expense:</w:t>
      </w:r>
    </w:p>
    <w:p>
      <w:pPr>
        <w:pStyle w:val="Normal"/>
        <w:rPr/>
      </w:pPr>
      <w:r>
        <w:rPr/>
      </w:r>
    </w:p>
    <w:p>
      <w:pPr>
        <w:pStyle w:val="Heading4"/>
        <w:tabs>
          <w:tab w:val="clear" w:pos="2160"/>
        </w:tabs>
        <w:ind w:hanging="0" w:start="0"/>
        <w:rPr/>
      </w:pPr>
      <w:r>
        <w:rPr/>
        <w:t>obtain the right to continued use of the Equipment or other deliverables under this Agreement;</w:t>
      </w:r>
    </w:p>
    <w:p>
      <w:pPr>
        <w:pStyle w:val="Heading4"/>
        <w:tabs>
          <w:tab w:val="clear" w:pos="2160"/>
        </w:tabs>
        <w:ind w:hanging="0" w:start="0"/>
        <w:rPr/>
      </w:pPr>
      <w:r>
        <w:rPr/>
        <w:t>correct or modify the infringing aspect of the Equipment or other deliverables under this Agreement so that it becomes non-infringing; or</w:t>
      </w:r>
    </w:p>
    <w:p>
      <w:pPr>
        <w:pStyle w:val="Heading4"/>
        <w:tabs>
          <w:tab w:val="clear" w:pos="2160"/>
        </w:tabs>
        <w:ind w:hanging="0" w:start="0"/>
        <w:rPr/>
      </w:pPr>
      <w:r>
        <w:rPr/>
        <w:t>replace the infringing Equipment or other deliverables under this Agreement with equivalent non-infringing Equipment or other deliverables.</w:t>
      </w:r>
    </w:p>
    <w:p>
      <w:pPr>
        <w:pStyle w:val="BodyText3"/>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tabs>
          <w:tab w:val="clear" w:pos="1080"/>
        </w:tabs>
        <w:ind w:hanging="0" w:start="0"/>
        <w:rPr/>
      </w:pPr>
      <w:r>
        <w:rPr>
          <w:u w:val="single"/>
        </w:rPr>
        <w:t>Seller’s Drawings, Etc. for Use by Purchaser</w:t>
      </w: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tabs>
          <w:tab w:val="clear" w:pos="1080"/>
        </w:tabs>
        <w:ind w:hanging="0" w:start="0"/>
        <w:rPr/>
      </w:pPr>
      <w:r>
        <w:rPr>
          <w:u w:val="single"/>
        </w:rPr>
        <w:t>Licensing Procedure</w:t>
      </w: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Normal"/>
        <w:spacing w:lineRule="auto" w:line="300" w:before="0" w:after="240"/>
        <w:jc w:val="both"/>
        <w:rPr/>
      </w:pPr>
      <w:r>
        <w:rPr/>
        <w:t>Seller and/or their licensors shall at all times remain owners of the software/firmware licensed.</w:t>
      </w:r>
    </w:p>
    <w:p>
      <w:pPr>
        <w:pStyle w:val="Heading1"/>
        <w:keepNext w:val="true"/>
        <w:keepLines/>
        <w:tabs>
          <w:tab w:val="clear" w:pos="1080"/>
        </w:tabs>
        <w:ind w:hanging="0" w:start="0"/>
        <w:rPr/>
      </w:pPr>
      <w:r>
        <w:rPr/>
        <w:t>INTENTIONALLY OMITTED</w:t>
      </w:r>
    </w:p>
    <w:p>
      <w:pPr>
        <w:pStyle w:val="Heading1"/>
        <w:keepNext w:val="true"/>
        <w:keepLines/>
        <w:tabs>
          <w:tab w:val="clear" w:pos="1080"/>
        </w:tabs>
        <w:ind w:hanging="0" w:start="0"/>
        <w:rPr/>
      </w:pPr>
      <w:r>
        <w:rPr/>
        <w:t>DEFAULT</w:t>
      </w:r>
    </w:p>
    <w:p>
      <w:pPr>
        <w:pStyle w:val="Heading2"/>
        <w:keepNext w:val="true"/>
        <w:keepLines/>
        <w:tabs>
          <w:tab w:val="clear" w:pos="1080"/>
        </w:tabs>
        <w:ind w:hanging="0" w:start="0"/>
        <w:rPr/>
      </w:pPr>
      <w:r>
        <w:rPr>
          <w:u w:val="single"/>
        </w:rPr>
        <w:t>Event of Default by Seller</w:t>
      </w: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tabs>
          <w:tab w:val="clear" w:pos="2160"/>
        </w:tabs>
        <w:ind w:hanging="0" w:start="0"/>
        <w:rPr/>
      </w:pPr>
      <w:r>
        <w:rPr/>
        <w:t>Seller shall have assigned or transferred this Agreement or any right or interest herein except as expressly permitted by this Agreement;</w:t>
      </w:r>
    </w:p>
    <w:p>
      <w:pPr>
        <w:pStyle w:val="Heading4"/>
        <w:tabs>
          <w:tab w:val="clear" w:pos="2160"/>
        </w:tabs>
        <w:ind w:hanging="0" w:start="0"/>
        <w:rPr/>
      </w:pPr>
      <w:r>
        <w:rPr/>
        <w:t>any representation made by Seller in this Agreement shall have been materially false or misleading when made;</w:t>
      </w:r>
    </w:p>
    <w:p>
      <w:pPr>
        <w:pStyle w:val="Heading4"/>
        <w:tabs>
          <w:tab w:val="clear" w:pos="2160"/>
        </w:tabs>
        <w:ind w:hanging="0" w:start="0"/>
        <w:rPr/>
      </w:pPr>
      <w:r>
        <w:rPr/>
        <w:t xml:space="preserve">Seller shall have defaulted in its performance under any material provision of this Agreement; </w:t>
      </w:r>
    </w:p>
    <w:p>
      <w:pPr>
        <w:pStyle w:val="Heading4"/>
        <w:tabs>
          <w:tab w:val="clear" w:pos="2160"/>
        </w:tabs>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tabs>
          <w:tab w:val="clear" w:pos="2160"/>
        </w:tabs>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tabs>
          <w:tab w:val="clear" w:pos="1080"/>
        </w:tabs>
        <w:ind w:hanging="0" w:start="0"/>
        <w:rPr/>
      </w:pPr>
      <w:r>
        <w:rPr>
          <w:u w:val="single"/>
        </w:rPr>
        <w:t>Purchaser’s Remedies Against Seller</w:t>
      </w: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tabs>
          <w:tab w:val="clear" w:pos="1080"/>
        </w:tabs>
        <w:ind w:hanging="0" w:start="0"/>
        <w:rPr/>
      </w:pPr>
      <w:r>
        <w:rPr>
          <w:u w:val="single"/>
        </w:rPr>
        <w:t>General Obligations</w:t>
      </w:r>
      <w:r>
        <w:rPr/>
        <w:t xml:space="preserve">.  If Purchaser elects to terminate this Agreement pursuant to Section 17.2 hereof, Seller shall, at Purchaser’s request and at Seller’s expense, perform the following services relative to the Scope of Work so affected: </w:t>
      </w:r>
    </w:p>
    <w:p>
      <w:pPr>
        <w:pStyle w:val="Heading4"/>
        <w:tabs>
          <w:tab w:val="clear" w:pos="2160"/>
        </w:tabs>
        <w:ind w:hanging="0" w:start="0"/>
        <w:rPr/>
      </w:pPr>
      <w:r>
        <w:rPr/>
        <w:t>assist Purchaser in preparing an inventory of all Equipment and documentation to which Purchaser has not already taken title;</w:t>
      </w:r>
    </w:p>
    <w:p>
      <w:pPr>
        <w:pStyle w:val="Heading4"/>
        <w:tabs>
          <w:tab w:val="clear" w:pos="2160"/>
        </w:tabs>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tabs>
          <w:tab w:val="clear" w:pos="2160"/>
        </w:tabs>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tabs>
          <w:tab w:val="clear" w:pos="2160"/>
        </w:tabs>
        <w:ind w:hanging="0" w:start="0"/>
        <w:rPr/>
      </w:pPr>
      <w:r>
        <w:rPr/>
        <w:t>supply any proprietary components needed for the completion and operation of the Equipment.</w:t>
      </w:r>
    </w:p>
    <w:p>
      <w:pPr>
        <w:pStyle w:val="Heading2"/>
        <w:tabs>
          <w:tab w:val="clear" w:pos="1080"/>
        </w:tabs>
        <w:ind w:hanging="0" w:start="0"/>
        <w:rPr/>
      </w:pPr>
      <w:r>
        <w:rPr>
          <w:u w:val="single"/>
        </w:rPr>
        <w:t>Payment Obligations</w:t>
      </w:r>
      <w:r>
        <w:rPr/>
        <w:t xml:space="preserve">. </w:t>
      </w:r>
    </w:p>
    <w:p>
      <w:pPr>
        <w:pStyle w:val="Heading3"/>
        <w:ind w:hanging="0" w:start="0"/>
        <w:rPr/>
      </w:pPr>
      <w:r>
        <w:rPr>
          <w:u w:val="single"/>
        </w:rPr>
        <w:t>Determination of Obligations</w:t>
      </w:r>
      <w:r>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Heading3"/>
        <w:ind w:hanging="0" w:start="0"/>
        <w:rPr/>
      </w:pPr>
      <w:r>
        <w:rPr>
          <w:u w:val="single"/>
        </w:rPr>
        <w:t>Damages and Expenses</w:t>
      </w:r>
      <w:r>
        <w:rPr/>
        <w:t>.  Purchaser shall determine the total damages and reasonable and necessary expenses incurred and accrued in connection with:</w:t>
      </w:r>
    </w:p>
    <w:p>
      <w:pPr>
        <w:pStyle w:val="Heading4"/>
        <w:tabs>
          <w:tab w:val="clear" w:pos="2160"/>
        </w:tabs>
        <w:ind w:hanging="0" w:start="0"/>
        <w:rPr/>
      </w:pPr>
      <w:r>
        <w:rPr/>
        <w:t>the termination of this Agreement (including all reasonable legal fees and expenses for,  inter alia, the negotiation of an agreement with an alternate supplier);</w:t>
      </w:r>
    </w:p>
    <w:p>
      <w:pPr>
        <w:pStyle w:val="Heading4"/>
        <w:tabs>
          <w:tab w:val="clear" w:pos="2160"/>
        </w:tabs>
        <w:ind w:hanging="0" w:start="0"/>
        <w:rPr/>
      </w:pPr>
      <w:r>
        <w:rPr/>
        <w:t>any repairs, rework, modifications or replacement, completion of the Scope of Work and all associated incidental costs; and</w:t>
      </w:r>
    </w:p>
    <w:p>
      <w:pPr>
        <w:pStyle w:val="Heading4"/>
        <w:tabs>
          <w:tab w:val="clear" w:pos="2160"/>
        </w:tabs>
        <w:ind w:hanging="0" w:start="0"/>
        <w:rPr/>
      </w:pPr>
      <w:r>
        <w:rPr/>
        <w:t>amounts otherwise due Purchaser from Seller pursuant to this Agreement (including but not limited to Liquidated Damages).</w:t>
      </w:r>
    </w:p>
    <w:p>
      <w:pPr>
        <w:pStyle w:val="Normal"/>
        <w:spacing w:lineRule="auto" w:line="300"/>
        <w:jc w:val="both"/>
        <w:rPr/>
      </w:pPr>
      <w:r>
        <w:rPr/>
        <w:t>The total of items (i) through (iii) above shall be referred to as the “Termination Costs”.</w:t>
      </w:r>
    </w:p>
    <w:p>
      <w:pPr>
        <w:pStyle w:val="Normal"/>
        <w:spacing w:lineRule="auto" w:line="300"/>
        <w:jc w:val="both"/>
        <w:rPr/>
      </w:pPr>
      <w:r>
        <w:rPr/>
      </w:r>
    </w:p>
    <w:p>
      <w:pPr>
        <w:pStyle w:val="Heading3"/>
        <w:ind w:hanging="0" w:start="0"/>
        <w:rPr/>
      </w:pPr>
      <w:r>
        <w:rPr>
          <w:u w:val="single"/>
        </w:rPr>
        <w:t>Excess Amounts</w:t>
      </w:r>
      <w:r>
        <w:rPr/>
        <w:t>.  If the sum of the Proper Scope Value and Termination Costs is greater than the Purchase Amount, Seller shall be responsible for paying to Purchaser the excess, and such amount shall be termed as the “Excess Termination Cost”.</w:t>
      </w:r>
    </w:p>
    <w:p>
      <w:pPr>
        <w:pStyle w:val="Heading3"/>
        <w:ind w:hanging="0" w:start="0"/>
        <w:rPr/>
      </w:pPr>
      <w:r>
        <w:rPr>
          <w:u w:val="single"/>
        </w:rPr>
        <w:t>Settlement</w:t>
      </w:r>
      <w:r>
        <w:rPr/>
        <w:t>.  Upon determining the Proper Scope Value and the Excess Termination Costs, if any, Purchaser shall invoice Seller for the termination settlement (the “Termination Settlement”):</w:t>
      </w:r>
    </w:p>
    <w:p>
      <w:pPr>
        <w:pStyle w:val="Normal"/>
        <w:ind w:firstLine="720" w:end="0"/>
        <w:jc w:val="both"/>
        <w:rPr/>
      </w:pPr>
      <w:r>
        <w:rPr/>
        <w:t>If SVD is greater than zero (0),</w:t>
      </w:r>
    </w:p>
    <w:p>
      <w:pPr>
        <w:pStyle w:val="Normal"/>
        <w:spacing w:before="0" w:after="240"/>
        <w:ind w:firstLine="720" w:end="0"/>
        <w:jc w:val="both"/>
        <w:rPr/>
      </w:pPr>
      <w:r>
        <w:rPr/>
        <w:t xml:space="preserve">then the Termination Settlement = ETC </w:t>
        <w:noBreakHyphen/>
        <w:t xml:space="preserve"> SVD.</w:t>
      </w:r>
    </w:p>
    <w:p>
      <w:pPr>
        <w:pStyle w:val="Normal"/>
        <w:ind w:firstLine="720" w:end="0"/>
        <w:jc w:val="both"/>
        <w:rPr/>
      </w:pPr>
      <w:r>
        <w:rPr/>
        <w:t>If RA is greater than zero (0),</w:t>
      </w:r>
    </w:p>
    <w:p>
      <w:pPr>
        <w:pStyle w:val="Normal"/>
        <w:spacing w:before="0" w:after="240"/>
        <w:ind w:firstLine="720" w:end="0"/>
        <w:jc w:val="both"/>
        <w:rPr/>
      </w:pPr>
      <w:r>
        <w:rPr/>
        <w:t>then the Termination Settlement = RA + ETC.</w:t>
      </w:r>
    </w:p>
    <w:p>
      <w:pPr>
        <w:pStyle w:val="Normal"/>
        <w:ind w:firstLine="720" w:end="0"/>
        <w:jc w:val="both"/>
        <w:rPr/>
      </w:pPr>
      <w:r>
        <w:rPr/>
        <w:t>When:</w:t>
      </w:r>
    </w:p>
    <w:p>
      <w:pPr>
        <w:pStyle w:val="Normal"/>
        <w:ind w:firstLine="720" w:end="0"/>
        <w:jc w:val="both"/>
        <w:rPr/>
      </w:pPr>
      <w:r>
        <w:rPr/>
        <w:t>ETC = Excess Termination Cost (but not less than zero)</w:t>
      </w:r>
    </w:p>
    <w:p>
      <w:pPr>
        <w:pStyle w:val="Normal"/>
        <w:ind w:firstLine="720" w:end="0"/>
        <w:jc w:val="both"/>
        <w:rPr/>
      </w:pPr>
      <w:r>
        <w:rPr/>
        <w:t>RA  = Refund Amount (but not less than zero)</w:t>
      </w:r>
    </w:p>
    <w:p>
      <w:pPr>
        <w:pStyle w:val="Normal"/>
        <w:spacing w:before="0" w:after="240"/>
        <w:ind w:firstLine="720" w:end="0"/>
        <w:jc w:val="both"/>
        <w:rPr/>
      </w:pPr>
      <w:r>
        <w:rPr/>
        <w:t xml:space="preserve">SVD = Scope Value Due (but not less than zero) </w:t>
      </w:r>
    </w:p>
    <w:p>
      <w:pPr>
        <w:pStyle w:val="Normal"/>
        <w:spacing w:lineRule="auto" w:line="300" w:before="0" w:after="240"/>
        <w:jc w:val="both"/>
        <w:rPr/>
      </w:pPr>
      <w:r>
        <w:rPr/>
        <w:t xml:space="preserve">Seller shall be responsible for making payment of such invoice within thirty (30) Days of receipt of such invoice. Any such amounts not paid when due shall accrue interest at the Interest Rate. </w:t>
      </w:r>
    </w:p>
    <w:p>
      <w:pPr>
        <w:pStyle w:val="Heading2"/>
        <w:tabs>
          <w:tab w:val="clear" w:pos="1080"/>
        </w:tabs>
        <w:ind w:hanging="0" w:start="0"/>
        <w:rPr/>
      </w:pPr>
      <w:r>
        <w:rPr>
          <w:u w:val="single"/>
        </w:rPr>
        <w:t>Events of Default by Purchaser</w:t>
      </w: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tabs>
          <w:tab w:val="clear" w:pos="2160"/>
        </w:tabs>
        <w:ind w:hanging="0" w:start="0"/>
        <w:rPr/>
      </w:pPr>
      <w:r>
        <w:rPr/>
        <w:t>Purchaser shall have assigned or transferred this Agreement or any right or interest herein except as expressly permitted by this Agreement;</w:t>
      </w:r>
    </w:p>
    <w:p>
      <w:pPr>
        <w:pStyle w:val="Heading4"/>
        <w:tabs>
          <w:tab w:val="clear" w:pos="2160"/>
        </w:tabs>
        <w:ind w:hanging="0" w:start="0"/>
        <w:rPr/>
      </w:pPr>
      <w:r>
        <w:rPr/>
        <w:t>any representation made by Purchaser in this Agreement shall have been materially false or misleading when made;</w:t>
      </w:r>
    </w:p>
    <w:p>
      <w:pPr>
        <w:pStyle w:val="Heading4"/>
        <w:tabs>
          <w:tab w:val="clear" w:pos="2160"/>
        </w:tabs>
        <w:ind w:hanging="0" w:start="0"/>
        <w:rPr/>
      </w:pPr>
      <w:r>
        <w:rPr/>
        <w:t xml:space="preserve">Purchaser shall have defaulted in its performance under any material provision of this Agreement; or </w:t>
      </w:r>
    </w:p>
    <w:p>
      <w:pPr>
        <w:pStyle w:val="Heading4"/>
        <w:tabs>
          <w:tab w:val="clear" w:pos="216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clear" w:pos="1080"/>
        </w:tabs>
        <w:ind w:hanging="0" w:start="0"/>
        <w:rPr/>
      </w:pPr>
      <w:r>
        <w:rPr>
          <w:u w:val="single"/>
        </w:rPr>
        <w:t>Seller Remedies</w:t>
      </w: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tabs>
          <w:tab w:val="clear" w:pos="1080"/>
        </w:tabs>
        <w:ind w:hanging="0" w:start="0"/>
        <w:rPr/>
      </w:pPr>
      <w:r>
        <w:rPr/>
        <w:t>FORCE MAJEURE</w:t>
      </w:r>
    </w:p>
    <w:p>
      <w:pPr>
        <w:pStyle w:val="Heading2"/>
        <w:tabs>
          <w:tab w:val="clear" w:pos="1080"/>
        </w:tabs>
        <w:ind w:hanging="0" w:start="0"/>
        <w:rPr/>
      </w:pPr>
      <w:r>
        <w:rPr>
          <w:u w:val="single"/>
        </w:rPr>
        <w:t>Failure to Perform Due to an Event of Force Majeure</w:t>
      </w: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tabs>
          <w:tab w:val="clear" w:pos="1080"/>
        </w:tabs>
        <w:ind w:hanging="0" w:start="0"/>
        <w:rPr/>
      </w:pPr>
      <w:r>
        <w:rPr>
          <w:u w:val="single"/>
        </w:rPr>
        <w:t>Events of Force Majeure</w:t>
      </w:r>
      <w:r>
        <w:rPr/>
        <w:t>.  Events of Force Majeure shall be limited to the circumstances set forth in clause 18.4 but only if, and to the extent:</w:t>
      </w:r>
    </w:p>
    <w:p>
      <w:pPr>
        <w:pStyle w:val="Heading4"/>
        <w:tabs>
          <w:tab w:val="clear" w:pos="2160"/>
        </w:tabs>
        <w:ind w:hanging="0" w:start="0"/>
        <w:rPr/>
      </w:pPr>
      <w:r>
        <w:rPr/>
        <w:t>such circumstance is not within the reasonable control of the Affected Party;</w:t>
      </w:r>
    </w:p>
    <w:p>
      <w:pPr>
        <w:pStyle w:val="Heading4"/>
        <w:tabs>
          <w:tab w:val="clear" w:pos="2160"/>
        </w:tabs>
        <w:ind w:hanging="0" w:start="0"/>
        <w:rPr/>
      </w:pPr>
      <w:r>
        <w:rPr/>
        <w:t>such circumstance, despite the exercise of reasonable diligence, can not be prevented, avoided or removed by the Affected Party;</w:t>
      </w:r>
    </w:p>
    <w:p>
      <w:pPr>
        <w:pStyle w:val="Heading4"/>
        <w:tabs>
          <w:tab w:val="clear" w:pos="2160"/>
        </w:tabs>
        <w:ind w:hanging="0" w:start="0"/>
        <w:rPr/>
      </w:pPr>
      <w:r>
        <w:rPr/>
        <w:t>such event materially adversely affects (in cost and/or time) the ability of the Affected Party to fulfill its obligations under the Agreement;</w:t>
      </w:r>
    </w:p>
    <w:p>
      <w:pPr>
        <w:pStyle w:val="Heading4"/>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tabs>
          <w:tab w:val="clear" w:pos="2160"/>
        </w:tabs>
        <w:ind w:hanging="0" w:start="0"/>
        <w:rPr/>
      </w:pPr>
      <w:r>
        <w:rPr/>
        <w:t>that such event is deemed as a Event of Force Majeure under any related project document(s); and</w:t>
      </w:r>
    </w:p>
    <w:p>
      <w:pPr>
        <w:pStyle w:val="Heading4"/>
        <w:tabs>
          <w:tab w:val="clear" w:pos="2160"/>
        </w:tabs>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tabs>
          <w:tab w:val="clear" w:pos="1080"/>
        </w:tabs>
        <w:ind w:hanging="0" w:start="0"/>
        <w:rPr/>
      </w:pPr>
      <w:r>
        <w:rPr>
          <w:u w:val="single"/>
        </w:rPr>
        <w:t>Notice of Force Majeure</w:t>
      </w: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w:t>
      </w:r>
      <w:r>
        <w:rPr>
          <w:b/>
        </w:rPr>
        <w:t xml:space="preserve">[Note: In the prior sentence, should the proof of the nature of the delay be submitted “within a reasonable time” or “as soon as practicable?”]  </w:t>
      </w:r>
      <w:r>
        <w:rPr/>
        <w:t>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tabs>
          <w:tab w:val="clear" w:pos="2160"/>
        </w:tabs>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tabs>
          <w:tab w:val="clear" w:pos="1080"/>
        </w:tabs>
        <w:ind w:hanging="0" w:start="0"/>
        <w:rPr/>
      </w:pPr>
      <w:r>
        <w:rPr>
          <w:u w:val="single"/>
        </w:rPr>
        <w:t>Events of Force Majeure</w:t>
      </w:r>
      <w:r>
        <w:rPr/>
        <w:t>.  Subject to the provisions of Sections 18.2 and 18.5, an Event of Force Majeure shall mean the following:</w:t>
      </w:r>
    </w:p>
    <w:p>
      <w:pPr>
        <w:pStyle w:val="Heading4"/>
        <w:tabs>
          <w:tab w:val="clear" w:pos="2160"/>
        </w:tabs>
        <w:ind w:hanging="0" w:start="0"/>
        <w:rPr/>
      </w:pPr>
      <w:r>
        <w:rPr/>
        <w:t>explosions, fires, nuclear radiation contamination, hurricanes, earthquakes, floods, natural disasters, epidemics, other acts of God, and any other similar circumstances;</w:t>
      </w:r>
    </w:p>
    <w:p>
      <w:pPr>
        <w:pStyle w:val="Heading4"/>
        <w:tabs>
          <w:tab w:val="clear" w:pos="2160"/>
        </w:tabs>
        <w:ind w:hanging="0" w:start="0"/>
        <w:rPr/>
      </w:pPr>
      <w:r>
        <w:rPr/>
        <w:t>war and other hostilities (whether declared or not), revolution, public disorders, insurrection, rebellion, sabotage, acts of public officials or terrorist action;</w:t>
      </w:r>
    </w:p>
    <w:p>
      <w:pPr>
        <w:pStyle w:val="Heading4"/>
        <w:tabs>
          <w:tab w:val="clear" w:pos="2160"/>
        </w:tabs>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tabs>
          <w:tab w:val="clear" w:pos="2160"/>
        </w:tabs>
        <w:ind w:hanging="0" w:start="0"/>
        <w:rPr/>
      </w:pPr>
      <w:r>
        <w:rPr/>
        <w:t>national or regional strikes which are not specific to Seller’s manufacturing facilities;</w:t>
      </w:r>
    </w:p>
    <w:p>
      <w:pPr>
        <w:pStyle w:val="Heading4"/>
        <w:tabs>
          <w:tab w:val="clear" w:pos="2160"/>
        </w:tabs>
        <w:ind w:hanging="0" w:start="0"/>
        <w:rPr/>
      </w:pPr>
      <w:r>
        <w:rPr/>
        <w:t>strikes at the Site not arising out of Seller’s performance of work at or near the Site;</w:t>
      </w:r>
    </w:p>
    <w:p>
      <w:pPr>
        <w:pStyle w:val="Heading4"/>
        <w:tabs>
          <w:tab w:val="clear" w:pos="2160"/>
        </w:tabs>
        <w:ind w:hanging="0" w:start="0"/>
        <w:rPr/>
      </w:pPr>
      <w:r>
        <w:rPr/>
        <w:t>accidents in transportation resulting from any of the Events of Force Majeure listed in Subsection 18.4 (a); or</w:t>
      </w:r>
    </w:p>
    <w:p>
      <w:pPr>
        <w:pStyle w:val="Heading4"/>
        <w:tabs>
          <w:tab w:val="clear" w:pos="2160"/>
        </w:tabs>
        <w:ind w:hanging="0" w:start="0"/>
        <w:rPr/>
      </w:pPr>
      <w:r>
        <w:rPr/>
        <w:t>delays resulting from unforeseen extreme weather conditions.</w:t>
      </w:r>
    </w:p>
    <w:p>
      <w:pPr>
        <w:pStyle w:val="Heading2"/>
        <w:tabs>
          <w:tab w:val="clear" w:pos="1080"/>
        </w:tabs>
        <w:ind w:hanging="0" w:start="0"/>
        <w:rPr/>
      </w:pPr>
      <w:r>
        <w:rPr>
          <w:u w:val="single"/>
        </w:rPr>
        <w:t>Certain Events Not Excused</w:t>
      </w:r>
      <w:r>
        <w:rPr/>
        <w:t xml:space="preserve">.  Notwithstanding that an Event of Force Majeure may otherwise exist, the provisions of this Article XVIII shall not excuse: </w:t>
      </w:r>
    </w:p>
    <w:p>
      <w:pPr>
        <w:pStyle w:val="Heading4"/>
        <w:tabs>
          <w:tab w:val="clear" w:pos="2160"/>
        </w:tabs>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tabs>
          <w:tab w:val="clear" w:pos="2160"/>
        </w:tabs>
        <w:ind w:hanging="0" w:start="0"/>
        <w:rPr/>
      </w:pPr>
      <w:r>
        <w:rPr/>
        <w:t>late performance by Seller caused by Seller’s failure to engage qualified subcontractors and suppliers or to hire an adequate number of personnel or labor or by inefficiencies on the part of Seller.</w:t>
      </w:r>
    </w:p>
    <w:p>
      <w:pPr>
        <w:pStyle w:val="Heading2"/>
        <w:tabs>
          <w:tab w:val="clear" w:pos="1080"/>
        </w:tabs>
        <w:ind w:hanging="0" w:start="0"/>
        <w:rPr/>
      </w:pPr>
      <w:r>
        <w:rPr>
          <w:u w:val="single"/>
        </w:rPr>
        <w:t>Continued Performance</w:t>
      </w: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tabs>
          <w:tab w:val="clear" w:pos="1080"/>
        </w:tabs>
        <w:ind w:hanging="0" w:start="0"/>
        <w:rPr/>
      </w:pPr>
      <w:r>
        <w:rPr>
          <w:u w:val="single"/>
        </w:rPr>
        <w:t>Not Used</w:t>
      </w:r>
      <w:r>
        <w:rPr/>
        <w:t xml:space="preserve">.  </w:t>
      </w:r>
    </w:p>
    <w:p>
      <w:pPr>
        <w:pStyle w:val="Heading2"/>
        <w:tabs>
          <w:tab w:val="clear" w:pos="1080"/>
        </w:tabs>
        <w:ind w:hanging="0" w:start="0"/>
        <w:rPr/>
      </w:pPr>
      <w:r>
        <w:rPr>
          <w:u w:val="single"/>
        </w:rPr>
        <w:t xml:space="preserve">Force Majeure </w:t>
        <w:noBreakHyphen/>
        <w:t xml:space="preserve"> Delays</w:t>
      </w: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tabs>
          <w:tab w:val="clear" w:pos="1080"/>
        </w:tabs>
        <w:ind w:hanging="0" w:start="0"/>
        <w:rPr/>
      </w:pPr>
      <w:r>
        <w:rPr>
          <w:u w:val="single"/>
        </w:rPr>
        <w:t xml:space="preserve">Force Majeure </w:t>
        <w:noBreakHyphen/>
        <w:t xml:space="preserve"> Cost</w:t>
      </w: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tabs>
          <w:tab w:val="clear" w:pos="1080"/>
        </w:tabs>
        <w:ind w:hanging="0" w:start="0"/>
        <w:rPr/>
      </w:pPr>
      <w:r>
        <w:rPr/>
        <w:t>INSURANCE</w:t>
      </w:r>
    </w:p>
    <w:p>
      <w:pPr>
        <w:pStyle w:val="Heading2"/>
        <w:tabs>
          <w:tab w:val="clear" w:pos="1080"/>
        </w:tabs>
        <w:ind w:hanging="0" w:start="0"/>
        <w:rPr/>
      </w:pPr>
      <w:r>
        <w:rPr>
          <w:u w:val="single"/>
        </w:rPr>
        <w:t xml:space="preserve">Insurance </w:t>
        <w:noBreakHyphen/>
        <w:t xml:space="preserve"> General</w:t>
      </w: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pPr>
      <w:r>
        <w:rPr>
          <w:u w:val="single"/>
        </w:rPr>
        <w:t>All Risk</w:t>
      </w: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pPr>
      <w:r>
        <w:rPr>
          <w:u w:val="single"/>
        </w:rPr>
        <w:t>Workers Compensation and Employers Liability Insurance</w:t>
      </w: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ind w:firstLine="720" w:end="0"/>
        <w:jc w:val="both"/>
        <w:rPr/>
      </w:pPr>
      <w:r>
        <w:rPr/>
        <w:t>Workers Compensation</w:t>
        <w:tab/>
        <w:t>Statutory</w:t>
      </w:r>
    </w:p>
    <w:p>
      <w:pPr>
        <w:pStyle w:val="Normal"/>
        <w:ind w:firstLine="720" w:end="0"/>
        <w:jc w:val="both"/>
        <w:rPr/>
      </w:pPr>
      <w:r>
        <w:rPr/>
        <w:t>Employers Liability</w:t>
        <w:tab/>
        <w:tab/>
        <w:t>$1,000,000 Each Accident</w:t>
      </w:r>
    </w:p>
    <w:p>
      <w:pPr>
        <w:pStyle w:val="Normal"/>
        <w:ind w:firstLine="3600" w:end="0"/>
        <w:jc w:val="both"/>
        <w:rPr/>
      </w:pPr>
      <w:r>
        <w:rPr/>
        <w:t xml:space="preserve">$1,000,000 Disease </w:t>
      </w:r>
    </w:p>
    <w:p>
      <w:pPr>
        <w:pStyle w:val="Normal"/>
        <w:spacing w:before="0" w:after="240"/>
        <w:ind w:firstLine="3600" w:end="0"/>
        <w:jc w:val="both"/>
        <w:rPr/>
      </w:pPr>
      <w:r>
        <w:rPr/>
        <w:t>Each Employee (Minimum)</w:t>
      </w:r>
    </w:p>
    <w:p>
      <w:pPr>
        <w:pStyle w:val="Heading3"/>
        <w:ind w:hanging="0" w:start="0"/>
        <w:rPr/>
      </w:pPr>
      <w:r>
        <w:rPr>
          <w:u w:val="single"/>
        </w:rPr>
        <w:t>Commercial General Liability Insurance</w:t>
      </w: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ind w:firstLine="720" w:end="0"/>
        <w:jc w:val="both"/>
        <w:rPr/>
      </w:pPr>
      <w:r>
        <w:rPr/>
        <w:t>Bodily Injury and</w:t>
        <w:tab/>
        <w:tab/>
        <w:t xml:space="preserve">$1,000,000 Combined Single Limit </w:t>
      </w:r>
    </w:p>
    <w:p>
      <w:pPr>
        <w:pStyle w:val="Normal"/>
        <w:spacing w:before="0" w:after="240"/>
        <w:ind w:firstLine="720" w:end="0"/>
        <w:jc w:val="both"/>
        <w:rPr/>
      </w:pPr>
      <w:r>
        <w:rPr/>
        <w:t>Property Damage</w:t>
        <w:tab/>
        <w:tab/>
        <w:t>Each Occurrence, (Minimum)</w:t>
      </w:r>
    </w:p>
    <w:p>
      <w:pPr>
        <w:pStyle w:val="Heading3"/>
        <w:ind w:hanging="0" w:start="0"/>
        <w:rPr/>
      </w:pPr>
      <w:r>
        <w:rPr>
          <w:u w:val="single"/>
        </w:rPr>
        <w:t>Hull and Protection and Indemnity Insurance</w:t>
      </w: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ind w:firstLine="720" w:end="0"/>
        <w:jc w:val="both"/>
        <w:rPr/>
      </w:pPr>
      <w:r>
        <w:rPr/>
        <w:t>Hull</w:t>
        <w:tab/>
        <w:tab/>
        <w:tab/>
        <w:t>Full replacement value of the watercraft.</w:t>
      </w:r>
    </w:p>
    <w:p>
      <w:pPr>
        <w:pStyle w:val="Normal"/>
        <w:spacing w:before="0" w:after="240"/>
        <w:ind w:hanging="2160" w:start="2880" w:end="0"/>
        <w:jc w:val="both"/>
        <w:rPr/>
      </w:pPr>
      <w:r>
        <w:rPr/>
        <w:t>P&amp;I</w:t>
        <w:tab/>
        <w:t>$1,000,000 Each Occurrence or the full value of the vessel, whichever is greater.</w:t>
      </w:r>
    </w:p>
    <w:p>
      <w:pPr>
        <w:pStyle w:val="Normal"/>
        <w:spacing w:lineRule="auto" w:line="300" w:before="0" w:after="240"/>
        <w:jc w:val="both"/>
        <w:rPr/>
      </w:pPr>
      <w:r>
        <w:rPr/>
        <w:t>Such insurance may be provided by the vessel operator, by the vessel charter agreement, or by Seller as Seller deems appropriate.</w:t>
      </w:r>
    </w:p>
    <w:p>
      <w:pPr>
        <w:pStyle w:val="Heading3"/>
        <w:ind w:hanging="0" w:start="0"/>
        <w:rPr/>
      </w:pPr>
      <w:r>
        <w:rPr>
          <w:u w:val="single"/>
        </w:rPr>
        <w:t>Business Automobile Liability Insurance</w:t>
      </w:r>
      <w:r>
        <w:rPr/>
        <w:t>.  Seller shall provide Business Automobile Liability Insurance which shall include the following coverage for all owned, non</w:t>
        <w:noBreakHyphen/>
        <w:t>owned and hired vehicles:</w:t>
      </w:r>
    </w:p>
    <w:p>
      <w:pPr>
        <w:pStyle w:val="Normal"/>
        <w:ind w:firstLine="720" w:end="0"/>
        <w:jc w:val="both"/>
        <w:rPr/>
      </w:pPr>
      <w:r>
        <w:rPr/>
        <w:t xml:space="preserve">Bodily Injury </w:t>
        <w:tab/>
        <w:t xml:space="preserve">  </w:t>
        <w:tab/>
        <w:t>$1,000,000 Each Person  (Minimum)</w:t>
      </w:r>
    </w:p>
    <w:p>
      <w:pPr>
        <w:pStyle w:val="Normal"/>
        <w:ind w:firstLine="2880" w:end="0"/>
        <w:jc w:val="both"/>
        <w:rPr/>
      </w:pPr>
      <w:r>
        <w:rPr/>
        <w:t>$1,000,000 Each Occurrence (Minimum)</w:t>
      </w:r>
    </w:p>
    <w:p>
      <w:pPr>
        <w:pStyle w:val="Normal"/>
        <w:ind w:firstLine="720" w:end="0"/>
        <w:jc w:val="both"/>
        <w:rPr/>
      </w:pPr>
      <w:r>
        <w:rPr/>
        <w:t xml:space="preserve">Property Damage </w:t>
        <w:tab/>
        <w:t>$1,000,000 Each Occurrence (Minimum)</w:t>
      </w:r>
    </w:p>
    <w:p>
      <w:pPr>
        <w:pStyle w:val="Normal"/>
        <w:ind w:firstLine="720" w:end="0"/>
        <w:jc w:val="both"/>
        <w:rPr/>
      </w:pPr>
      <w:r>
        <w:rPr/>
        <w:t>or</w:t>
      </w:r>
    </w:p>
    <w:p>
      <w:pPr>
        <w:pStyle w:val="Normal"/>
        <w:ind w:firstLine="720" w:end="0"/>
        <w:jc w:val="both"/>
        <w:rPr/>
      </w:pPr>
      <w:r>
        <w:rPr/>
        <w:t xml:space="preserve">Bodily Injury and </w:t>
        <w:tab/>
        <w:t>$1,000,000 Combined Single Limit</w:t>
      </w:r>
    </w:p>
    <w:p>
      <w:pPr>
        <w:pStyle w:val="Normal"/>
        <w:spacing w:before="0" w:after="240"/>
        <w:ind w:firstLine="720" w:end="0"/>
        <w:jc w:val="both"/>
        <w:rPr/>
      </w:pPr>
      <w:r>
        <w:rPr/>
        <w:t xml:space="preserve">Property Damage </w:t>
        <w:tab/>
        <w:t xml:space="preserve">Each Occurrence (Minimum)  </w:t>
      </w:r>
    </w:p>
    <w:p>
      <w:pPr>
        <w:pStyle w:val="Heading3"/>
        <w:ind w:hanging="0" w:start="0"/>
        <w:rPr/>
      </w:pPr>
      <w:r>
        <w:rPr>
          <w:u w:val="single"/>
        </w:rPr>
        <w:t>Aircraft Liability Insurance</w:t>
      </w:r>
      <w:r>
        <w:rPr/>
        <w:t>.  If the Scope of Work necessitates the use of aircraft, Seller shall provide Aircraft Liability Insurance which shall be endorsed to provide coverage for non</w:t>
        <w:noBreakHyphen/>
        <w:t>owned as well as Guest Voluntary Settlement, with limits of:</w:t>
      </w:r>
    </w:p>
    <w:p>
      <w:pPr>
        <w:pStyle w:val="Normal"/>
        <w:ind w:firstLine="720" w:end="0"/>
        <w:jc w:val="both"/>
        <w:rPr/>
      </w:pPr>
      <w:r>
        <w:rPr/>
        <w:t>Bodily Injury and</w:t>
        <w:tab/>
        <w:t>$10,000,000 Combined Single Limit</w:t>
      </w:r>
    </w:p>
    <w:p>
      <w:pPr>
        <w:pStyle w:val="Normal"/>
        <w:spacing w:before="0" w:after="240"/>
        <w:ind w:firstLine="720" w:end="0"/>
        <w:jc w:val="both"/>
        <w:rPr/>
      </w:pPr>
      <w:r>
        <w:rPr/>
        <w:t>Property Damage</w:t>
        <w:tab/>
        <w:t>Each Occurrence</w:t>
      </w:r>
    </w:p>
    <w:p>
      <w:pPr>
        <w:pStyle w:val="Normal"/>
        <w:spacing w:lineRule="auto" w:line="300" w:before="0" w:after="240"/>
        <w:jc w:val="both"/>
        <w:rPr/>
      </w:pPr>
      <w:r>
        <w:rPr/>
        <w:t>Such insurance may be provided by the aircraft operator, by the aircraft charter agreement, or by Seller as Seller deems appropriate.</w:t>
      </w:r>
    </w:p>
    <w:p>
      <w:pPr>
        <w:pStyle w:val="Heading3"/>
        <w:ind w:hanging="0" w:start="0"/>
        <w:rPr/>
      </w:pPr>
      <w:r>
        <w:rPr>
          <w:u w:val="single"/>
        </w:rPr>
        <w:t>Excess Umbrella Liability Coverage</w:t>
      </w:r>
      <w:r>
        <w:rPr/>
        <w:t>.  Seller shall provide Excess Umbrella Liability coverage with minimum limits of:</w:t>
      </w:r>
    </w:p>
    <w:p>
      <w:pPr>
        <w:pStyle w:val="Normal"/>
        <w:ind w:firstLine="720" w:end="0"/>
        <w:jc w:val="both"/>
        <w:rPr/>
      </w:pPr>
      <w:r>
        <w:rPr/>
        <w:t>Bodily Injury and</w:t>
        <w:tab/>
        <w:t xml:space="preserve">$5,000,000 Combined Single Limit </w:t>
      </w:r>
    </w:p>
    <w:p>
      <w:pPr>
        <w:pStyle w:val="Normal"/>
        <w:spacing w:before="0" w:after="240"/>
        <w:ind w:firstLine="720" w:end="0"/>
        <w:jc w:val="both"/>
        <w:rPr/>
      </w:pPr>
      <w:r>
        <w:rPr/>
        <w:t xml:space="preserve">Property Damage </w:t>
        <w:tab/>
        <w:t xml:space="preserve">Each Occurrence </w:t>
      </w:r>
    </w:p>
    <w:p>
      <w:pPr>
        <w:pStyle w:val="Heading3"/>
        <w:ind w:hanging="0" w:start="0"/>
        <w:rPr/>
      </w:pPr>
      <w:r>
        <w:rPr>
          <w:u w:val="single"/>
        </w:rPr>
        <w:t>Vendors</w:t>
      </w: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pPr>
      <w:r>
        <w:rPr>
          <w:u w:val="single"/>
        </w:rPr>
        <w:t>Certificate of Insurance</w:t>
      </w: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pPr>
      <w:r>
        <w:rPr>
          <w:u w:val="single"/>
        </w:rPr>
        <w:t>Other Requirements</w:t>
      </w:r>
      <w:r>
        <w:rPr/>
        <w:t>.  Seller shall be responsible for the payment of all deductible and self insurance retention amounts with respect to the insurance required to be maintained by it pursuant hereto.  All Seller insurance shall:</w:t>
      </w:r>
    </w:p>
    <w:p>
      <w:pPr>
        <w:pStyle w:val="Heading4"/>
        <w:tabs>
          <w:tab w:val="clear" w:pos="216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tabs>
          <w:tab w:val="clear" w:pos="216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tabs>
          <w:tab w:val="clear" w:pos="2160"/>
        </w:tabs>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tabs>
          <w:tab w:val="clear" w:pos="216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ind w:hanging="0" w:start="0"/>
        <w:rPr/>
      </w:pPr>
      <w:r>
        <w:rPr>
          <w:u w:val="single"/>
        </w:rPr>
        <w:t>Vendor Waiver of Subrogation</w:t>
      </w: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ind w:hanging="0" w:start="0"/>
        <w:rPr/>
      </w:pPr>
      <w:r>
        <w:rPr>
          <w:u w:val="single"/>
        </w:rPr>
        <w:t>Compliance with Insurance</w:t>
      </w: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ind w:hanging="0" w:start="0"/>
        <w:rPr/>
      </w:pPr>
      <w:r>
        <w:rPr>
          <w:u w:val="single"/>
        </w:rPr>
        <w:t>Limitation</w:t>
      </w:r>
      <w:r>
        <w:rPr/>
        <w:t>.</w:t>
      </w:r>
    </w:p>
    <w:p>
      <w:pPr>
        <w:pStyle w:val="Normal"/>
        <w:keepNext w:val="true"/>
        <w:keepLines/>
        <w:spacing w:lineRule="auto" w:line="300" w:before="0" w:after="240"/>
        <w:jc w:val="both"/>
        <w:rPr/>
      </w:pPr>
      <w:r>
        <w:rPr>
          <w:rStyle w:val="ParaNum"/>
        </w:rPr>
        <w:tab/>
        <w:t>19.1.13.1</w:t>
      </w:r>
      <w:r>
        <w:rPr/>
        <w:t xml:space="preserve">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rPr/>
      </w:pPr>
      <w:r>
        <w:rPr>
          <w:rStyle w:val="ParaNum"/>
        </w:rPr>
        <w:tab/>
        <w:t>19.1.13.2</w:t>
      </w:r>
      <w:r>
        <w:rPr/>
        <w:t xml:space="preserve">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Normal"/>
        <w:rPr/>
      </w:pPr>
      <w:r>
        <w:rPr/>
      </w:r>
    </w:p>
    <w:p>
      <w:pPr>
        <w:pStyle w:val="Heading2"/>
        <w:tabs>
          <w:tab w:val="clear" w:pos="1080"/>
        </w:tabs>
        <w:ind w:hanging="0" w:start="0"/>
        <w:rPr/>
      </w:pPr>
      <w:r>
        <w:rPr>
          <w:u w:val="single"/>
        </w:rPr>
        <w:t>Purchaser Provided Insurance</w:t>
      </w:r>
      <w:r>
        <w:rPr/>
        <w:t xml:space="preserve">.   </w:t>
      </w:r>
    </w:p>
    <w:p>
      <w:pPr>
        <w:pStyle w:val="Heading3"/>
        <w:ind w:hanging="0" w:start="0"/>
        <w:rPr/>
      </w:pPr>
      <w:r>
        <w:rPr>
          <w:u w:val="single"/>
        </w:rPr>
        <w:t>Builder’s All Risk</w:t>
      </w: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tabs>
          <w:tab w:val="clear" w:pos="2160"/>
        </w:tabs>
        <w:ind w:hanging="0" w:start="0"/>
        <w:rPr/>
      </w:pPr>
      <w:r>
        <w:rPr/>
        <w:t>coverage for removal of debris;</w:t>
      </w:r>
    </w:p>
    <w:p>
      <w:pPr>
        <w:pStyle w:val="Heading4"/>
        <w:tabs>
          <w:tab w:val="clear" w:pos="2160"/>
        </w:tabs>
        <w:ind w:hanging="0" w:start="0"/>
        <w:rPr/>
      </w:pPr>
      <w:r>
        <w:rPr/>
        <w:t>transit coverage, not including ocean marine coverage;</w:t>
      </w:r>
    </w:p>
    <w:p>
      <w:pPr>
        <w:pStyle w:val="Heading4"/>
        <w:tabs>
          <w:tab w:val="clear" w:pos="2160"/>
        </w:tabs>
        <w:ind w:hanging="0" w:start="0"/>
        <w:rPr/>
      </w:pPr>
      <w:r>
        <w:rPr/>
        <w:t>off-Site storage coverage;</w:t>
      </w:r>
    </w:p>
    <w:p>
      <w:pPr>
        <w:pStyle w:val="Heading4"/>
        <w:tabs>
          <w:tab w:val="clear" w:pos="2160"/>
        </w:tabs>
        <w:ind w:hanging="0" w:start="0"/>
        <w:rPr/>
      </w:pPr>
      <w:r>
        <w:rPr/>
        <w:t>cold and hot (operational) testing coverage; and</w:t>
      </w:r>
    </w:p>
    <w:p>
      <w:pPr>
        <w:pStyle w:val="Heading4"/>
        <w:tabs>
          <w:tab w:val="clear" w:pos="2160"/>
        </w:tabs>
        <w:ind w:hanging="0" w:start="0"/>
        <w:rPr/>
      </w:pPr>
      <w:r>
        <w:rPr/>
        <w:t>24 months maintenance period coverage endorsement.</w:t>
      </w:r>
    </w:p>
    <w:p>
      <w:pPr>
        <w:pStyle w:val="Normal"/>
        <w:jc w:val="both"/>
        <w:rPr/>
      </w:pPr>
      <w:r>
        <w:rPr/>
        <w:t>The deductibles shall be as follows:</w:t>
      </w:r>
    </w:p>
    <w:p>
      <w:pPr>
        <w:pStyle w:val="Normal"/>
        <w:jc w:val="both"/>
        <w:rPr/>
      </w:pPr>
      <w:r>
        <w:rPr/>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r>
        <w:br w:type="page"/>
      </w:r>
    </w:p>
    <w:p>
      <w:pPr>
        <w:pStyle w:val="Heading3"/>
        <w:ind w:hanging="0" w:start="0"/>
        <w:rPr/>
      </w:pPr>
      <w:r>
        <w:rPr>
          <w:u w:val="single"/>
        </w:rPr>
        <w:t>Marine Cargo Insurance</w:t>
      </w: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rPr>
        <w:t xml:space="preserve">  </w:t>
      </w:r>
      <w:r>
        <w:rPr/>
        <w:t>The deductible under such insurance shall be $25,000 on a per occurrence basis.</w:t>
      </w:r>
    </w:p>
    <w:p>
      <w:pPr>
        <w:pStyle w:val="Heading3"/>
        <w:ind w:hanging="0" w:start="0"/>
        <w:rPr/>
      </w:pPr>
      <w:r>
        <w:rPr>
          <w:u w:val="single"/>
        </w:rPr>
        <w:t>Comprehensive General Liability</w:t>
      </w: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Normal"/>
        <w:spacing w:before="0" w:after="240"/>
        <w:jc w:val="both"/>
        <w:rPr/>
      </w:pPr>
      <w:r>
        <w:rPr/>
        <w:t>The deductible shall be US $10,000 for each and every loss in respect of property damage only.</w:t>
      </w:r>
    </w:p>
    <w:p>
      <w:pPr>
        <w:pStyle w:val="Heading2"/>
        <w:tabs>
          <w:tab w:val="clear" w:pos="1080"/>
        </w:tabs>
        <w:ind w:hanging="0" w:start="0"/>
        <w:rPr/>
      </w:pPr>
      <w:r>
        <w:rPr>
          <w:u w:val="single"/>
        </w:rPr>
        <w:t>Purchaser Policies</w:t>
      </w:r>
      <w:r>
        <w:rPr/>
        <w:t xml:space="preserve">.  </w:t>
      </w:r>
    </w:p>
    <w:p>
      <w:pPr>
        <w:pStyle w:val="Heading3"/>
        <w:ind w:hanging="0" w:start="0"/>
        <w:rPr/>
      </w:pPr>
      <w:r>
        <w:rPr>
          <w:u w:val="single"/>
        </w:rPr>
        <w:t>Purchaser’s Policies</w:t>
      </w:r>
      <w:r>
        <w:rPr/>
        <w:t>.  The insurance policies required to be maintained by Purchaser or caused to be maintained by Purchaser</w:t>
      </w:r>
      <w:r>
        <w:rPr>
          <w:b/>
        </w:rPr>
        <w:t xml:space="preserve"> </w:t>
      </w:r>
      <w:r>
        <w:rPr/>
        <w:t>under Section 19.2 shall:</w:t>
      </w:r>
    </w:p>
    <w:p>
      <w:pPr>
        <w:pStyle w:val="Heading4"/>
        <w:tabs>
          <w:tab w:val="clear" w:pos="2160"/>
        </w:tabs>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tabs>
          <w:tab w:val="clear" w:pos="2160"/>
        </w:tabs>
        <w:ind w:hanging="0" w:start="0"/>
        <w:rPr/>
      </w:pPr>
      <w:r>
        <w:rPr/>
        <w:t>include the Seller and its Vendors as additional insureds for their respective interests.</w:t>
      </w:r>
    </w:p>
    <w:p>
      <w:pPr>
        <w:pStyle w:val="Heading3"/>
        <w:ind w:hanging="0" w:start="0"/>
        <w:rPr/>
      </w:pPr>
      <w:r>
        <w:rPr>
          <w:u w:val="single"/>
        </w:rPr>
        <w:t>Not Used</w:t>
      </w:r>
      <w:r>
        <w:rPr/>
        <w:t xml:space="preserve">.  </w:t>
      </w:r>
    </w:p>
    <w:p>
      <w:pPr>
        <w:pStyle w:val="Heading3"/>
        <w:ind w:hanging="0" w:start="0"/>
        <w:rPr/>
      </w:pPr>
      <w:r>
        <w:rPr>
          <w:u w:val="single"/>
        </w:rPr>
        <w:t>Primary Insurance</w:t>
      </w: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keepNext w:val="true"/>
        <w:keepLines/>
        <w:tabs>
          <w:tab w:val="clear" w:pos="1080"/>
        </w:tabs>
        <w:ind w:hanging="0" w:start="0"/>
        <w:rPr/>
      </w:pPr>
      <w:r>
        <w:rPr/>
        <w:t>INDEMNIFICATION</w:t>
      </w:r>
    </w:p>
    <w:p>
      <w:pPr>
        <w:pStyle w:val="Heading2"/>
        <w:keepNext w:val="true"/>
        <w:keepLines/>
        <w:tabs>
          <w:tab w:val="clear" w:pos="1080"/>
        </w:tabs>
        <w:ind w:hanging="0" w:start="0"/>
        <w:rPr/>
      </w:pPr>
      <w:r>
        <w:rPr>
          <w:u w:val="single"/>
        </w:rPr>
        <w:t>Third Party</w:t>
      </w: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tabs>
          <w:tab w:val="clear" w:pos="1080"/>
        </w:tabs>
        <w:ind w:hanging="0" w:start="0"/>
        <w:rPr/>
      </w:pPr>
      <w:r>
        <w:rPr>
          <w:u w:val="single"/>
        </w:rPr>
        <w:t>Notice</w:t>
      </w: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tabs>
          <w:tab w:val="clear" w:pos="2160"/>
        </w:tabs>
        <w:ind w:hanging="0" w:start="0"/>
        <w:rPr/>
      </w:pPr>
      <w:r>
        <w:rPr/>
        <w:t>fifteen (15) Business Days prior to the last Day for responding to such claim or action; or</w:t>
      </w:r>
    </w:p>
    <w:p>
      <w:pPr>
        <w:pStyle w:val="Heading4"/>
        <w:tabs>
          <w:tab w:val="clear" w:pos="2160"/>
        </w:tabs>
        <w:ind w:hanging="0" w:start="0"/>
        <w:rPr/>
      </w:pPr>
      <w:r>
        <w:rPr/>
        <w:t>one</w:t>
        <w:noBreakHyphen/>
        <w:t>half of the period allowed for responding to such claim or action.</w:t>
      </w:r>
    </w:p>
    <w:p>
      <w:pPr>
        <w:pStyle w:val="Normal"/>
        <w:spacing w:lineRule="auto" w:line="300" w:before="0" w:after="240"/>
        <w:jc w:val="both"/>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tabs>
          <w:tab w:val="clear" w:pos="1080"/>
        </w:tabs>
        <w:ind w:hanging="0" w:start="0"/>
        <w:rPr/>
      </w:pPr>
      <w:r>
        <w:rPr>
          <w:u w:val="single"/>
        </w:rPr>
        <w:t>Employees</w:t>
      </w: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tabs>
          <w:tab w:val="clear" w:pos="1080"/>
        </w:tabs>
        <w:ind w:hanging="0" w:start="0"/>
        <w:rPr/>
      </w:pPr>
      <w:r>
        <w:rPr>
          <w:u w:val="single"/>
        </w:rPr>
        <w:t>Survival of Obligation</w:t>
      </w:r>
      <w:r>
        <w:rPr/>
        <w:t>.  The duty to indemnify under this Article XX will continue in full force and effect notwithstanding the expiration or termination of this Agreement.</w:t>
      </w:r>
    </w:p>
    <w:p>
      <w:pPr>
        <w:pStyle w:val="Heading1"/>
        <w:tabs>
          <w:tab w:val="clear" w:pos="1080"/>
        </w:tabs>
        <w:ind w:hanging="0" w:start="0"/>
        <w:rPr/>
      </w:pPr>
      <w:r>
        <w:rPr/>
        <w:t>NON</w:t>
        <w:noBreakHyphen/>
        <w:t>DISCLOSURE OF INFORMATION</w:t>
      </w:r>
    </w:p>
    <w:p>
      <w:pPr>
        <w:pStyle w:val="Heading3"/>
        <w:ind w:hanging="0" w:start="0"/>
        <w:rPr/>
      </w:pPr>
      <w:r>
        <w:rPr>
          <w:u w:val="single"/>
        </w:rPr>
        <w:t>Proprietary Information</w:t>
      </w: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tabs>
          <w:tab w:val="clear" w:pos="2160"/>
        </w:tabs>
        <w:ind w:hanging="0" w:start="0"/>
        <w:rPr/>
      </w:pPr>
      <w:r>
        <w:rPr/>
        <w:t>was developed on its own or furnished to it prior to this Agreement without restriction;</w:t>
      </w:r>
    </w:p>
    <w:p>
      <w:pPr>
        <w:pStyle w:val="Heading4"/>
        <w:tabs>
          <w:tab w:val="clear" w:pos="2160"/>
        </w:tabs>
        <w:ind w:hanging="0" w:start="0"/>
        <w:rPr/>
      </w:pPr>
      <w:r>
        <w:rPr/>
        <w:t>becomes generally available to the public through no fault of either party; or</w:t>
      </w:r>
    </w:p>
    <w:p>
      <w:pPr>
        <w:pStyle w:val="Heading4"/>
        <w:tabs>
          <w:tab w:val="clear" w:pos="2160"/>
        </w:tabs>
        <w:ind w:hanging="0" w:start="0"/>
        <w:rPr/>
      </w:pPr>
      <w:r>
        <w:rPr/>
        <w:t>is received by either party from a third party without restriction and not in breach of this Agreement or without fault or wrongdoing of the recipient.</w:t>
      </w:r>
    </w:p>
    <w:p>
      <w:pPr>
        <w:pStyle w:val="BodyText3"/>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tabs>
          <w:tab w:val="clear" w:pos="1080"/>
        </w:tabs>
        <w:ind w:hanging="0" w:start="0"/>
        <w:rPr/>
      </w:pPr>
      <w:r>
        <w:rPr>
          <w:u w:val="single"/>
        </w:rPr>
        <w:t>Press Releases</w:t>
      </w: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clear" w:pos="1080"/>
        </w:tabs>
        <w:ind w:hanging="0" w:start="0"/>
        <w:rPr/>
      </w:pPr>
      <w:r>
        <w:rPr>
          <w:u w:val="single"/>
        </w:rPr>
        <w:t>Confidentiality</w:t>
      </w: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jc w:val="both"/>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Normal"/>
        <w:rPr/>
      </w:pPr>
      <w:r>
        <w:rPr/>
      </w:r>
    </w:p>
    <w:p>
      <w:pPr>
        <w:pStyle w:val="Heading4"/>
        <w:tabs>
          <w:tab w:val="clear" w:pos="2160"/>
        </w:tabs>
        <w:ind w:hanging="0" w:start="0"/>
        <w:rPr/>
      </w:pPr>
      <w:r>
        <w:rPr/>
        <w:t xml:space="preserve">the ending of the need for the information relating to the  performance of the Scope of Work; </w:t>
      </w:r>
    </w:p>
    <w:p>
      <w:pPr>
        <w:pStyle w:val="Heading4"/>
        <w:tabs>
          <w:tab w:val="clear" w:pos="2160"/>
        </w:tabs>
        <w:ind w:hanging="0" w:start="0"/>
        <w:rPr/>
      </w:pPr>
      <w:r>
        <w:rPr/>
        <w:t>Purchaser’s request;</w:t>
      </w:r>
    </w:p>
    <w:p>
      <w:pPr>
        <w:pStyle w:val="Heading4"/>
        <w:tabs>
          <w:tab w:val="clear" w:pos="2160"/>
        </w:tabs>
        <w:ind w:hanging="0" w:start="0"/>
        <w:rPr/>
      </w:pPr>
      <w:r>
        <w:rPr/>
        <w:t>the completion of the Scope of Work for which it was provided, disclosed used or acquired; or</w:t>
      </w:r>
    </w:p>
    <w:p>
      <w:pPr>
        <w:pStyle w:val="Heading4"/>
        <w:tabs>
          <w:tab w:val="clear" w:pos="2160"/>
        </w:tabs>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Normal"/>
        <w:spacing w:lineRule="auto" w:line="300"/>
        <w:jc w:val="both"/>
        <w:rPr/>
      </w:pPr>
      <w:r>
        <w:rPr/>
        <w:t>provided that:</w:t>
      </w:r>
    </w:p>
    <w:p>
      <w:pPr>
        <w:pStyle w:val="Normal"/>
        <w:spacing w:lineRule="auto" w:line="300"/>
        <w:jc w:val="both"/>
        <w:rPr/>
      </w:pPr>
      <w:r>
        <w:rPr/>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tabs>
          <w:tab w:val="clear" w:pos="1080"/>
        </w:tabs>
        <w:ind w:hanging="0" w:start="0"/>
        <w:rPr/>
      </w:pPr>
      <w:r>
        <w:rPr/>
        <w:t>ASSIGNMENT</w:t>
      </w:r>
    </w:p>
    <w:p>
      <w:pPr>
        <w:pStyle w:val="Normal"/>
        <w:spacing w:lineRule="auto" w:line="300" w:before="0" w:after="240"/>
        <w:jc w:val="both"/>
        <w:rPr>
          <w:b/>
        </w:rPr>
      </w:pPr>
      <w:r>
        <w:rPr>
          <w:b/>
        </w:rPr>
        <w:t>[Note:  Are all of the WestLB/ABB Agreement assignment restrictions on Purchaser carried over to the Facility Agreement?]</w:t>
      </w:r>
    </w:p>
    <w:p>
      <w:pPr>
        <w:pStyle w:val="Heading2"/>
        <w:tabs>
          <w:tab w:val="clear" w:pos="1080"/>
        </w:tabs>
        <w:ind w:hanging="0" w:start="0"/>
        <w:rPr/>
      </w:pPr>
      <w:r>
        <w:rPr>
          <w:u w:val="single"/>
        </w:rPr>
        <w:t>Assignment by Seller</w:t>
      </w:r>
      <w:r>
        <w:rPr/>
        <w:t>.  This Agreement may not be assigned by Seller without the prior written consent of Purchaser, which shall not be unreasonably withheld.</w:t>
      </w:r>
    </w:p>
    <w:p>
      <w:pPr>
        <w:pStyle w:val="Heading2"/>
        <w:tabs>
          <w:tab w:val="clear" w:pos="1080"/>
        </w:tabs>
        <w:ind w:hanging="0" w:start="0"/>
        <w:rPr/>
      </w:pPr>
      <w:r>
        <w:rPr>
          <w:u w:val="single"/>
        </w:rPr>
        <w:t>Assignment by Purchaser</w:t>
      </w:r>
      <w:r>
        <w:rPr/>
        <w:t>.  This Agreement or any right or obligation contained herein may be assigned, from time to time, by Purchaser without Seller’s consent to:</w:t>
      </w:r>
    </w:p>
    <w:p>
      <w:pPr>
        <w:pStyle w:val="Heading4"/>
        <w:tabs>
          <w:tab w:val="clear" w:pos="2160"/>
        </w:tabs>
        <w:ind w:hanging="0" w:start="0"/>
        <w:rPr/>
      </w:pPr>
      <w:r>
        <w:rPr/>
        <w:t>an Affiliate of Purchaser;</w:t>
      </w:r>
    </w:p>
    <w:p>
      <w:pPr>
        <w:pStyle w:val="Heading4"/>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tabs>
          <w:tab w:val="clear" w:pos="2160"/>
        </w:tabs>
        <w:ind w:hanging="0" w:start="0"/>
        <w:rPr/>
      </w:pPr>
      <w:r>
        <w:rPr/>
        <w:t>any Lender;</w:t>
      </w:r>
    </w:p>
    <w:p>
      <w:pPr>
        <w:pStyle w:val="Heading4"/>
        <w:tabs>
          <w:tab w:val="clear" w:pos="2160"/>
        </w:tabs>
        <w:ind w:hanging="0" w:start="0"/>
        <w:rPr/>
      </w:pPr>
      <w:r>
        <w:rPr/>
        <w:t>any Indemnified Party;</w:t>
      </w:r>
    </w:p>
    <w:p>
      <w:pPr>
        <w:pStyle w:val="Heading4"/>
        <w:tabs>
          <w:tab w:val="clear" w:pos="2160"/>
        </w:tabs>
        <w:ind w:hanging="0" w:start="0"/>
        <w:rPr/>
      </w:pPr>
      <w:r>
        <w:rPr/>
        <w:t>any entity for the purposes of financing or sale of the Facility;</w:t>
      </w:r>
    </w:p>
    <w:p>
      <w:pPr>
        <w:pStyle w:val="Heading4"/>
        <w:tabs>
          <w:tab w:val="clear" w:pos="2160"/>
        </w:tabs>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tabs>
          <w:tab w:val="clear" w:pos="2160"/>
        </w:tabs>
        <w:ind w:hanging="0" w:start="0"/>
        <w:rPr/>
      </w:pPr>
      <w:r>
        <w:rPr/>
        <w:t xml:space="preserve">any contractor or developer </w:t>
      </w:r>
      <w:r>
        <w:rPr>
          <w:b/>
        </w:rPr>
        <w:t>[(including, without limitation, Enron Engineering &amp; Construction Company and/or NEPCO)]</w:t>
      </w:r>
      <w:r>
        <w:rPr/>
        <w:t xml:space="preserve"> which is retained by Purchaser or any of its Affiliates to construct or develop a power plant using the Equipment.</w:t>
      </w:r>
    </w:p>
    <w:p>
      <w:pPr>
        <w:pStyle w:val="BodyTextFirstIndent"/>
        <w:rPr/>
      </w:pPr>
      <w:r>
        <w:rPr/>
        <w:t xml:space="preserve">In the case of an assignment to a party described in (b), (f), or (g) </w:t>
      </w:r>
      <w:r>
        <w:rPr>
          <w:b/>
        </w:rPr>
        <w:t>[(other than Enron Engineering &amp; Construction or NEPCO)],</w:t>
      </w:r>
      <w:r>
        <w:rPr/>
        <w:t xml:space="preserve">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tabs>
          <w:tab w:val="clear" w:pos="1080"/>
        </w:tabs>
        <w:ind w:hanging="0" w:start="0"/>
        <w:rPr/>
      </w:pPr>
      <w:r>
        <w:rPr>
          <w:u w:val="single"/>
        </w:rPr>
        <w:t>Agreement with Lender</w:t>
      </w:r>
      <w:r>
        <w:rPr/>
        <w:t>.  Seller agrees that if requested by Purchaser, Seller shall enter into a direct agreement with Lender under which Lender is permitted to “step into” this Agreement.</w:t>
      </w:r>
    </w:p>
    <w:p>
      <w:pPr>
        <w:pStyle w:val="Heading1"/>
        <w:tabs>
          <w:tab w:val="clear" w:pos="1080"/>
        </w:tabs>
        <w:ind w:hanging="0" w:start="0"/>
        <w:rPr/>
      </w:pPr>
      <w:r>
        <w:rPr/>
        <w:t>RELATIONSHIP OF THE PARTIES</w:t>
      </w:r>
    </w:p>
    <w:p>
      <w:pPr>
        <w:pStyle w:val="Heading2"/>
        <w:tabs>
          <w:tab w:val="clear" w:pos="1080"/>
        </w:tabs>
        <w:ind w:hanging="0" w:start="0"/>
        <w:rPr/>
      </w:pPr>
      <w:r>
        <w:rPr>
          <w:u w:val="single"/>
        </w:rPr>
        <w:t>Independent Contractor</w:t>
      </w: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tabs>
          <w:tab w:val="clear" w:pos="1080"/>
        </w:tabs>
        <w:ind w:hanging="0" w:start="0"/>
        <w:rPr/>
      </w:pPr>
      <w:r>
        <w:rPr>
          <w:u w:val="single"/>
        </w:rPr>
        <w:t>Responsibilities of Seller as Principal for its Employees</w:t>
      </w:r>
      <w:r>
        <w:rPr/>
        <w:t xml:space="preserve">.  Seller has complete and sole responsibility as a principal for its agents, Vendors and all other hires to perform or assist in performing the Scope of Work. </w:t>
      </w:r>
    </w:p>
    <w:p>
      <w:pPr>
        <w:pStyle w:val="Heading2"/>
        <w:tabs>
          <w:tab w:val="clear" w:pos="1080"/>
        </w:tabs>
        <w:ind w:hanging="0" w:start="0"/>
        <w:rPr/>
      </w:pPr>
      <w:r>
        <w:rPr>
          <w:u w:val="single"/>
        </w:rPr>
        <w:t>Not Used</w:t>
      </w:r>
      <w:r>
        <w:rPr/>
        <w:t xml:space="preserve">. </w:t>
      </w:r>
    </w:p>
    <w:p>
      <w:pPr>
        <w:pStyle w:val="Heading1"/>
        <w:tabs>
          <w:tab w:val="clear" w:pos="1080"/>
        </w:tabs>
        <w:ind w:hanging="0" w:start="0"/>
        <w:rPr/>
      </w:pPr>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tabs>
          <w:tab w:val="clear" w:pos="1080"/>
        </w:tabs>
        <w:ind w:hanging="0" w:start="0"/>
        <w:rPr/>
      </w:pPr>
      <w:r>
        <w:rPr/>
        <w:t>NOTICES AND COMMUNICATIONS</w:t>
      </w:r>
    </w:p>
    <w:p>
      <w:pPr>
        <w:pStyle w:val="Heading2"/>
        <w:tabs>
          <w:tab w:val="clear" w:pos="1080"/>
        </w:tabs>
        <w:ind w:hanging="0" w:start="0"/>
        <w:rPr/>
      </w:pPr>
      <w:r>
        <w:rPr>
          <w:u w:val="single"/>
        </w:rPr>
        <w:t>Notices</w:t>
      </w:r>
      <w:r>
        <w:rPr/>
        <w:t>.  Any Notice pursuant to the terms and conditions of this Agreement shall be in writing and either:</w:t>
      </w:r>
    </w:p>
    <w:p>
      <w:pPr>
        <w:pStyle w:val="Heading4"/>
        <w:tabs>
          <w:tab w:val="clear" w:pos="2160"/>
        </w:tabs>
        <w:ind w:hanging="0" w:start="0"/>
        <w:rPr/>
      </w:pPr>
      <w:r>
        <w:rPr/>
        <w:t>delivered personally;</w:t>
      </w:r>
    </w:p>
    <w:p>
      <w:pPr>
        <w:pStyle w:val="Heading4"/>
        <w:tabs>
          <w:tab w:val="clear" w:pos="2160"/>
        </w:tabs>
        <w:ind w:hanging="0" w:start="0"/>
        <w:rPr/>
      </w:pPr>
      <w:r>
        <w:rPr/>
        <w:t>sent by certified mail, (return receipt requested);</w:t>
      </w:r>
    </w:p>
    <w:p>
      <w:pPr>
        <w:pStyle w:val="Heading4"/>
        <w:tabs>
          <w:tab w:val="clear" w:pos="2160"/>
        </w:tabs>
        <w:ind w:hanging="0" w:start="0"/>
        <w:rPr/>
      </w:pPr>
      <w:r>
        <w:rPr/>
        <w:t>sent by a recognized overnight mail or courier service with delivery receipt required; or</w:t>
      </w:r>
    </w:p>
    <w:p>
      <w:pPr>
        <w:pStyle w:val="Heading4"/>
        <w:tabs>
          <w:tab w:val="clear" w:pos="2160"/>
        </w:tabs>
        <w:ind w:hanging="0" w:start="0"/>
        <w:rPr/>
      </w:pPr>
      <w:r>
        <w:rPr/>
        <w:t>sent by confirmed facsimile transfer.</w:t>
      </w:r>
    </w:p>
    <w:p>
      <w:pPr>
        <w:pStyle w:val="Normal"/>
        <w:keepNext w:val="true"/>
        <w:keepLines/>
        <w:spacing w:lineRule="auto" w:line="300" w:before="0" w:after="240"/>
        <w:jc w:val="both"/>
        <w:rPr/>
      </w:pPr>
      <w:r>
        <w:rPr>
          <w:u w:val="single"/>
        </w:rPr>
        <w:t xml:space="preserve">Commercial </w:t>
        <w:noBreakHyphen/>
        <w:t xml:space="preserve"> Legal</w:t>
      </w:r>
      <w:r>
        <w:rPr/>
        <w:t>:</w:t>
      </w:r>
    </w:p>
    <w:p>
      <w:pPr>
        <w:pStyle w:val="Normal"/>
        <w:keepNext w:val="true"/>
        <w:keepLines/>
        <w:spacing w:before="0" w:after="240"/>
        <w:ind w:firstLine="720" w:end="0"/>
        <w:jc w:val="both"/>
        <w:rPr/>
      </w:pPr>
      <w:r>
        <w:rPr/>
        <w:t xml:space="preserve"> </w:t>
      </w:r>
      <w:r>
        <w:rPr/>
        <w:t>If to Seller:</w:t>
        <w:tab/>
        <w:tab/>
        <w:tab/>
        <w:tab/>
      </w:r>
    </w:p>
    <w:p>
      <w:pPr>
        <w:pStyle w:val="Normal"/>
        <w:keepNext w:val="true"/>
        <w:keepLines/>
        <w:jc w:val="both"/>
        <w:rPr/>
      </w:pPr>
      <w:r>
        <w:rPr/>
        <w:tab/>
        <w:t>ABB Power T &amp; D Company, Inc.</w:t>
        <w:tab/>
      </w:r>
    </w:p>
    <w:p>
      <w:pPr>
        <w:pStyle w:val="Normal"/>
        <w:keepNext w:val="true"/>
        <w:keepLines/>
        <w:ind w:firstLine="720" w:end="0"/>
        <w:jc w:val="both"/>
        <w:rPr/>
      </w:pPr>
      <w:r>
        <w:rPr/>
        <w:t>3010 Briarpark Drive</w:t>
        <w:tab/>
        <w:tab/>
        <w:tab/>
      </w:r>
    </w:p>
    <w:p>
      <w:pPr>
        <w:pStyle w:val="Normal"/>
        <w:keepNext w:val="true"/>
        <w:keepLines/>
        <w:jc w:val="both"/>
        <w:rPr/>
      </w:pPr>
      <w:r>
        <w:rPr/>
        <w:tab/>
        <w:t>Houston, Texas   77042</w:t>
        <w:tab/>
        <w:tab/>
      </w:r>
    </w:p>
    <w:p>
      <w:pPr>
        <w:pStyle w:val="Normal"/>
        <w:keepNext w:val="true"/>
        <w:keepLines/>
        <w:jc w:val="both"/>
        <w:rPr/>
      </w:pPr>
      <w:r>
        <w:rPr/>
        <w:tab/>
        <w:t>Attention: Michael Sandridge</w:t>
        <w:tab/>
        <w:tab/>
      </w:r>
    </w:p>
    <w:p>
      <w:pPr>
        <w:pStyle w:val="Normal"/>
        <w:keepNext w:val="true"/>
        <w:keepLines/>
        <w:spacing w:before="0" w:after="240"/>
        <w:ind w:firstLine="720" w:start="2880" w:end="0"/>
        <w:jc w:val="both"/>
        <w:rPr/>
      </w:pPr>
      <w:r>
        <w:rPr/>
        <w:tab/>
      </w:r>
    </w:p>
    <w:p>
      <w:pPr>
        <w:pStyle w:val="BodyText3"/>
        <w:ind w:firstLine="720" w:end="0"/>
        <w:rPr/>
      </w:pPr>
      <w:r>
        <w:rPr/>
        <w:t>If to Purchaser:</w:t>
      </w:r>
    </w:p>
    <w:p>
      <w:pPr>
        <w:pStyle w:val="Normal"/>
        <w:ind w:firstLine="720" w:end="0"/>
        <w:rPr>
          <w:b/>
        </w:rPr>
      </w:pPr>
      <w:r>
        <w:rPr>
          <w:b/>
        </w:rPr>
        <w:t>[_______________________</w:t>
      </w:r>
    </w:p>
    <w:p>
      <w:pPr>
        <w:pStyle w:val="Normal"/>
        <w:ind w:firstLine="720" w:end="0"/>
        <w:rPr>
          <w:b/>
        </w:rPr>
      </w:pPr>
      <w:r>
        <w:rPr>
          <w:b/>
        </w:rPr>
        <w:t>________________________</w:t>
      </w:r>
    </w:p>
    <w:p>
      <w:pPr>
        <w:pStyle w:val="Normal"/>
        <w:ind w:firstLine="720" w:end="0"/>
        <w:rPr>
          <w:b/>
        </w:rPr>
      </w:pPr>
      <w:r>
        <w:rPr>
          <w:b/>
        </w:rPr>
        <w:t>________________________</w:t>
      </w:r>
    </w:p>
    <w:p>
      <w:pPr>
        <w:pStyle w:val="Normal"/>
        <w:ind w:firstLine="720" w:end="0"/>
        <w:rPr>
          <w:b/>
        </w:rPr>
      </w:pPr>
      <w:r>
        <w:rPr>
          <w:b/>
        </w:rPr>
        <w:t>Attn:  ___________________</w:t>
      </w:r>
    </w:p>
    <w:p>
      <w:pPr>
        <w:pStyle w:val="Normal"/>
        <w:ind w:firstLine="720" w:end="0"/>
        <w:rPr>
          <w:b/>
        </w:rPr>
      </w:pPr>
      <w:r>
        <w:rPr>
          <w:b/>
        </w:rPr>
        <w:t>Fax:</w:t>
        <w:tab/>
        <w:t>__________________]</w:t>
      </w:r>
    </w:p>
    <w:p>
      <w:pPr>
        <w:pStyle w:val="Normal"/>
        <w:jc w:val="both"/>
        <w:rPr/>
      </w:pPr>
      <w:r>
        <w:rPr/>
        <w:tab/>
      </w:r>
    </w:p>
    <w:p>
      <w:pPr>
        <w:pStyle w:val="BodyTextFirstIndent"/>
        <w:rPr/>
      </w:pPr>
      <w:r>
        <w:rPr/>
        <w:t>Either party may change its address or the person to be notified by a Notice delivered in accordance with this section.</w:t>
      </w:r>
    </w:p>
    <w:p>
      <w:pPr>
        <w:pStyle w:val="Heading2"/>
        <w:tabs>
          <w:tab w:val="clear" w:pos="1080"/>
        </w:tabs>
        <w:ind w:hanging="0" w:start="0"/>
        <w:rPr/>
      </w:pPr>
      <w:r>
        <w:rPr>
          <w:u w:val="single"/>
        </w:rPr>
        <w:t>Effectiveness of Notices</w:t>
      </w:r>
      <w:r>
        <w:rPr/>
        <w:t>.  Notices shall be effective when received at the address or facsimile number specified.</w:t>
      </w:r>
    </w:p>
    <w:p>
      <w:pPr>
        <w:pStyle w:val="Heading2"/>
        <w:tabs>
          <w:tab w:val="clear" w:pos="1080"/>
        </w:tabs>
        <w:ind w:hanging="0" w:start="0"/>
        <w:rPr/>
      </w:pPr>
      <w:r>
        <w:rPr>
          <w:u w:val="single"/>
        </w:rPr>
        <w:t>Technical Communications</w:t>
      </w:r>
      <w:r>
        <w:rPr/>
        <w:t>.  Notwithstanding communications and Notices addresses as set forth in Section 25.1, the parties will route routine and technical communications as follows:</w:t>
      </w:r>
    </w:p>
    <w:p>
      <w:pPr>
        <w:pStyle w:val="Normal"/>
        <w:spacing w:before="0" w:after="240"/>
        <w:jc w:val="both"/>
        <w:rPr/>
      </w:pPr>
      <w:r>
        <w:rPr/>
        <w:t>If to Seller:</w:t>
        <w:tab/>
        <w:tab/>
        <w:tab/>
        <w:tab/>
        <w:tab/>
      </w:r>
    </w:p>
    <w:p>
      <w:pPr>
        <w:pStyle w:val="Normal"/>
        <w:jc w:val="both"/>
        <w:rPr/>
      </w:pPr>
      <w:r>
        <w:rPr/>
        <w:t xml:space="preserve">ABB Power T &amp; D Company, Inc.  </w:t>
        <w:tab/>
        <w:tab/>
      </w:r>
    </w:p>
    <w:p>
      <w:pPr>
        <w:pStyle w:val="Normal"/>
        <w:jc w:val="both"/>
        <w:rPr/>
      </w:pPr>
      <w:r>
        <w:rPr/>
        <w:t>3010 Briarpark Drive</w:t>
        <w:tab/>
        <w:tab/>
        <w:tab/>
        <w:tab/>
      </w:r>
    </w:p>
    <w:p>
      <w:pPr>
        <w:pStyle w:val="Normal"/>
        <w:jc w:val="both"/>
        <w:rPr/>
      </w:pPr>
      <w:r>
        <w:rPr/>
        <w:t>Houston, Texas  77042</w:t>
        <w:tab/>
        <w:tab/>
        <w:tab/>
      </w:r>
    </w:p>
    <w:p>
      <w:pPr>
        <w:pStyle w:val="Normal"/>
        <w:spacing w:before="0" w:after="480"/>
        <w:jc w:val="both"/>
        <w:rPr/>
      </w:pPr>
      <w:r>
        <w:rPr/>
        <w:t>Attn:  Michael Sandridge</w:t>
        <w:tab/>
        <w:tab/>
        <w:tab/>
      </w:r>
    </w:p>
    <w:p>
      <w:pPr>
        <w:pStyle w:val="Normal"/>
        <w:spacing w:before="0" w:after="240"/>
        <w:rPr/>
      </w:pPr>
      <w:r>
        <w:rPr/>
        <w:t>If to Purchaser:</w:t>
      </w:r>
    </w:p>
    <w:p>
      <w:pPr>
        <w:pStyle w:val="Normal"/>
        <w:rPr>
          <w:b/>
        </w:rPr>
      </w:pPr>
      <w:r>
        <w:rPr>
          <w:b/>
        </w:rPr>
        <w:t>[_____________________</w:t>
      </w:r>
    </w:p>
    <w:p>
      <w:pPr>
        <w:pStyle w:val="Normal"/>
        <w:rPr>
          <w:b/>
        </w:rPr>
      </w:pPr>
      <w:r>
        <w:rPr>
          <w:b/>
        </w:rPr>
        <w:t>______________________</w:t>
      </w:r>
    </w:p>
    <w:p>
      <w:pPr>
        <w:pStyle w:val="Normal"/>
        <w:rPr>
          <w:b/>
        </w:rPr>
      </w:pPr>
      <w:r>
        <w:rPr>
          <w:b/>
        </w:rPr>
        <w:t>______________________</w:t>
      </w:r>
    </w:p>
    <w:p>
      <w:pPr>
        <w:pStyle w:val="Normal"/>
        <w:rPr>
          <w:b/>
        </w:rPr>
      </w:pPr>
      <w:r>
        <w:rPr>
          <w:b/>
        </w:rPr>
        <w:t>Attn:   _________________</w:t>
      </w:r>
    </w:p>
    <w:p>
      <w:pPr>
        <w:pStyle w:val="Normal"/>
        <w:spacing w:before="0" w:after="720"/>
        <w:rPr>
          <w:b/>
        </w:rPr>
      </w:pPr>
      <w:r>
        <w:rPr>
          <w:b/>
        </w:rPr>
        <w:t>Fax:    _________________]</w:t>
      </w:r>
    </w:p>
    <w:p>
      <w:pPr>
        <w:pStyle w:val="Heading1"/>
        <w:keepNext w:val="true"/>
        <w:keepLines/>
        <w:tabs>
          <w:tab w:val="clear" w:pos="1080"/>
        </w:tabs>
        <w:ind w:hanging="0" w:start="0"/>
        <w:rPr/>
      </w:pPr>
      <w:r>
        <w:rPr/>
        <w:t>ARBITRATION</w:t>
      </w:r>
    </w:p>
    <w:p>
      <w:pPr>
        <w:pStyle w:val="Heading2"/>
        <w:keepNext w:val="true"/>
        <w:keepLines/>
        <w:tabs>
          <w:tab w:val="clear" w:pos="1080"/>
        </w:tabs>
        <w:ind w:hanging="0" w:start="0"/>
        <w:rPr/>
      </w:pPr>
      <w:r>
        <w:rPr>
          <w:u w:val="single"/>
        </w:rPr>
        <w:t>Negotiation of Disputes and Disagreements</w:t>
      </w: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clear" w:pos="1080"/>
        </w:tabs>
        <w:ind w:hanging="0" w:start="0"/>
        <w:rPr/>
      </w:pPr>
      <w:r>
        <w:rPr>
          <w:u w:val="single"/>
        </w:rPr>
        <w:t>Arbitration Resolution</w:t>
      </w:r>
      <w:r>
        <w:rPr/>
        <w:t>.  With respect to arbitration resolution, the parties agree that:</w:t>
      </w:r>
    </w:p>
    <w:p>
      <w:pPr>
        <w:pStyle w:val="Heading4"/>
        <w:tabs>
          <w:tab w:val="clear" w:pos="216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tabs>
          <w:tab w:val="clear" w:pos="2160"/>
        </w:tabs>
        <w:ind w:hanging="0" w:start="0"/>
        <w:rPr/>
      </w:pPr>
      <w:r>
        <w:rPr/>
        <w:t>The decision of the arbitrators shall be final and binding upon the parties;</w:t>
      </w:r>
    </w:p>
    <w:p>
      <w:pPr>
        <w:pStyle w:val="Heading4"/>
        <w:tabs>
          <w:tab w:val="clear" w:pos="2160"/>
        </w:tabs>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Normal"/>
        <w:spacing w:lineRule="auto" w:line="300" w:before="0" w:after="240"/>
        <w:jc w:val="both"/>
        <w:rPr/>
      </w:pPr>
      <w:r>
        <w:rPr/>
        <w:t>then such latter dispute shall constitute a “Related Dispute”;</w:t>
      </w:r>
    </w:p>
    <w:p>
      <w:pPr>
        <w:pStyle w:val="Heading4"/>
        <w:tabs>
          <w:tab w:val="clear" w:pos="2160"/>
        </w:tabs>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tabs>
          <w:tab w:val="clear" w:pos="1080"/>
        </w:tabs>
        <w:ind w:hanging="0" w:start="0"/>
        <w:rPr/>
      </w:pPr>
      <w:r>
        <w:rPr>
          <w:u w:val="single"/>
        </w:rPr>
        <w:t>Continuation of Work</w:t>
      </w:r>
      <w:r>
        <w:rPr/>
        <w:t>.  Pending final resolution of any dispute other than a dispute over Purchaser’s failure to pay the Purchase Amount in accordance with Section 6.1, Purchaser and Seller shall continue to fulfill their respective obligations hereunder.</w:t>
      </w:r>
    </w:p>
    <w:p>
      <w:pPr>
        <w:pStyle w:val="Heading1"/>
        <w:tabs>
          <w:tab w:val="clear" w:pos="1080"/>
        </w:tabs>
        <w:ind w:hanging="0" w:start="0"/>
        <w:rPr/>
      </w:pPr>
      <w:r>
        <w:rPr/>
        <w:t>LIMITATION OF LIABILITY</w:t>
      </w:r>
    </w:p>
    <w:p>
      <w:pPr>
        <w:pStyle w:val="Heading2"/>
        <w:tabs>
          <w:tab w:val="clear" w:pos="1080"/>
        </w:tabs>
        <w:ind w:hanging="0" w:start="0"/>
        <w:rPr/>
      </w:pPr>
      <w:r>
        <w:rPr>
          <w:u w:val="single"/>
        </w:rPr>
        <w:t>Maximum Liability</w:t>
      </w: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Heading4"/>
        <w:tabs>
          <w:tab w:val="clear" w:pos="2160"/>
        </w:tabs>
        <w:ind w:hanging="0" w:start="0"/>
        <w:rPr/>
      </w:pPr>
      <w:r>
        <w:rPr/>
        <w:t>under Article XX (Indemnification);</w:t>
      </w:r>
    </w:p>
    <w:p>
      <w:pPr>
        <w:pStyle w:val="Heading4"/>
        <w:tabs>
          <w:tab w:val="clear" w:pos="2160"/>
        </w:tabs>
        <w:ind w:hanging="0" w:start="0"/>
        <w:rPr/>
      </w:pPr>
      <w:r>
        <w:rPr/>
        <w:t>under Article XXIV (Liens and Claims);</w:t>
      </w:r>
    </w:p>
    <w:p>
      <w:pPr>
        <w:pStyle w:val="Heading4"/>
        <w:tabs>
          <w:tab w:val="clear" w:pos="2160"/>
        </w:tabs>
        <w:ind w:hanging="0" w:start="0"/>
        <w:rPr/>
      </w:pPr>
      <w:r>
        <w:rPr/>
        <w:t xml:space="preserve">Section </w:t>
      </w:r>
      <w:r>
        <w:rPr>
          <w:rStyle w:val="ParaNum"/>
        </w:rPr>
        <w:t>3.8(a)</w:t>
      </w:r>
      <w:r>
        <w:rPr/>
        <w:t xml:space="preserve"> and 3.8(b), (Compliance with Governmental Rules);</w:t>
      </w:r>
    </w:p>
    <w:p>
      <w:pPr>
        <w:pStyle w:val="Heading4"/>
        <w:tabs>
          <w:tab w:val="clear" w:pos="2160"/>
        </w:tabs>
        <w:ind w:hanging="0" w:start="0"/>
        <w:rPr/>
      </w:pPr>
      <w:r>
        <w:rPr/>
        <w:t xml:space="preserve">Section </w:t>
      </w:r>
      <w:r>
        <w:rPr>
          <w:rStyle w:val="ParaNum"/>
        </w:rPr>
        <w:t>5.2</w:t>
      </w:r>
      <w:r>
        <w:rPr/>
        <w:t xml:space="preserve"> (Taxes and Contributions);</w:t>
      </w:r>
    </w:p>
    <w:p>
      <w:pPr>
        <w:pStyle w:val="Heading4"/>
        <w:tabs>
          <w:tab w:val="clear" w:pos="2160"/>
        </w:tabs>
        <w:ind w:hanging="0" w:start="0"/>
        <w:rPr/>
      </w:pPr>
      <w:r>
        <w:rPr/>
        <w:t xml:space="preserve">Article </w:t>
      </w:r>
      <w:r>
        <w:rPr>
          <w:rStyle w:val="ParaNum"/>
        </w:rPr>
        <w:t>XI</w:t>
      </w:r>
      <w:r>
        <w:rPr/>
        <w:t xml:space="preserve">X obligation to maintain insurance; </w:t>
      </w:r>
    </w:p>
    <w:p>
      <w:pPr>
        <w:pStyle w:val="Heading4"/>
        <w:tabs>
          <w:tab w:val="clear" w:pos="2160"/>
        </w:tabs>
        <w:ind w:hanging="0" w:start="0"/>
        <w:rPr/>
      </w:pPr>
      <w:r>
        <w:rPr/>
        <w:t>arising from or related to environmental harm caused by an action or inaction of Seller, its agents, employees or Vendors during the performance of the Scope of Work;</w:t>
      </w:r>
    </w:p>
    <w:p>
      <w:pPr>
        <w:pStyle w:val="Heading4"/>
        <w:tabs>
          <w:tab w:val="clear" w:pos="2160"/>
        </w:tabs>
        <w:ind w:hanging="0" w:start="0"/>
        <w:rPr/>
      </w:pPr>
      <w:r>
        <w:rPr/>
        <w:t>resulting from the gross negligence or willful misconduct of Seller, their agents, employees or Vendors;</w:t>
      </w:r>
    </w:p>
    <w:p>
      <w:pPr>
        <w:pStyle w:val="Heading4"/>
        <w:tabs>
          <w:tab w:val="clear" w:pos="2160"/>
        </w:tabs>
        <w:ind w:hanging="0" w:start="0"/>
        <w:rPr/>
      </w:pPr>
      <w:r>
        <w:rPr/>
        <w:t>patent or copyright infringement in accordance with Section 15.2, or</w:t>
      </w:r>
    </w:p>
    <w:p>
      <w:pPr>
        <w:pStyle w:val="Heading4"/>
        <w:tabs>
          <w:tab w:val="clear" w:pos="2160"/>
        </w:tabs>
        <w:ind w:hanging="0" w:start="0"/>
        <w:rPr/>
      </w:pPr>
      <w:r>
        <w:rPr/>
        <w:t xml:space="preserve">Article </w:t>
      </w:r>
      <w:r>
        <w:rPr>
          <w:rStyle w:val="ParaNum"/>
        </w:rPr>
        <w:t>XX</w:t>
      </w:r>
      <w:r>
        <w:rPr/>
        <w:t>I (Non-Disclosure of Information,</w:t>
      </w:r>
    </w:p>
    <w:p>
      <w:pPr>
        <w:pStyle w:val="Normal"/>
        <w:spacing w:lineRule="auto" w:line="300" w:before="0" w:after="240"/>
        <w:jc w:val="both"/>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tabs>
          <w:tab w:val="clear" w:pos="1080"/>
        </w:tabs>
        <w:ind w:hanging="0" w:start="0"/>
        <w:rPr/>
      </w:pPr>
      <w:r>
        <w:rPr>
          <w:u w:val="single"/>
        </w:rPr>
        <w:t>Consequential Damages</w:t>
      </w: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tabs>
          <w:tab w:val="clear" w:pos="1080"/>
        </w:tabs>
        <w:ind w:hanging="0" w:start="0"/>
        <w:rPr/>
      </w:pPr>
      <w:r>
        <w:rPr>
          <w:u w:val="single"/>
        </w:rPr>
        <w:t>Releases Valid in All Events</w:t>
      </w: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tabs>
          <w:tab w:val="clear" w:pos="1080"/>
        </w:tabs>
        <w:ind w:hanging="0" w:start="0"/>
        <w:rPr/>
      </w:pPr>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w:t>
      </w:r>
      <w:r>
        <w:rPr>
          <w:b/>
        </w:rPr>
        <w:t>[Number ________, dated ______________]</w:t>
      </w:r>
      <w:r>
        <w:rPr/>
        <w:t xml:space="preserve"> including: </w:t>
      </w:r>
    </w:p>
    <w:p>
      <w:pPr>
        <w:pStyle w:val="Heading4"/>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tabs>
          <w:tab w:val="clear" w:pos="1080"/>
        </w:tabs>
        <w:ind w:hanging="0" w:start="0"/>
        <w:rPr/>
      </w:pPr>
      <w:r>
        <w:rPr/>
        <w:t>MISCELLANEOUS</w:t>
      </w:r>
    </w:p>
    <w:p>
      <w:pPr>
        <w:pStyle w:val="Heading2"/>
        <w:tabs>
          <w:tab w:val="clear" w:pos="1080"/>
        </w:tabs>
        <w:ind w:hanging="0" w:start="0"/>
        <w:rPr/>
      </w:pPr>
      <w:r>
        <w:rPr>
          <w:u w:val="single"/>
        </w:rPr>
        <w:t>Validity and Enforceability</w:t>
      </w: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clear" w:pos="1080"/>
        </w:tabs>
        <w:ind w:hanging="0" w:start="0"/>
        <w:rPr/>
      </w:pPr>
      <w:r>
        <w:rPr>
          <w:u w:val="single"/>
        </w:rPr>
        <w:t>Governing Law</w:t>
      </w: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tabs>
          <w:tab w:val="clear" w:pos="1080"/>
        </w:tabs>
        <w:ind w:hanging="0" w:start="0"/>
        <w:rPr/>
      </w:pPr>
      <w:r>
        <w:rPr>
          <w:u w:val="single"/>
        </w:rPr>
        <w:t>Entire Agreement</w:t>
      </w: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tabs>
          <w:tab w:val="clear" w:pos="1080"/>
        </w:tabs>
        <w:ind w:hanging="0" w:start="0"/>
        <w:rPr/>
      </w:pPr>
      <w:r>
        <w:rPr>
          <w:u w:val="single"/>
        </w:rPr>
        <w:t>Agreement Modification</w:t>
      </w:r>
      <w:r>
        <w:rPr/>
        <w:t xml:space="preserve">.  No oral or written modification of this Agreement either before or after its execution shall be of any force or effect unless such modification is in writing and signed by the party to be bound thereby. </w:t>
      </w:r>
    </w:p>
    <w:p>
      <w:pPr>
        <w:pStyle w:val="Heading2"/>
        <w:tabs>
          <w:tab w:val="clear" w:pos="1080"/>
        </w:tabs>
        <w:ind w:hanging="0" w:start="0"/>
        <w:rPr/>
      </w:pPr>
      <w:r>
        <w:rPr>
          <w:u w:val="single"/>
        </w:rPr>
        <w:t>Waiver</w:t>
      </w: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tabs>
          <w:tab w:val="clear" w:pos="1080"/>
        </w:tabs>
        <w:ind w:hanging="0" w:start="0"/>
        <w:rPr/>
      </w:pPr>
      <w:r>
        <w:rPr>
          <w:u w:val="single"/>
        </w:rPr>
        <w:t>Headings</w:t>
      </w:r>
      <w:r>
        <w:rPr/>
        <w:t>.  The headings contained herein are included solely for the convenience of the parties and are not to be used as a basis for interpreting the various sections of this Agreement.</w:t>
      </w:r>
    </w:p>
    <w:p>
      <w:pPr>
        <w:pStyle w:val="Heading2"/>
        <w:tabs>
          <w:tab w:val="clear" w:pos="1080"/>
        </w:tabs>
        <w:ind w:hanging="0" w:start="0"/>
        <w:rPr/>
      </w:pPr>
      <w:r>
        <w:rPr>
          <w:u w:val="single"/>
        </w:rPr>
        <w:t>Third</w:t>
        <w:noBreakHyphen/>
        <w:t>Party Beneficiaries</w:t>
      </w:r>
      <w:r>
        <w:rPr/>
        <w:t>.  The provisions of this Agreement are intended for the sole benefit of Purchaser and Seller, and there are no third</w:t>
        <w:noBreakHyphen/>
        <w:t xml:space="preserve">party beneficiaries other than assignees contemplated by the terms herein. </w:t>
      </w:r>
    </w:p>
    <w:p>
      <w:pPr>
        <w:pStyle w:val="Heading2"/>
        <w:tabs>
          <w:tab w:val="clear" w:pos="1080"/>
        </w:tabs>
        <w:ind w:hanging="0" w:start="0"/>
        <w:rPr/>
      </w:pPr>
      <w:r>
        <w:rPr>
          <w:u w:val="single"/>
        </w:rPr>
        <w:t>Counterparts</w:t>
      </w:r>
      <w:r>
        <w:rPr/>
        <w:t xml:space="preserve">.  This Agreement may be executed in counterparts, each of which when so executed and delivered shall be an original, and all of which, when taken together, shall constitute one and the same instrument. </w:t>
      </w:r>
    </w:p>
    <w:p>
      <w:pPr>
        <w:pStyle w:val="Heading2"/>
        <w:tabs>
          <w:tab w:val="clear" w:pos="1080"/>
        </w:tabs>
        <w:ind w:hanging="0" w:start="0"/>
        <w:rPr/>
      </w:pPr>
      <w:r>
        <w:rPr>
          <w:u w:val="single"/>
        </w:rPr>
        <w:t>Equal Employment Opportunity</w:t>
      </w: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tabs>
          <w:tab w:val="clear" w:pos="1080"/>
        </w:tabs>
        <w:ind w:hanging="0" w:start="0"/>
        <w:rPr/>
      </w:pPr>
      <w:r>
        <w:rPr>
          <w:u w:val="single"/>
        </w:rPr>
        <w:t>Cooperation on Site</w:t>
      </w:r>
      <w:bookmarkStart w:id="3" w:name="DocXparanum"/>
      <w:bookmarkEnd w:id="3"/>
      <w:r>
        <w:rPr/>
        <w:t xml:space="preserve"> To the extent Seller is required to perform services on Site it shall cooperate with other contractors on Site so as to coordinate work and schedules.</w:t>
      </w:r>
    </w:p>
    <w:p>
      <w:pPr>
        <w:pStyle w:val="BodyText2"/>
        <w:rPr>
          <w:b/>
        </w:rPr>
      </w:pPr>
      <w:r>
        <w:rPr>
          <w:b/>
        </w:rPr>
        <w:t>[Note:  Do we need a separate letter agreement to release WestdeutscheLB and ENA from their obligations under The WestdeutscheLB/ABB Agreement?]</w:t>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Normal"/>
        <w:spacing w:lineRule="auto" w:line="300"/>
        <w:jc w:val="both"/>
        <w:rPr/>
      </w:pPr>
      <w:r>
        <w:rPr/>
        <w:t>ABB POWER T &amp; D COMPANY,</w:t>
      </w:r>
    </w:p>
    <w:p>
      <w:pPr>
        <w:pStyle w:val="Normal"/>
        <w:spacing w:lineRule="auto" w:line="300" w:before="0" w:after="240"/>
        <w:jc w:val="both"/>
        <w:rPr>
          <w:b/>
        </w:rPr>
      </w:pPr>
      <w:r>
        <w:rPr>
          <w:b/>
        </w:rPr>
        <w:t>as Seller</w:t>
      </w:r>
      <w:r>
        <w:rPr/>
        <w:tab/>
      </w:r>
    </w:p>
    <w:p>
      <w:pPr>
        <w:pStyle w:val="Normal"/>
        <w:spacing w:lineRule="auto" w:line="300"/>
        <w:jc w:val="both"/>
        <w:rPr/>
      </w:pPr>
      <w:r>
        <w:rPr/>
        <w:t>By:  ____________________________</w:t>
      </w:r>
    </w:p>
    <w:p>
      <w:pPr>
        <w:pStyle w:val="Normal"/>
        <w:spacing w:lineRule="auto" w:line="300"/>
        <w:jc w:val="both"/>
        <w:rPr/>
      </w:pPr>
      <w:r>
        <w:rPr/>
        <w:t>Title:  __________________________</w:t>
      </w:r>
    </w:p>
    <w:p>
      <w:pPr>
        <w:pStyle w:val="Normal"/>
        <w:spacing w:lineRule="auto" w:line="300" w:before="0" w:after="240"/>
        <w:jc w:val="both"/>
        <w:rPr/>
      </w:pPr>
      <w:r>
        <w:rPr/>
        <w:t>Date:  __________________________</w:t>
      </w:r>
    </w:p>
    <w:p>
      <w:pPr>
        <w:pStyle w:val="Normal"/>
        <w:spacing w:lineRule="auto" w:line="300"/>
        <w:jc w:val="both"/>
        <w:rPr/>
      </w:pPr>
      <w:r>
        <w:rPr/>
        <w:t xml:space="preserve"> </w:t>
      </w:r>
      <w:r>
        <w:rPr/>
        <w:tab/>
        <w:tab/>
        <w:tab/>
        <w:tab/>
      </w:r>
    </w:p>
    <w:p>
      <w:pPr>
        <w:pStyle w:val="Normal"/>
        <w:spacing w:lineRule="auto" w:line="300"/>
        <w:jc w:val="both"/>
        <w:rPr/>
      </w:pPr>
      <w:r>
        <w:rPr/>
        <w:t>[______________________],</w:t>
      </w:r>
    </w:p>
    <w:p>
      <w:pPr>
        <w:pStyle w:val="Normal"/>
        <w:spacing w:lineRule="auto" w:line="300" w:before="0" w:after="240"/>
        <w:jc w:val="both"/>
        <w:rPr>
          <w:b/>
        </w:rPr>
      </w:pPr>
      <w:r>
        <w:rPr>
          <w:b/>
        </w:rPr>
        <w:t>as Purchaser</w:t>
      </w:r>
      <w:r>
        <w:rPr/>
        <w:t xml:space="preserve">  </w:t>
      </w:r>
    </w:p>
    <w:p>
      <w:pPr>
        <w:pStyle w:val="Normal"/>
        <w:spacing w:lineRule="auto" w:line="300"/>
        <w:jc w:val="both"/>
        <w:rPr/>
      </w:pPr>
      <w:r>
        <w:rPr/>
        <w:t xml:space="preserve">By:  ____________________________ </w:t>
      </w:r>
    </w:p>
    <w:p>
      <w:pPr>
        <w:pStyle w:val="Normal"/>
        <w:spacing w:lineRule="auto" w:line="300"/>
        <w:jc w:val="both"/>
        <w:rPr/>
      </w:pPr>
      <w:r>
        <w:rPr/>
        <w:t>Title:  ___________________________</w:t>
      </w:r>
    </w:p>
    <w:p>
      <w:pPr>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lineRule="auto" w:line="300"/>
        <w:jc w:val="both"/>
        <w:rPr/>
      </w:pPr>
      <w:r>
        <w:rPr/>
        <w:t>Date:  ___________________________</w:t>
      </w:r>
    </w:p>
    <w:p>
      <w:pPr>
        <w:pStyle w:val="Normal"/>
        <w:spacing w:lineRule="auto" w:line="300"/>
        <w:jc w:val="center"/>
        <w:rPr>
          <w:sz w:val="20"/>
          <w:u w:val="single"/>
        </w:rPr>
      </w:pPr>
      <w:r>
        <w:rPr>
          <w:sz w:val="20"/>
        </w:rPr>
        <w:t xml:space="preserve">EXHIBIT A  </w:t>
      </w:r>
      <w:r>
        <w:rPr>
          <w:sz w:val="20"/>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xml:space="preserve">* Electrical Losses to be based on the lower MVA (base) </w:t>
      </w:r>
      <w:r>
        <w:rPr>
          <w:b/>
          <w:sz w:val="20"/>
        </w:rPr>
        <w:t xml:space="preserve">[Note:  not defined] </w:t>
      </w:r>
      <w:r>
        <w:rPr>
          <w:sz w:val="20"/>
        </w:rPr>
        <w:t>applicable to the Unit and the Electrical Losses Guarantee assumes the cooling fans are not in operation.  Total losses are defined to be the sum of the no load losses and the load losses.</w:t>
      </w:r>
    </w:p>
    <w:p>
      <w:pPr>
        <w:pStyle w:val="Normal"/>
        <w:spacing w:lineRule="auto" w:line="300"/>
        <w:rPr>
          <w:sz w:val="20"/>
        </w:rPr>
      </w:pPr>
      <w:r>
        <w:rPr>
          <w:sz w:val="20"/>
        </w:rPr>
      </w:r>
      <w:r>
        <w:br w:type="page"/>
      </w:r>
    </w:p>
    <w:p>
      <w:pPr>
        <w:pStyle w:val="Normal"/>
        <w:spacing w:lineRule="auto" w:line="300"/>
        <w:jc w:val="center"/>
        <w:rPr>
          <w:sz w:val="20"/>
          <w:u w:val="single"/>
        </w:rPr>
      </w:pPr>
      <w:r>
        <w:rPr>
          <w:sz w:val="20"/>
        </w:rPr>
        <w:t xml:space="preserve">EXHIBIT B  </w:t>
      </w:r>
      <w:r>
        <w:rPr>
          <w:sz w:val="20"/>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rPr>
      </w:pPr>
      <w:r>
        <w:rPr>
          <w:sz w:val="20"/>
        </w:rPr>
        <w:t>Transformers (10)</w:t>
      </w:r>
    </w:p>
    <w:p>
      <w:pPr>
        <w:pStyle w:val="Normal"/>
        <w:spacing w:lineRule="auto" w:line="300"/>
        <w:rPr>
          <w:sz w:val="20"/>
        </w:rPr>
      </w:pPr>
      <w:r>
        <w:rPr>
          <w:sz w:val="20"/>
        </w:rPr>
      </w:r>
      <w:r>
        <w:br w:type="page"/>
      </w:r>
    </w:p>
    <w:p>
      <w:pPr>
        <w:pStyle w:val="Normal"/>
        <w:spacing w:lineRule="auto" w:line="300"/>
        <w:jc w:val="center"/>
        <w:rPr>
          <w:b/>
          <w:sz w:val="20"/>
          <w:u w:val="single"/>
        </w:rPr>
      </w:pPr>
      <w:r>
        <w:rPr>
          <w:b/>
          <w:sz w:val="20"/>
          <w:u w:val="single"/>
        </w:rPr>
      </w:r>
    </w:p>
    <w:p>
      <w:pPr>
        <w:pStyle w:val="Normal"/>
        <w:jc w:val="center"/>
        <w:rPr>
          <w:b/>
          <w:sz w:val="20"/>
        </w:rPr>
      </w:pPr>
      <w:r>
        <w:rPr>
          <w:b/>
          <w:sz w:val="20"/>
        </w:rPr>
      </w:r>
    </w:p>
    <w:p>
      <w:pPr>
        <w:pStyle w:val="Normal"/>
        <w:jc w:val="center"/>
        <w:rPr>
          <w:sz w:val="20"/>
        </w:rPr>
      </w:pPr>
      <w:r>
        <w:rPr>
          <w:sz w:val="20"/>
        </w:rPr>
        <w:t>EXHIBIT B</w:t>
        <w:noBreakHyphen/>
        <w:t xml:space="preserve">1  </w:t>
      </w:r>
      <w:r>
        <w:rPr>
          <w:sz w:val="20"/>
          <w:u w:val="single"/>
        </w:rPr>
        <w:t>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68">
                <wp:simplePos x="0" y="0"/>
                <wp:positionH relativeFrom="column">
                  <wp:posOffset>365760</wp:posOffset>
                </wp:positionH>
                <wp:positionV relativeFrom="paragraph">
                  <wp:posOffset>52070</wp:posOffset>
                </wp:positionV>
                <wp:extent cx="6035675" cy="1463675"/>
                <wp:effectExtent l="13335" t="13335" r="12065" b="12065"/>
                <wp:wrapNone/>
                <wp:docPr id="6"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r>
        <w:br w:type="page"/>
      </w:r>
    </w:p>
    <w:p>
      <w:pPr>
        <w:pStyle w:val="Norma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rFonts w:ascii="CG Times (W1);Times New Roman" w:hAnsi="CG Times (W1);Times New Roman" w:cs="CG Times (W1);Times New Roman"/>
        </w:rPr>
      </w:pPr>
      <w:r>
        <w:rPr>
          <w:rFonts w:cs="CG Times (W1);Times New Roman" w:ascii="CG Times (W1);Times New Roman" w:hAnsi="CG Times (W1);Times New Roman"/>
        </w:rPr>
      </w:r>
      <w:r>
        <w:br w:type="page"/>
      </w:r>
    </w:p>
    <w:p>
      <w:pPr>
        <w:pStyle w:val="Normal"/>
        <w:tabs>
          <w:tab w:val="clear" w:pos="720"/>
          <w:tab w:val="center" w:pos="5040" w:leader="none"/>
        </w:tabs>
        <w:suppressAutoHyphens w:val="true"/>
        <w:jc w:val="center"/>
        <w:rPr>
          <w:spacing w:val="-6"/>
        </w:rPr>
      </w:pPr>
      <w:r>
        <w:rPr>
          <w:b/>
          <w:spacing w:val="-6"/>
        </w:rPr>
        <w:t xml:space="preserve"> </w:t>
      </w: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sdt>
      <w:sdtPr>
        <w:docPartObj>
          <w:docPartGallery w:val="Table of Contents"/>
          <w:docPartUnique w:val="true"/>
        </w:docPartObj>
      </w:sdtPr>
      <w:sdtContent>
        <w:p>
          <w:pPr>
            <w:pStyle w:val="Normal"/>
            <w:jc w:val="both"/>
            <w:rPr>
              <w:lang w:val="en-CA" w:eastAsia="en-CA"/>
            </w:rPr>
          </w:pPr>
          <w:r>
            <w:fldChar w:fldCharType="begin"/>
          </w:r>
          <w:r>
            <w:rPr>
              <w:lang w:val="en-CA" w:eastAsia="en-CA"/>
            </w:rPr>
            <w:instrText xml:space="preserve"> TOC \o "1-3" </w:instrText>
          </w:r>
          <w:r>
            <w:rPr>
              <w:lang w:val="en-CA" w:eastAsia="en-CA"/>
            </w:rPr>
            <w:fldChar w:fldCharType="separate"/>
          </w:r>
          <w:r>
            <w:rPr>
              <w:lang w:val="en-CA" w:eastAsia="en-CA"/>
            </w:rPr>
            <w:t>1.SCOPE…………………………………………………………  ……………………………………</w:t>
          </w:r>
          <w:hyperlink w:anchor="__RefHeading___Toc453662982">
            <w:r>
              <w:rPr>
                <w:rStyle w:val="IndexLink"/>
                <w:lang w:val="en-CA" w:eastAsia="en-CA"/>
              </w:rPr>
              <w:t>7</w:t>
            </w:r>
          </w:hyperlink>
        </w:p>
        <w:p>
          <w:pPr>
            <w:pStyle w:val="Normal"/>
            <w:jc w:val="both"/>
            <w:rPr>
              <w:lang w:val="en-CA" w:eastAsia="en-CA"/>
            </w:rPr>
          </w:pPr>
          <w:r>
            <w:rPr>
              <w:lang w:val="en-CA" w:eastAsia="en-CA"/>
            </w:rPr>
            <w:t>2.EQUIPMENT AND SERVICES BY SELLER……………………………………………………….</w:t>
          </w:r>
          <w:hyperlink w:anchor="__RefHeading___Toc453662983">
            <w:r>
              <w:rPr>
                <w:rStyle w:val="IndexLink"/>
                <w:lang w:val="en-CA" w:eastAsia="en-CA"/>
              </w:rPr>
              <w:t>7</w:t>
            </w:r>
          </w:hyperlink>
        </w:p>
        <w:p>
          <w:pPr>
            <w:pStyle w:val="Normal"/>
            <w:jc w:val="both"/>
            <w:rPr>
              <w:lang w:val="en-CA" w:eastAsia="en-CA"/>
            </w:rPr>
          </w:pPr>
          <w:r>
            <w:rPr>
              <w:lang w:val="en-CA" w:eastAsia="en-CA"/>
            </w:rPr>
            <w:t>3.EQUIPMENT AND SERVICES BY PURCHASER…………………………………………………</w:t>
          </w:r>
          <w:hyperlink w:anchor="__RefHeading___Toc453662984">
            <w:r>
              <w:rPr>
                <w:rStyle w:val="IndexLink"/>
                <w:lang w:val="en-CA" w:eastAsia="en-CA"/>
              </w:rPr>
              <w:t>7</w:t>
            </w:r>
          </w:hyperlink>
        </w:p>
        <w:p>
          <w:pPr>
            <w:pStyle w:val="Normal"/>
            <w:jc w:val="both"/>
            <w:rPr>
              <w:lang w:val="en-CA" w:eastAsia="en-CA"/>
            </w:rPr>
          </w:pPr>
          <w:r>
            <w:rPr>
              <w:lang w:val="en-CA" w:eastAsia="en-CA"/>
            </w:rPr>
            <w:t>4.CODES, STANDARDS AND SPECIFICATIONS…………………………………………………</w:t>
          </w:r>
          <w:hyperlink w:anchor="__RefHeading___Toc453662985">
            <w:r>
              <w:rPr>
                <w:rStyle w:val="IndexLink"/>
                <w:lang w:val="en-CA" w:eastAsia="en-CA"/>
              </w:rPr>
              <w:t>7</w:t>
            </w:r>
          </w:hyperlink>
        </w:p>
        <w:p>
          <w:pPr>
            <w:pStyle w:val="Normal"/>
            <w:jc w:val="both"/>
            <w:rPr>
              <w:lang w:val="en-CA" w:eastAsia="en-CA"/>
            </w:rPr>
          </w:pPr>
          <w:r>
            <w:rPr>
              <w:lang w:val="en-CA" w:eastAsia="en-CA"/>
            </w:rPr>
            <w:t>5.DESIGN CRITERIA…………………………………………………………………………………..</w:t>
          </w:r>
          <w:hyperlink w:anchor="__RefHeading___Toc453662986">
            <w:r>
              <w:rPr>
                <w:rStyle w:val="IndexLink"/>
                <w:lang w:val="en-CA" w:eastAsia="en-CA"/>
              </w:rPr>
              <w:t>8</w:t>
            </w:r>
          </w:hyperlink>
        </w:p>
        <w:p>
          <w:pPr>
            <w:pStyle w:val="Normal"/>
            <w:jc w:val="both"/>
            <w:rPr>
              <w:lang w:val="en-CA" w:eastAsia="en-CA"/>
            </w:rPr>
          </w:pPr>
          <w:r>
            <w:rPr>
              <w:lang w:val="en-CA" w:eastAsia="en-CA"/>
            </w:rPr>
            <w:t>5.1.Construction Requirements………………………………………………………………………..</w:t>
          </w:r>
          <w:hyperlink w:anchor="__RefHeading___Toc453662987">
            <w:r>
              <w:rPr>
                <w:rStyle w:val="IndexLink"/>
                <w:lang w:val="en-CA" w:eastAsia="en-CA"/>
              </w:rPr>
              <w:t>9</w:t>
            </w:r>
          </w:hyperlink>
        </w:p>
        <w:p>
          <w:pPr>
            <w:pStyle w:val="Normal"/>
            <w:jc w:val="both"/>
            <w:rPr>
              <w:lang w:val="en-CA" w:eastAsia="en-CA"/>
            </w:rPr>
          </w:pPr>
          <w:r>
            <w:rPr>
              <w:lang w:val="en-CA" w:eastAsia="en-CA"/>
            </w:rPr>
            <w:t>5.1.1.Bushings……………………………………………………………………………………………</w:t>
          </w:r>
          <w:hyperlink w:anchor="__RefHeading___Toc453662988">
            <w:r>
              <w:rPr>
                <w:rStyle w:val="IndexLink"/>
                <w:lang w:val="en-CA" w:eastAsia="en-CA"/>
              </w:rPr>
              <w:t>9</w:t>
            </w:r>
          </w:hyperlink>
        </w:p>
        <w:p>
          <w:pPr>
            <w:pStyle w:val="Normal"/>
            <w:jc w:val="both"/>
            <w:rPr>
              <w:lang w:val="en-CA" w:eastAsia="en-CA"/>
            </w:rPr>
          </w:pPr>
          <w:r>
            <w:rPr>
              <w:lang w:val="en-CA" w:eastAsia="en-CA"/>
            </w:rPr>
            <w:t>5.1.2.Transformer Accessories……………………………………..……………………………..</w:t>
          </w:r>
          <w:hyperlink w:anchor="__RefHeading___Toc453662989">
            <w:r>
              <w:rPr>
                <w:rStyle w:val="IndexLink"/>
                <w:lang w:val="en-CA" w:eastAsia="en-CA"/>
              </w:rPr>
              <w:t>9</w:t>
            </w:r>
          </w:hyperlink>
        </w:p>
        <w:p>
          <w:pPr>
            <w:pStyle w:val="Normal"/>
            <w:jc w:val="both"/>
            <w:rPr>
              <w:lang w:val="en-CA" w:eastAsia="en-CA"/>
            </w:rPr>
          </w:pPr>
          <w:r>
            <w:rPr>
              <w:lang w:val="en-CA" w:eastAsia="en-CA"/>
            </w:rPr>
            <w:t>5.2.Cooling………………………………………………………………………………………………..</w:t>
          </w:r>
          <w:hyperlink w:anchor="__RefHeading___Toc453662990">
            <w:r>
              <w:rPr>
                <w:rStyle w:val="IndexLink"/>
                <w:lang w:val="en-CA" w:eastAsia="en-CA"/>
              </w:rPr>
              <w:t>11</w:t>
            </w:r>
          </w:hyperlink>
        </w:p>
        <w:p>
          <w:pPr>
            <w:pStyle w:val="Normal"/>
            <w:jc w:val="both"/>
            <w:rPr>
              <w:lang w:val="en-CA" w:eastAsia="en-CA"/>
            </w:rPr>
          </w:pPr>
          <w:r>
            <w:rPr>
              <w:rFonts w:cs="CG Times (W1);Times New Roman" w:ascii="CG Times (W1);Times New Roman" w:hAnsi="CG Times (W1);Times New Roman"/>
              <w:lang w:val="en-CA" w:eastAsia="en-CA"/>
            </w:rPr>
            <w:t>5.3.Auxiliary Cooling</w:t>
          </w:r>
          <w:r>
            <w:rPr>
              <w:lang w:val="en-CA" w:eastAsia="en-CA"/>
            </w:rPr>
            <w:t>……………………………………………………………………………………..</w:t>
          </w:r>
          <w:hyperlink w:anchor="__RefHeading___Toc453662991">
            <w:r>
              <w:rPr>
                <w:rStyle w:val="IndexLink"/>
                <w:lang w:val="en-CA" w:eastAsia="en-CA"/>
              </w:rPr>
              <w:t>11</w:t>
            </w:r>
          </w:hyperlink>
        </w:p>
        <w:p>
          <w:pPr>
            <w:pStyle w:val="Normal"/>
            <w:jc w:val="both"/>
            <w:rPr>
              <w:lang w:val="en-CA" w:eastAsia="en-CA"/>
            </w:rPr>
          </w:pPr>
          <w:r>
            <w:rPr>
              <w:lang w:val="en-CA" w:eastAsia="en-CA"/>
            </w:rPr>
            <w:t>5.4.Tap Changer…………………………………………………………………………………………</w:t>
          </w:r>
          <w:hyperlink w:anchor="__RefHeading___Toc453662992">
            <w:r>
              <w:rPr>
                <w:rStyle w:val="IndexLink"/>
                <w:lang w:val="en-CA" w:eastAsia="en-CA"/>
              </w:rPr>
              <w:t>12</w:t>
            </w:r>
          </w:hyperlink>
        </w:p>
        <w:p>
          <w:pPr>
            <w:pStyle w:val="Normal"/>
            <w:jc w:val="both"/>
            <w:rPr>
              <w:lang w:val="en-CA" w:eastAsia="en-CA"/>
            </w:rPr>
          </w:pPr>
          <w:r>
            <w:rPr>
              <w:lang w:val="en-CA" w:eastAsia="en-CA"/>
            </w:rPr>
            <w:t>5.5.Low Voltage Termination………………………………………………………………………….</w:t>
          </w:r>
          <w:hyperlink w:anchor="__RefHeading___Toc453662993">
            <w:r>
              <w:rPr>
                <w:rStyle w:val="IndexLink"/>
                <w:lang w:val="en-CA" w:eastAsia="en-CA"/>
              </w:rPr>
              <w:t>12</w:t>
            </w:r>
          </w:hyperlink>
        </w:p>
        <w:p>
          <w:pPr>
            <w:pStyle w:val="Normal"/>
            <w:jc w:val="both"/>
            <w:rPr>
              <w:lang w:val="en-CA" w:eastAsia="en-CA"/>
            </w:rPr>
          </w:pPr>
          <w:r>
            <w:rPr>
              <w:lang w:val="en-CA" w:eastAsia="en-CA"/>
            </w:rPr>
            <w:t>5.6.Annunciation…………………………………………………………………………………………</w:t>
          </w:r>
          <w:hyperlink w:anchor="__RefHeading___Toc453662994">
            <w:r>
              <w:rPr>
                <w:rStyle w:val="IndexLink"/>
                <w:lang w:val="en-CA" w:eastAsia="en-CA"/>
              </w:rPr>
              <w:t>13</w:t>
            </w:r>
          </w:hyperlink>
        </w:p>
        <w:p>
          <w:pPr>
            <w:pStyle w:val="Normal"/>
            <w:jc w:val="both"/>
            <w:rPr>
              <w:lang w:val="en-CA" w:eastAsia="en-CA"/>
            </w:rPr>
          </w:pPr>
          <w:r>
            <w:rPr>
              <w:lang w:val="en-CA" w:eastAsia="en-CA"/>
            </w:rPr>
            <w:t>5.7.General………………………………………………………………………………………………..</w:t>
          </w:r>
          <w:hyperlink w:anchor="__RefHeading___Toc453662995">
            <w:r>
              <w:rPr>
                <w:rStyle w:val="IndexLink"/>
                <w:lang w:val="en-CA" w:eastAsia="en-CA"/>
              </w:rPr>
              <w:t>13</w:t>
            </w:r>
          </w:hyperlink>
        </w:p>
        <w:p>
          <w:pPr>
            <w:pStyle w:val="Normal"/>
            <w:jc w:val="both"/>
            <w:rPr>
              <w:lang w:val="en-CA" w:eastAsia="en-CA"/>
            </w:rPr>
          </w:pPr>
          <w:r>
            <w:rPr>
              <w:lang w:val="en-CA" w:eastAsia="en-CA"/>
            </w:rPr>
            <w:t>5.8.Tanks………………………………………………………………………………………………….</w:t>
          </w:r>
          <w:hyperlink w:anchor="__RefHeading___Toc453662996">
            <w:r>
              <w:rPr>
                <w:rStyle w:val="IndexLink"/>
                <w:lang w:val="en-CA" w:eastAsia="en-CA"/>
              </w:rPr>
              <w:t>13</w:t>
            </w:r>
          </w:hyperlink>
        </w:p>
        <w:p>
          <w:pPr>
            <w:pStyle w:val="Normal"/>
            <w:jc w:val="both"/>
            <w:rPr>
              <w:lang w:val="en-CA" w:eastAsia="en-CA"/>
            </w:rPr>
          </w:pPr>
          <w:r>
            <w:rPr>
              <w:lang w:val="en-CA" w:eastAsia="en-CA"/>
            </w:rPr>
            <w:t>5.9.Provisions for Handling and Field Erection………………………………………………………</w:t>
          </w:r>
          <w:hyperlink w:anchor="__RefHeading___Toc453662997">
            <w:r>
              <w:rPr>
                <w:rStyle w:val="IndexLink"/>
                <w:lang w:val="en-CA" w:eastAsia="en-CA"/>
              </w:rPr>
              <w:t>14</w:t>
            </w:r>
          </w:hyperlink>
        </w:p>
        <w:p>
          <w:pPr>
            <w:pStyle w:val="Normal"/>
            <w:jc w:val="both"/>
            <w:rPr>
              <w:lang w:val="en-CA" w:eastAsia="en-CA"/>
            </w:rPr>
          </w:pPr>
          <w:r>
            <w:rPr>
              <w:lang w:val="en-CA" w:eastAsia="en-CA"/>
            </w:rPr>
            <w:t>5.10.Finish……………………………………………………………………………………………..</w:t>
          </w:r>
          <w:hyperlink w:anchor="__RefHeading___Toc453662998">
            <w:r>
              <w:rPr>
                <w:rStyle w:val="IndexLink"/>
                <w:lang w:val="en-CA" w:eastAsia="en-CA"/>
              </w:rPr>
              <w:t>14</w:t>
            </w:r>
          </w:hyperlink>
        </w:p>
        <w:p>
          <w:pPr>
            <w:pStyle w:val="Normal"/>
            <w:jc w:val="both"/>
            <w:rPr>
              <w:lang w:val="en-CA" w:eastAsia="en-CA"/>
            </w:rPr>
          </w:pPr>
          <w:r>
            <w:rPr>
              <w:lang w:val="en-CA" w:eastAsia="en-CA"/>
            </w:rPr>
            <w:t>5.11.Transformer Identification…………………………………………………………………….</w:t>
          </w:r>
          <w:hyperlink w:anchor="__RefHeading___Toc453662999">
            <w:r>
              <w:rPr>
                <w:rStyle w:val="IndexLink"/>
                <w:lang w:val="en-CA" w:eastAsia="en-CA"/>
              </w:rPr>
              <w:t>15</w:t>
            </w:r>
          </w:hyperlink>
        </w:p>
        <w:p>
          <w:pPr>
            <w:pStyle w:val="Normal"/>
            <w:jc w:val="both"/>
            <w:rPr>
              <w:lang w:val="en-CA" w:eastAsia="en-CA"/>
            </w:rPr>
          </w:pPr>
          <w:r>
            <w:rPr>
              <w:lang w:val="en-CA" w:eastAsia="en-CA"/>
            </w:rPr>
            <w:t>5.12.Oil Preservation System………………………………………………………………………….</w:t>
          </w:r>
          <w:hyperlink w:anchor="__RefHeading___Toc453663000">
            <w:r>
              <w:rPr>
                <w:rStyle w:val="IndexLink"/>
                <w:lang w:val="en-CA" w:eastAsia="en-CA"/>
              </w:rPr>
              <w:t>15</w:t>
            </w:r>
          </w:hyperlink>
        </w:p>
        <w:p>
          <w:pPr>
            <w:pStyle w:val="Normal"/>
            <w:jc w:val="both"/>
            <w:rPr>
              <w:lang w:val="en-CA" w:eastAsia="en-CA"/>
            </w:rPr>
          </w:pPr>
          <w:r>
            <w:rPr>
              <w:lang w:val="en-CA" w:eastAsia="en-CA"/>
            </w:rPr>
            <w:t>5.13.Surge Arresters………………………………………………………………………………….</w:t>
          </w:r>
          <w:hyperlink w:anchor="__RefHeading___Toc453663001">
            <w:r>
              <w:rPr>
                <w:rStyle w:val="IndexLink"/>
                <w:lang w:val="en-CA" w:eastAsia="en-CA"/>
              </w:rPr>
              <w:t>15</w:t>
            </w:r>
          </w:hyperlink>
        </w:p>
        <w:p>
          <w:pPr>
            <w:pStyle w:val="Normal"/>
            <w:jc w:val="both"/>
            <w:rPr>
              <w:lang w:val="en-CA" w:eastAsia="en-CA"/>
            </w:rPr>
          </w:pPr>
          <w:r>
            <w:rPr>
              <w:lang w:val="en-CA" w:eastAsia="en-CA"/>
            </w:rPr>
            <w:t>6.DOCUMENTATION…………………………………………………………………………………..</w:t>
          </w:r>
          <w:hyperlink w:anchor="__RefHeading___Toc453663002">
            <w:r>
              <w:rPr>
                <w:rStyle w:val="IndexLink"/>
                <w:lang w:val="en-CA" w:eastAsia="en-CA"/>
              </w:rPr>
              <w:t>15</w:t>
            </w:r>
          </w:hyperlink>
        </w:p>
        <w:p>
          <w:pPr>
            <w:pStyle w:val="Normal"/>
            <w:jc w:val="both"/>
            <w:rPr>
              <w:lang w:val="en-CA" w:eastAsia="en-CA"/>
            </w:rPr>
          </w:pPr>
          <w:r>
            <w:rPr>
              <w:lang w:val="en-CA" w:eastAsia="en-CA"/>
            </w:rPr>
            <w:t>6.1.Drawing Requirements………………………………………………………………………………</w:t>
          </w:r>
          <w:hyperlink w:anchor="__RefHeading___Toc453663003">
            <w:r>
              <w:rPr>
                <w:rStyle w:val="IndexLink"/>
                <w:lang w:val="en-CA" w:eastAsia="en-CA"/>
              </w:rPr>
              <w:t>15</w:t>
            </w:r>
          </w:hyperlink>
        </w:p>
        <w:p>
          <w:pPr>
            <w:pStyle w:val="Normal"/>
            <w:jc w:val="both"/>
            <w:rPr>
              <w:lang w:val="en-CA" w:eastAsia="en-CA"/>
            </w:rPr>
          </w:pPr>
          <w:r>
            <w:rPr>
              <w:lang w:val="en-CA" w:eastAsia="en-CA"/>
            </w:rPr>
            <w:t>6.2.Spare Parts List…………………………………………………………………………………….</w:t>
          </w:r>
          <w:hyperlink w:anchor="__RefHeading___Toc453663004">
            <w:r>
              <w:rPr>
                <w:rStyle w:val="IndexLink"/>
                <w:lang w:val="en-CA" w:eastAsia="en-CA"/>
              </w:rPr>
              <w:t>17</w:t>
            </w:r>
          </w:hyperlink>
        </w:p>
        <w:p>
          <w:pPr>
            <w:pStyle w:val="Normal"/>
            <w:jc w:val="both"/>
            <w:rPr>
              <w:lang w:val="en-CA" w:eastAsia="en-CA"/>
            </w:rPr>
          </w:pPr>
          <w:r>
            <w:rPr>
              <w:lang w:val="en-CA" w:eastAsia="en-CA"/>
            </w:rPr>
            <w:t>6.3.Installation, Operating and Maintenance Instructions………………………………………..</w:t>
          </w:r>
          <w:hyperlink w:anchor="__RefHeading___Toc453663005">
            <w:r>
              <w:rPr>
                <w:rStyle w:val="IndexLink"/>
                <w:lang w:val="en-CA" w:eastAsia="en-CA"/>
              </w:rPr>
              <w:t>17</w:t>
            </w:r>
          </w:hyperlink>
        </w:p>
        <w:p>
          <w:pPr>
            <w:pStyle w:val="Normal"/>
            <w:jc w:val="both"/>
            <w:rPr>
              <w:lang w:val="en-CA" w:eastAsia="en-CA"/>
            </w:rPr>
          </w:pPr>
          <w:r>
            <w:rPr>
              <w:lang w:val="en-CA" w:eastAsia="en-CA"/>
            </w:rPr>
            <w:t>7.TESTING AND INSPECTION……….……………………………………………………………</w:t>
          </w:r>
          <w:hyperlink w:anchor="__RefHeading___Toc453663006">
            <w:r>
              <w:rPr>
                <w:rStyle w:val="IndexLink"/>
                <w:lang w:val="en-CA" w:eastAsia="en-CA"/>
              </w:rPr>
              <w:t>17</w:t>
            </w:r>
          </w:hyperlink>
        </w:p>
        <w:p>
          <w:pPr>
            <w:pStyle w:val="Normal"/>
            <w:jc w:val="both"/>
            <w:rPr>
              <w:lang w:val="en-CA" w:eastAsia="en-CA"/>
            </w:rPr>
          </w:pPr>
          <w:r>
            <w:rPr>
              <w:lang w:val="en-CA" w:eastAsia="en-CA"/>
            </w:rPr>
            <w:t>7.1.Transformer Tests………………………………………………………………………………….</w:t>
          </w:r>
          <w:hyperlink w:anchor="__RefHeading___Toc453663007">
            <w:r>
              <w:rPr>
                <w:rStyle w:val="IndexLink"/>
                <w:lang w:val="en-CA" w:eastAsia="en-CA"/>
              </w:rPr>
              <w:t>17</w:t>
            </w:r>
          </w:hyperlink>
        </w:p>
        <w:p>
          <w:pPr>
            <w:pStyle w:val="Normal"/>
            <w:jc w:val="both"/>
            <w:rPr>
              <w:lang w:val="en-CA" w:eastAsia="en-CA"/>
            </w:rPr>
          </w:pPr>
          <w:r>
            <w:rPr>
              <w:lang w:val="en-CA" w:eastAsia="en-CA"/>
            </w:rPr>
            <w:t>7.2.Temperature Tests…………………………………………………………………………………</w:t>
          </w:r>
          <w:hyperlink w:anchor="__RefHeading___Toc453663008">
            <w:r>
              <w:rPr>
                <w:rStyle w:val="IndexLink"/>
                <w:lang w:val="en-CA" w:eastAsia="en-CA"/>
              </w:rPr>
              <w:t>18</w:t>
            </w:r>
          </w:hyperlink>
        </w:p>
        <w:p>
          <w:pPr>
            <w:pStyle w:val="Normal"/>
            <w:jc w:val="both"/>
            <w:rPr>
              <w:lang w:val="en-CA" w:eastAsia="en-CA"/>
            </w:rPr>
          </w:pPr>
          <w:r>
            <w:rPr>
              <w:lang w:val="en-CA" w:eastAsia="en-CA"/>
            </w:rPr>
            <w:t>7.3.Loss Evaluation……………………………………………………………………………………..</w:t>
          </w:r>
          <w:hyperlink w:anchor="__RefHeading___Toc453663009">
            <w:r>
              <w:rPr>
                <w:rStyle w:val="IndexLink"/>
                <w:lang w:val="en-CA" w:eastAsia="en-CA"/>
              </w:rPr>
              <w:t>18</w:t>
            </w:r>
          </w:hyperlink>
        </w:p>
        <w:p>
          <w:pPr>
            <w:pStyle w:val="Normal"/>
            <w:jc w:val="both"/>
            <w:rPr>
              <w:lang w:val="en-CA" w:eastAsia="en-CA"/>
            </w:rPr>
          </w:pPr>
          <w:r>
            <w:rPr>
              <w:lang w:val="en-CA" w:eastAsia="en-CA"/>
            </w:rPr>
            <w:t>7.4.Inspection……………………………………………………………………………………………</w:t>
          </w:r>
          <w:hyperlink w:anchor="__RefHeading___Toc453663010">
            <w:r>
              <w:rPr>
                <w:rStyle w:val="IndexLink"/>
                <w:lang w:val="en-CA" w:eastAsia="en-CA"/>
              </w:rPr>
              <w:t>18</w:t>
            </w:r>
          </w:hyperlink>
        </w:p>
        <w:p>
          <w:pPr>
            <w:pStyle w:val="Normal"/>
            <w:jc w:val="both"/>
            <w:rPr>
              <w:lang w:val="en-CA" w:eastAsia="en-CA"/>
            </w:rPr>
          </w:pPr>
          <w:r>
            <w:rPr>
              <w:lang w:val="en-CA" w:eastAsia="en-CA"/>
            </w:rPr>
            <w:t>7.5.Notification………………………………………………………………………………………….</w:t>
          </w:r>
          <w:hyperlink w:anchor="__RefHeading___Toc453663011">
            <w:r>
              <w:rPr>
                <w:rStyle w:val="IndexLink"/>
                <w:lang w:val="en-CA" w:eastAsia="en-CA"/>
              </w:rPr>
              <w:t>18</w:t>
            </w:r>
          </w:hyperlink>
        </w:p>
        <w:p>
          <w:pPr>
            <w:pStyle w:val="Normal"/>
            <w:jc w:val="both"/>
            <w:rPr>
              <w:lang w:val="en-CA" w:eastAsia="en-CA"/>
            </w:rPr>
          </w:pPr>
          <w:r>
            <w:rPr>
              <w:lang w:val="en-CA" w:eastAsia="en-CA"/>
            </w:rPr>
            <w:t>8.SHIPPING AND HANDLING…………………………………………………………………………</w:t>
          </w:r>
          <w:hyperlink w:anchor="__RefHeading___Toc453663012">
            <w:r>
              <w:rPr>
                <w:rStyle w:val="IndexLink"/>
                <w:lang w:val="en-CA" w:eastAsia="en-CA"/>
              </w:rPr>
              <w:t>19</w:t>
            </w:r>
          </w:hyperlink>
        </w:p>
        <w:p>
          <w:pPr>
            <w:pStyle w:val="Normal"/>
            <w:jc w:val="both"/>
            <w:rPr>
              <w:lang w:val="en-CA" w:eastAsia="en-CA"/>
            </w:rPr>
          </w:pPr>
          <w:r>
            <w:rPr>
              <w:lang w:val="en-CA" w:eastAsia="en-CA"/>
            </w:rPr>
            <w:t xml:space="preserve">9.purchaser data sheets - 1) 138 kv, 80 MVA    2) 138 kv, 64 MVA    3) 115/230 kv, 64 mva </w:t>
          </w:r>
        </w:p>
        <w:p>
          <w:pPr>
            <w:pStyle w:val="Normal"/>
            <w:jc w:val="both"/>
            <w:rPr>
              <w:lang w:val="en-CA" w:eastAsia="en-CA"/>
            </w:rPr>
          </w:pPr>
          <w:r>
            <w:rPr>
              <w:lang w:val="en-CA" w:eastAsia="en-CA"/>
            </w:rPr>
            <w:t>10.SELLER DATA SHEETS - 1) 138 kv, 80 MVA    2) 138 kv, 64 MVA    3) 115/230 kv, 64 mva</w:t>
          </w:r>
          <w:r>
            <w:rPr>
              <w:lang w:val="en-CA" w:eastAsia="en-CA"/>
            </w:rPr>
            <w:fldChar w:fldCharType="end"/>
          </w:r>
        </w:p>
      </w:sdtContent>
    </w:sdt>
    <w:p>
      <w:pPr>
        <w:pStyle w:val="Normal"/>
        <w:jc w:val="both"/>
        <w:rPr>
          <w:rFonts w:ascii="CG Times (W1);Times New Roman" w:hAnsi="CG Times (W1);Times New Roman" w:cs="CG Times (W1);Times New Roman"/>
          <w:b/>
          <w:spacing w:val="-3"/>
          <w:sz w:val="20"/>
          <w:lang w:val="en-CA" w:eastAsia="en-CA"/>
        </w:rPr>
      </w:pPr>
      <w:r>
        <w:rPr>
          <w:rFonts w:cs="CG Times (W1);Times New Roman" w:ascii="CG Times (W1);Times New Roman" w:hAnsi="CG Times (W1);Times New Roman"/>
          <w:b/>
          <w:spacing w:val="-3"/>
          <w:sz w:val="20"/>
          <w:lang w:val="en-CA" w:eastAsia="en-CA"/>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p>
    <w:p>
      <w:pPr>
        <w:pStyle w:val="Normal"/>
        <w:rPr/>
      </w:pPr>
      <w:bookmarkStart w:id="6" w:name="__RefHeading___Toc453662982"/>
      <w:bookmarkEnd w:id="6"/>
      <w:r>
        <w:rPr/>
        <w:t>1.</w:t>
        <w:tab/>
        <w:t>SCOPE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Normal"/>
        <w:rPr/>
      </w:pPr>
      <w:bookmarkStart w:id="7" w:name="__RefHeading___Toc453662983"/>
      <w:r>
        <w:rPr/>
        <w:t>2.</w:t>
        <w:tab/>
        <w:t xml:space="preserve">EQUIPMENT AND SERVICES BY </w:t>
      </w:r>
      <w:bookmarkEnd w:id="7"/>
      <w:r>
        <w:rPr/>
        <w:t>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Seller shall supply the following equipment and services:</w:t>
      </w:r>
    </w:p>
    <w:p>
      <w:pPr>
        <w:pStyle w:val="Level1text"/>
        <w:rPr/>
      </w:pPr>
      <w:r>
        <w:rPr/>
      </w:r>
    </w:p>
    <w:p>
      <w:pPr>
        <w:pStyle w:val="Level1text"/>
        <w:numPr>
          <w:ilvl w:val="0"/>
          <w:numId w:val="22"/>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22"/>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22"/>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22"/>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22"/>
        </w:numPr>
        <w:rPr/>
      </w:pPr>
      <w:r>
        <w:rPr/>
        <w:t>Shipment and delivery as described in section 8.0 of this specification and the purchase order.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bookmarkStart w:id="8" w:name="__RefHeading___Toc453662984"/>
      <w:bookmarkEnd w:id="8"/>
      <w:r>
        <w:rPr/>
        <w:t>3.</w:t>
        <w:tab/>
        <w:t>EQUIPMENT AND SERVICES BY PURCHASER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20"/>
        </w:numPr>
        <w:rPr/>
      </w:pPr>
      <w:r>
        <w:rPr/>
        <w:t>Foundation(s) for supporting the equipment, including provisions for oil containment and drainage.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bookmarkStart w:id="9" w:name="__RefHeading___Toc453662985"/>
      <w:bookmarkEnd w:id="9"/>
      <w:r>
        <w:rPr/>
        <w:t>4.</w:t>
        <w:tab/>
        <w:t>CODES, STANDARDS AND SPECIFICATIONS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ind w:hanging="1440" w:start="1440" w:end="0"/>
        <w:jc w:val="both"/>
        <w:rPr>
          <w:rFonts w:ascii="Univers (W1);Arial" w:hAnsi="Univers (W1);Arial" w:cs="Univers (W1);Arial"/>
          <w:sz w:val="22"/>
        </w:rPr>
      </w:pPr>
      <w:r>
        <w:rPr>
          <w:rFonts w:cs="Univers (W1);Arial" w:ascii="Univers (W1);Arial" w:hAnsi="Univers (W1);Arial"/>
          <w:sz w:val="22"/>
        </w:rPr>
      </w:r>
    </w:p>
    <w:p>
      <w:pPr>
        <w:pStyle w:val="Normal"/>
        <w:rPr/>
      </w:pPr>
      <w:bookmarkStart w:id="10" w:name="__RefHeading___Toc453662986"/>
      <w:bookmarkEnd w:id="10"/>
      <w:r>
        <w:rPr/>
        <w:t>5.</w:t>
        <w:tab/>
        <w:t>DESIGN CRITERIA</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bookmarkStart w:id="11" w:name="__RefHeading___Toc453662987"/>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tabs>
          <w:tab w:val="clear" w:pos="1080"/>
          <w:tab w:val="left" w:pos="360" w:leader="none"/>
        </w:tabs>
        <w:ind w:hanging="0" w:start="0"/>
        <w:rPr/>
      </w:pPr>
      <w:r>
        <w:rPr/>
      </w:r>
    </w:p>
    <w:p>
      <w:pPr>
        <w:pStyle w:val="Normal"/>
        <w:rPr/>
      </w:pPr>
      <w:bookmarkStart w:id="12" w:name="__RefHeading___Toc453662987"/>
      <w:r>
        <w:rPr/>
        <w:t>5.1.</w:t>
        <w:tab/>
        <w:t>Construction Requirements</w:t>
      </w:r>
      <w:bookmarkEnd w:id="12"/>
    </w:p>
    <w:p>
      <w:pPr>
        <w:pStyle w:val="Level2text"/>
        <w:rPr/>
      </w:pPr>
      <w:r>
        <w:rPr/>
      </w:r>
    </w:p>
    <w:p>
      <w:pPr>
        <w:pStyle w:val="Level2text"/>
        <w:rPr/>
      </w:pPr>
      <w:r>
        <w:rPr/>
        <w:t>Construction requirements are as detailed below and in the attached Purchaser Data Sheets:</w:t>
      </w:r>
    </w:p>
    <w:p>
      <w:pPr>
        <w:pStyle w:val="Normal"/>
        <w:rPr/>
      </w:pPr>
      <w:bookmarkStart w:id="13" w:name="__RefHeading___Toc453662988"/>
      <w:bookmarkEnd w:id="13"/>
      <w:r>
        <w:rPr/>
        <w:t>5.1.1.</w:t>
        <w:tab/>
        <w:t>Bushings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Normal"/>
        <w:rPr/>
      </w:pPr>
      <w:bookmarkStart w:id="14" w:name="__RefHeading___Toc453662989"/>
      <w:bookmarkEnd w:id="14"/>
      <w:r>
        <w:rPr/>
        <w:t>5.1.2.</w:t>
        <w:tab/>
        <w:t>Transformer Accessories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ind w:start="1440" w:end="0"/>
        <w:rPr>
          <w:rFonts w:ascii="Univers (W1);Arial" w:hAnsi="Univers (W1);Arial" w:cs="Univers (W1);Arial"/>
          <w:sz w:val="22"/>
        </w:rPr>
      </w:pPr>
      <w:r>
        <w:rPr>
          <w:rFonts w:cs="Univers (W1);Arial" w:ascii="Univers (W1);Arial" w:hAnsi="Univers (W1);Arial"/>
          <w:sz w:val="22"/>
        </w:rPr>
      </w:r>
    </w:p>
    <w:p>
      <w:pPr>
        <w:pStyle w:val="Level3text"/>
        <w:numPr>
          <w:ilvl w:val="0"/>
          <w:numId w:val="16"/>
        </w:numPr>
        <w:ind w:hanging="0" w:start="1440" w:end="0"/>
        <w:rPr/>
      </w:pPr>
      <w:r>
        <w:rPr/>
        <w:t>A magnetic liquid level indicator.</w:t>
      </w:r>
    </w:p>
    <w:p>
      <w:pPr>
        <w:pStyle w:val="Level3text"/>
        <w:numPr>
          <w:ilvl w:val="0"/>
          <w:numId w:val="0"/>
        </w:numPr>
        <w:ind w:hanging="0" w:start="1440" w:end="0"/>
        <w:rPr/>
      </w:pPr>
      <w:r>
        <w:rPr/>
      </w:r>
    </w:p>
    <w:p>
      <w:pPr>
        <w:pStyle w:val="Level3text"/>
        <w:numPr>
          <w:ilvl w:val="0"/>
          <w:numId w:val="16"/>
        </w:numPr>
        <w:ind w:hanging="0" w:start="1440" w:end="0"/>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0" w:start="1440" w:end="0"/>
        <w:rPr/>
      </w:pPr>
      <w:r>
        <w:rPr/>
      </w:r>
    </w:p>
    <w:p>
      <w:pPr>
        <w:pStyle w:val="Level3text"/>
        <w:numPr>
          <w:ilvl w:val="0"/>
          <w:numId w:val="16"/>
        </w:numPr>
        <w:ind w:hanging="0" w:start="1440" w:end="0"/>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0" w:start="1440" w:end="0"/>
        <w:rPr/>
      </w:pPr>
      <w:r>
        <w:rPr/>
      </w:r>
    </w:p>
    <w:p>
      <w:pPr>
        <w:pStyle w:val="Level3text"/>
        <w:numPr>
          <w:ilvl w:val="0"/>
          <w:numId w:val="16"/>
        </w:numPr>
        <w:ind w:hanging="0" w:start="1440" w:end="0"/>
        <w:rPr/>
      </w:pPr>
      <w:r>
        <w:rPr/>
        <w:t>A pressure/vacuum gauge and a pressure/vacuum bleeder with sampling valve, mounted on the transformer tank and piped to the gas space above the liquid.</w:t>
      </w:r>
    </w:p>
    <w:p>
      <w:pPr>
        <w:pStyle w:val="Level3text"/>
        <w:numPr>
          <w:ilvl w:val="0"/>
          <w:numId w:val="0"/>
        </w:numPr>
        <w:ind w:hanging="0" w:start="1440" w:end="0"/>
        <w:rPr/>
      </w:pPr>
      <w:r>
        <w:rPr/>
      </w:r>
    </w:p>
    <w:p>
      <w:pPr>
        <w:pStyle w:val="Level3text"/>
        <w:numPr>
          <w:ilvl w:val="0"/>
          <w:numId w:val="16"/>
        </w:numPr>
        <w:ind w:hanging="0" w:start="1440" w:end="0"/>
        <w:rPr/>
      </w:pPr>
      <w:r>
        <w:rPr/>
        <w:t>Ball valve to serve as a drain valve, bottom filler pressure connection, and liquid sampling valve.</w:t>
      </w:r>
    </w:p>
    <w:p>
      <w:pPr>
        <w:pStyle w:val="Level3text"/>
        <w:numPr>
          <w:ilvl w:val="0"/>
          <w:numId w:val="0"/>
        </w:numPr>
        <w:ind w:hanging="0" w:start="1440" w:end="0"/>
        <w:rPr/>
      </w:pPr>
      <w:r>
        <w:rPr/>
      </w:r>
    </w:p>
    <w:p>
      <w:pPr>
        <w:pStyle w:val="Level3text"/>
        <w:numPr>
          <w:ilvl w:val="0"/>
          <w:numId w:val="16"/>
        </w:numPr>
        <w:ind w:hanging="0" w:start="1440" w:end="0"/>
        <w:rPr/>
      </w:pPr>
      <w:r>
        <w:rPr/>
        <w:t>Ball valve to serve as the top filter pressure connection and vacuum pump connection.</w:t>
      </w:r>
    </w:p>
    <w:p>
      <w:pPr>
        <w:pStyle w:val="Level3text"/>
        <w:numPr>
          <w:ilvl w:val="0"/>
          <w:numId w:val="0"/>
        </w:numPr>
        <w:ind w:hanging="0" w:start="1440" w:end="0"/>
        <w:rPr/>
      </w:pPr>
      <w:r>
        <w:rPr/>
      </w:r>
    </w:p>
    <w:p>
      <w:pPr>
        <w:pStyle w:val="Level3text"/>
        <w:numPr>
          <w:ilvl w:val="0"/>
          <w:numId w:val="16"/>
        </w:numPr>
        <w:ind w:hanging="0" w:start="1440" w:end="0"/>
        <w:rPr/>
      </w:pPr>
      <w:r>
        <w:rPr/>
        <w:t>Radiator valves, when detachable radiators are supplied.</w:t>
      </w:r>
    </w:p>
    <w:p>
      <w:pPr>
        <w:pStyle w:val="Level3text"/>
        <w:numPr>
          <w:ilvl w:val="0"/>
          <w:numId w:val="0"/>
        </w:numPr>
        <w:ind w:hanging="0" w:start="1440" w:end="0"/>
        <w:rPr/>
      </w:pPr>
      <w:r>
        <w:rPr/>
      </w:r>
    </w:p>
    <w:p>
      <w:pPr>
        <w:pStyle w:val="Level3text"/>
        <w:numPr>
          <w:ilvl w:val="0"/>
          <w:numId w:val="16"/>
        </w:numPr>
        <w:ind w:hanging="0" w:start="1440" w:end="0"/>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0" w:start="1440" w:end="0"/>
        <w:rPr/>
      </w:pPr>
      <w:r>
        <w:rPr/>
      </w:r>
    </w:p>
    <w:p>
      <w:pPr>
        <w:pStyle w:val="Level3text"/>
        <w:numPr>
          <w:ilvl w:val="0"/>
          <w:numId w:val="16"/>
        </w:numPr>
        <w:ind w:hanging="0" w:start="1440" w:end="0"/>
        <w:rPr/>
      </w:pPr>
      <w:r>
        <w:rPr/>
        <w:t>Ball valve to serve as sudden fault, pressure relay connection when sudden pressure relay is specified.</w:t>
      </w:r>
    </w:p>
    <w:p>
      <w:pPr>
        <w:pStyle w:val="Level3text"/>
        <w:numPr>
          <w:ilvl w:val="0"/>
          <w:numId w:val="0"/>
        </w:numPr>
        <w:ind w:hanging="0" w:start="1440" w:end="0"/>
        <w:rPr/>
      </w:pPr>
      <w:r>
        <w:rPr/>
      </w:r>
    </w:p>
    <w:p>
      <w:pPr>
        <w:pStyle w:val="Level3text"/>
        <w:numPr>
          <w:ilvl w:val="0"/>
          <w:numId w:val="16"/>
        </w:numPr>
        <w:ind w:hanging="0" w:start="1440" w:end="0"/>
        <w:rPr/>
      </w:pPr>
      <w:r>
        <w:rPr/>
        <w:t>Brackets for high voltage surge arresters.  Arresters rated above 300 kV shall be separately mounted and supports are by others.</w:t>
      </w:r>
    </w:p>
    <w:p>
      <w:pPr>
        <w:pStyle w:val="Level3text"/>
        <w:numPr>
          <w:ilvl w:val="0"/>
          <w:numId w:val="0"/>
        </w:numPr>
        <w:ind w:hanging="0" w:start="1440" w:end="0"/>
        <w:rPr/>
      </w:pPr>
      <w:r>
        <w:rPr/>
      </w:r>
    </w:p>
    <w:p>
      <w:pPr>
        <w:pStyle w:val="Level3text"/>
        <w:numPr>
          <w:ilvl w:val="0"/>
          <w:numId w:val="16"/>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4text"/>
        <w:numPr>
          <w:ilvl w:val="0"/>
          <w:numId w:val="17"/>
        </w:numPr>
        <w:ind w:hanging="0" w:start="2160" w:end="0"/>
        <w:rPr/>
      </w:pPr>
      <w:r>
        <w:rPr/>
        <w:t>Graphic representation of the connections of the high voltage and low voltage windings.</w:t>
      </w:r>
    </w:p>
    <w:p>
      <w:pPr>
        <w:pStyle w:val="Level4text"/>
        <w:numPr>
          <w:ilvl w:val="0"/>
          <w:numId w:val="0"/>
        </w:numPr>
        <w:ind w:hanging="0" w:start="2160" w:end="0"/>
        <w:rPr/>
      </w:pPr>
      <w:r>
        <w:rPr/>
      </w:r>
    </w:p>
    <w:p>
      <w:pPr>
        <w:pStyle w:val="Level4text"/>
        <w:numPr>
          <w:ilvl w:val="0"/>
          <w:numId w:val="17"/>
        </w:numPr>
        <w:ind w:hanging="0" w:start="2160" w:end="0"/>
        <w:rPr/>
      </w:pPr>
      <w:r>
        <w:rPr/>
        <w:t>The kVA ratings at all cooling class ratings and temperature rises.</w:t>
      </w:r>
    </w:p>
    <w:p>
      <w:pPr>
        <w:pStyle w:val="Level4text"/>
        <w:numPr>
          <w:ilvl w:val="0"/>
          <w:numId w:val="0"/>
        </w:numPr>
        <w:ind w:hanging="0" w:start="2160" w:end="0"/>
        <w:rPr/>
      </w:pPr>
      <w:r>
        <w:rPr/>
      </w:r>
    </w:p>
    <w:p>
      <w:pPr>
        <w:pStyle w:val="Level4text"/>
        <w:numPr>
          <w:ilvl w:val="0"/>
          <w:numId w:val="17"/>
        </w:numPr>
        <w:ind w:hanging="0" w:start="2160" w:end="0"/>
        <w:rPr/>
      </w:pPr>
      <w:r>
        <w:rPr/>
        <w:t>Transformer impedance, on the base OA(ONAN) kVA capacity at 65°C rise.</w:t>
      </w:r>
    </w:p>
    <w:p>
      <w:pPr>
        <w:pStyle w:val="Level4text"/>
        <w:numPr>
          <w:ilvl w:val="0"/>
          <w:numId w:val="0"/>
        </w:numPr>
        <w:ind w:hanging="0" w:start="2160" w:end="0"/>
        <w:rPr/>
      </w:pPr>
      <w:r>
        <w:rPr/>
      </w:r>
    </w:p>
    <w:p>
      <w:pPr>
        <w:pStyle w:val="Level4text"/>
        <w:numPr>
          <w:ilvl w:val="0"/>
          <w:numId w:val="17"/>
        </w:numPr>
        <w:ind w:hanging="0" w:start="2160" w:end="0"/>
        <w:rPr/>
      </w:pPr>
      <w:r>
        <w:rPr/>
        <w:t>Tap changer positions, voltages, and full load current at each tap setting.</w:t>
      </w:r>
    </w:p>
    <w:p>
      <w:pPr>
        <w:pStyle w:val="Level4text"/>
        <w:numPr>
          <w:ilvl w:val="0"/>
          <w:numId w:val="0"/>
        </w:numPr>
        <w:ind w:hanging="0" w:start="2160" w:end="0"/>
        <w:rPr/>
      </w:pPr>
      <w:r>
        <w:rPr/>
      </w:r>
    </w:p>
    <w:p>
      <w:pPr>
        <w:pStyle w:val="Level4text"/>
        <w:numPr>
          <w:ilvl w:val="0"/>
          <w:numId w:val="17"/>
        </w:numPr>
        <w:ind w:hanging="0" w:start="2160" w:end="0"/>
        <w:rPr/>
      </w:pPr>
      <w:r>
        <w:rPr/>
        <w:t>Low voltage rating and full load current.</w:t>
      </w:r>
    </w:p>
    <w:p>
      <w:pPr>
        <w:pStyle w:val="Level4text"/>
        <w:numPr>
          <w:ilvl w:val="0"/>
          <w:numId w:val="0"/>
        </w:numPr>
        <w:ind w:hanging="0" w:start="2160" w:end="0"/>
        <w:rPr/>
      </w:pPr>
      <w:r>
        <w:rPr/>
      </w:r>
    </w:p>
    <w:p>
      <w:pPr>
        <w:pStyle w:val="Level4text"/>
        <w:numPr>
          <w:ilvl w:val="0"/>
          <w:numId w:val="17"/>
        </w:numPr>
        <w:ind w:hanging="0" w:start="2160" w:end="0"/>
        <w:rPr/>
      </w:pPr>
      <w:r>
        <w:rPr/>
        <w:t>Gallons of liquid in tank radiators, and in any liquid filled terminal chambers.</w:t>
      </w:r>
    </w:p>
    <w:p>
      <w:pPr>
        <w:pStyle w:val="Level4text"/>
        <w:numPr>
          <w:ilvl w:val="0"/>
          <w:numId w:val="0"/>
        </w:numPr>
        <w:ind w:hanging="0" w:start="2160" w:end="0"/>
        <w:rPr/>
      </w:pPr>
      <w:r>
        <w:rPr/>
      </w:r>
    </w:p>
    <w:p>
      <w:pPr>
        <w:pStyle w:val="Level4text"/>
        <w:numPr>
          <w:ilvl w:val="0"/>
          <w:numId w:val="17"/>
        </w:numPr>
        <w:ind w:hanging="0" w:start="2160" w:end="0"/>
        <w:rPr/>
      </w:pPr>
      <w:r>
        <w:rPr/>
        <w:t>Design maximum operating pressures (positive and negative) for the transformer tank.</w:t>
      </w:r>
    </w:p>
    <w:p>
      <w:pPr>
        <w:pStyle w:val="Level4text"/>
        <w:numPr>
          <w:ilvl w:val="0"/>
          <w:numId w:val="0"/>
        </w:numPr>
        <w:ind w:hanging="0" w:start="2160" w:end="0"/>
        <w:rPr/>
      </w:pPr>
      <w:r>
        <w:rPr/>
      </w:r>
    </w:p>
    <w:p>
      <w:pPr>
        <w:pStyle w:val="Level4text"/>
        <w:numPr>
          <w:ilvl w:val="0"/>
          <w:numId w:val="17"/>
        </w:numPr>
        <w:ind w:hanging="0" w:start="2160" w:end="0"/>
        <w:rPr/>
      </w:pPr>
      <w:r>
        <w:rPr/>
        <w:t>All other information as required by ANSI/IEEE C57.12.</w:t>
      </w:r>
    </w:p>
    <w:p>
      <w:pPr>
        <w:pStyle w:val="Normal"/>
        <w:tabs>
          <w:tab w:val="clear" w:pos="720"/>
          <w:tab w:val="left" w:pos="1440" w:leader="none"/>
          <w:tab w:val="left" w:pos="3744" w:leader="none"/>
        </w:tabs>
        <w:ind w:start="2160" w:end="0"/>
        <w:rPr>
          <w:rFonts w:ascii="Univers (W1);Arial" w:hAnsi="Univers (W1);Arial" w:cs="Univers (W1);Arial"/>
          <w:sz w:val="22"/>
        </w:rPr>
      </w:pPr>
      <w:r>
        <w:rPr>
          <w:rFonts w:cs="Univers (W1);Arial" w:ascii="Univers (W1);Arial" w:hAnsi="Univers (W1);Arial"/>
          <w:sz w:val="22"/>
        </w:rPr>
      </w:r>
    </w:p>
    <w:p>
      <w:pPr>
        <w:pStyle w:val="Level3text"/>
        <w:ind w:start="2160" w:end="0"/>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numPr>
          <w:ilvl w:val="0"/>
          <w:numId w:val="19"/>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360" w:start="2520" w:end="0"/>
        <w:rPr/>
      </w:pPr>
      <w:r>
        <w:rPr/>
        <w:t>Current Transformers</w:t>
      </w:r>
    </w:p>
    <w:p>
      <w:pPr>
        <w:pStyle w:val="Normal"/>
        <w:tabs>
          <w:tab w:val="clear" w:pos="720"/>
          <w:tab w:val="left" w:pos="1440" w:leader="none"/>
          <w:tab w:val="left" w:pos="1872" w:leader="none"/>
        </w:tabs>
        <w:ind w:hanging="1440"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ind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transformer accessories (indicating devices, cooling equipment, etc.) shall be interconnected from device to terminal box by the use of rigid galvanized steel conduit.</w:t>
      </w:r>
    </w:p>
    <w:p>
      <w:pPr>
        <w:pStyle w:val="Normal"/>
        <w:rPr/>
      </w:pPr>
      <w:r>
        <w:rPr/>
      </w:r>
      <w:bookmarkStart w:id="15" w:name="__RefHeading___Toc453662990"/>
      <w:bookmarkStart w:id="16" w:name="__RefHeading___Toc453662990"/>
    </w:p>
    <w:p>
      <w:pPr>
        <w:pStyle w:val="Normal"/>
        <w:rPr/>
      </w:pPr>
      <w:bookmarkStart w:id="17" w:name="__RefHeading___Toc453662990"/>
      <w:r>
        <w:rPr/>
        <w:t>5.2.</w:t>
        <w:tab/>
        <w:t>Cooling</w:t>
      </w:r>
      <w:bookmarkEnd w:id="17"/>
    </w:p>
    <w:p>
      <w:pPr>
        <w:pStyle w:val="Normal"/>
        <w:rPr>
          <w:rFonts w:ascii="Univers (W1);Arial" w:hAnsi="Univers (W1);Arial" w:cs="Univers (W1);Arial"/>
          <w:sz w:val="22"/>
        </w:rPr>
      </w:pPr>
      <w:r>
        <w:rPr>
          <w:rFonts w:cs="Univers (W1);Arial" w:ascii="Univers (W1);Arial" w:hAnsi="Univers (W1);Arial"/>
          <w:sz w:val="22"/>
        </w:rPr>
      </w:r>
    </w:p>
    <w:p>
      <w:pPr>
        <w:pStyle w:val="Level2text"/>
        <w:ind w:start="720" w:end="0"/>
        <w:rPr/>
      </w:pPr>
      <w:r>
        <w:rPr/>
        <w:t>Radiators shall be Menk or Tranter model type radiators.  They shall be capable of withstanding full vacuum  (0.1 torr).</w:t>
      </w:r>
    </w:p>
    <w:p>
      <w:pPr>
        <w:pStyle w:val="Level2text"/>
        <w:rPr/>
      </w:pPr>
      <w:r>
        <w:rPr/>
      </w:r>
    </w:p>
    <w:p>
      <w:pPr>
        <w:pStyle w:val="Normal"/>
        <w:rPr/>
      </w:pPr>
      <w:bookmarkStart w:id="18" w:name="__RefHeading___Toc453662991"/>
      <w:bookmarkEnd w:id="18"/>
      <w:r>
        <w:rPr/>
        <w:t>5.3.</w:t>
        <w:tab/>
        <w:t>Auxiliary Cooling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ind w:start="720" w:end="0"/>
        <w:rPr/>
      </w:pPr>
      <w:r>
        <w:rPr/>
      </w:r>
    </w:p>
    <w:p>
      <w:pPr>
        <w:pStyle w:val="Level2text"/>
        <w:ind w:start="720" w:end="0"/>
        <w:rPr/>
      </w:pPr>
      <w:r>
        <w:rPr/>
        <w:t>The winding temperature element (or device) shall be responsive to the load current derived from one phase of a winding.</w:t>
      </w:r>
    </w:p>
    <w:p>
      <w:pPr>
        <w:pStyle w:val="Level2text"/>
        <w:ind w:start="720" w:end="0"/>
        <w:rPr/>
      </w:pPr>
      <w:r>
        <w:rPr/>
      </w:r>
    </w:p>
    <w:p>
      <w:pPr>
        <w:pStyle w:val="Level2text"/>
        <w:ind w:start="720" w:end="0"/>
        <w:rPr/>
      </w:pPr>
      <w:r>
        <w:rPr/>
        <w:t>Control equipment shall include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rPr/>
      </w:pPr>
      <w:bookmarkStart w:id="19" w:name="__RefHeading___Toc453662992"/>
      <w:bookmarkEnd w:id="19"/>
      <w:r>
        <w:rPr/>
        <w:t>5.4.</w:t>
        <w:tab/>
        <w:t>Tap Changer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bookmarkStart w:id="20" w:name="__RefHeading___Toc453662993"/>
      <w:bookmarkEnd w:id="20"/>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bookmarkStart w:id="21" w:name="__RefHeading___Toc453662994"/>
      <w:bookmarkEnd w:id="21"/>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bookmarkStart w:id="22" w:name="__RefHeading___Toc453662995"/>
      <w:bookmarkEnd w:id="22"/>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Heading2"/>
        <w:tabs>
          <w:tab w:val="clear" w:pos="1080"/>
          <w:tab w:val="left" w:pos="360" w:leader="none"/>
        </w:tabs>
        <w:ind w:hanging="0" w:start="0"/>
        <w:rPr/>
      </w:pPr>
      <w:r>
        <w:rPr/>
      </w:r>
    </w:p>
    <w:p>
      <w:pPr>
        <w:pStyle w:val="Normal"/>
        <w:rPr/>
      </w:pPr>
      <w:bookmarkStart w:id="23" w:name="__RefHeading___Toc453662996"/>
      <w:bookmarkEnd w:id="23"/>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bookmarkStart w:id="24" w:name="__RefHeading___Toc453662997"/>
      <w:bookmarkEnd w:id="24"/>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bookmarkStart w:id="25" w:name="__RefHeading___Toc453662998"/>
      <w:bookmarkEnd w:id="25"/>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bookmarkStart w:id="26" w:name="__RefHeading___Toc453662999"/>
      <w:bookmarkEnd w:id="26"/>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bookmarkStart w:id="27" w:name="__RefHeading___Toc453663000"/>
      <w:bookmarkEnd w:id="27"/>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bookmarkStart w:id="28" w:name="__RefHeading___Toc453663001"/>
      <w:bookmarkEnd w:id="28"/>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bookmarkStart w:id="29" w:name="__RefHeading___Toc453663002"/>
      <w:bookmarkEnd w:id="29"/>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bookmarkStart w:id="30" w:name="__RefHeading___Toc453663003"/>
      <w:bookmarkEnd w:id="30"/>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21"/>
        </w:numPr>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5"/>
        </w:numPr>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bookmarkStart w:id="31" w:name="__RefHeading___Toc453663004"/>
      <w:bookmarkEnd w:id="31"/>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Complete spare parts list as provided for in AGREEMENT.  </w:t>
      </w:r>
      <w:r>
        <w:rPr>
          <w:b/>
        </w:rPr>
        <w:t>[Note:  Is Exhibit M-1 the complete Spare Parts List?]</w:t>
      </w:r>
    </w:p>
    <w:p>
      <w:pPr>
        <w:pStyle w:val="Level2text"/>
        <w:rPr>
          <w:b/>
        </w:rPr>
      </w:pPr>
      <w:r>
        <w:rPr>
          <w:b/>
        </w:rPr>
      </w:r>
    </w:p>
    <w:p>
      <w:pPr>
        <w:pStyle w:val="Normal"/>
        <w:rPr/>
      </w:pPr>
      <w:bookmarkStart w:id="32" w:name="__RefHeading___Toc453663005"/>
      <w:bookmarkEnd w:id="32"/>
      <w:r>
        <w:rPr/>
        <w:t>6.3.</w:t>
        <w:tab/>
        <w:t>Installation, Operating and Maintenance Instructions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bookmarkStart w:id="33" w:name="__RefHeading___Toc453663006"/>
      <w:bookmarkEnd w:id="33"/>
      <w:r>
        <w:rPr/>
        <w:t>7.</w:t>
        <w:tab/>
        <w:t>TESTING AND INSPECTION</w:t>
      </w:r>
    </w:p>
    <w:p>
      <w:pPr>
        <w:pStyle w:val="Heading2"/>
        <w:tabs>
          <w:tab w:val="clear" w:pos="1080"/>
          <w:tab w:val="left" w:pos="360" w:leader="none"/>
        </w:tabs>
        <w:ind w:hanging="0" w:start="0"/>
        <w:rPr/>
      </w:pPr>
      <w:r>
        <w:rPr/>
      </w:r>
      <w:bookmarkStart w:id="34" w:name="__RefHeading___Toc453663007"/>
      <w:bookmarkStart w:id="35" w:name="__RefHeading___Toc453663007"/>
    </w:p>
    <w:p>
      <w:pPr>
        <w:pStyle w:val="Normal"/>
        <w:rPr/>
      </w:pPr>
      <w:bookmarkStart w:id="36" w:name="__RefHeading___Toc453663007"/>
      <w:r>
        <w:rPr/>
        <w:t>7.1.</w:t>
        <w:tab/>
        <w:t>Transformer Tests</w:t>
      </w:r>
      <w:bookmarkEnd w:id="36"/>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bookmarkStart w:id="37" w:name="__RefHeading___Toc453663008"/>
      <w:bookmarkEnd w:id="37"/>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8"/>
        </w:numPr>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8"/>
        </w:numPr>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bookmarkStart w:id="38" w:name="__RefHeading___Toc453663009"/>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bookmarkStart w:id="39" w:name="__RefHeading___Toc453663009"/>
      <w:r>
        <w:rPr/>
        <w:t>7.3.</w:t>
        <w:tab/>
        <w:t>Loss Evaluation</w:t>
      </w:r>
      <w:bookmarkEnd w:id="39"/>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5"/>
        </w:numPr>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5"/>
        </w:numPr>
        <w:ind w:hanging="360" w:start="1080" w:end="0"/>
        <w:rPr/>
      </w:pPr>
      <w:bookmarkStart w:id="40" w:name="__RefHeading___Toc453663010"/>
      <w:r>
        <w:rPr/>
        <w:t>Losses at base load will be evaluated in accordance with AGREEMENT.</w:t>
      </w:r>
    </w:p>
    <w:p>
      <w:pPr>
        <w:pStyle w:val="Level2text"/>
        <w:numPr>
          <w:ilvl w:val="0"/>
          <w:numId w:val="0"/>
        </w:numPr>
        <w:ind w:hanging="360" w:start="1080" w:end="0"/>
        <w:rPr/>
      </w:pPr>
      <w:r>
        <w:rPr/>
      </w:r>
    </w:p>
    <w:p>
      <w:pPr>
        <w:pStyle w:val="Level2text"/>
        <w:numPr>
          <w:ilvl w:val="0"/>
          <w:numId w:val="25"/>
        </w:numPr>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bookmarkStart w:id="41" w:name="__RefHeading___Toc453663010"/>
      <w:r>
        <w:rPr/>
        <w:t>7.4.</w:t>
        <w:tab/>
        <w:t>Inspection</w:t>
      </w:r>
      <w:bookmarkEnd w:id="41"/>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bookmarkStart w:id="42" w:name="__RefHeading___Toc453663011"/>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bookmarkStart w:id="43" w:name="__RefHeading___Toc453663011"/>
      <w:r>
        <w:rPr/>
        <w:t>7.5.</w:t>
        <w:tab/>
        <w:t>Notification</w:t>
      </w:r>
      <w:bookmarkEnd w:id="43"/>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bookmarkStart w:id="44" w:name="__RefHeading___Toc453663012"/>
      <w:bookmarkEnd w:id="44"/>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4" w:type="dxa"/>
        <w:jc w:val="start"/>
        <w:tblInd w:w="0" w:type="dxa"/>
        <w:tblLayout w:type="fixed"/>
        <w:tblCellMar>
          <w:top w:w="0" w:type="dxa"/>
          <w:start w:w="108" w:type="dxa"/>
          <w:bottom w:w="0" w:type="dxa"/>
          <w:end w:w="108" w:type="dxa"/>
        </w:tblCellMar>
      </w:tblPr>
      <w:tblGrid>
        <w:gridCol w:w="828"/>
        <w:gridCol w:w="2340"/>
        <w:gridCol w:w="90"/>
        <w:gridCol w:w="270"/>
        <w:gridCol w:w="1080"/>
        <w:gridCol w:w="810"/>
        <w:gridCol w:w="180"/>
        <w:gridCol w:w="90"/>
        <w:gridCol w:w="13"/>
        <w:gridCol w:w="257"/>
        <w:gridCol w:w="900"/>
        <w:gridCol w:w="277"/>
        <w:gridCol w:w="162"/>
        <w:gridCol w:w="11"/>
        <w:gridCol w:w="7"/>
        <w:gridCol w:w="173"/>
        <w:gridCol w:w="42"/>
        <w:gridCol w:w="17"/>
        <w:gridCol w:w="31"/>
        <w:gridCol w:w="31"/>
        <w:gridCol w:w="329"/>
        <w:gridCol w:w="270"/>
        <w:gridCol w:w="270"/>
        <w:gridCol w:w="271"/>
        <w:gridCol w:w="239"/>
        <w:gridCol w:w="1205"/>
        <w:gridCol w:w="10"/>
        <w:gridCol w:w="61"/>
      </w:tblGrid>
      <w:tr>
        <w:trPr/>
        <w:tc>
          <w:tcPr>
            <w:tcW w:w="10193" w:type="dxa"/>
            <w:gridSpan w:val="26"/>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1" w:type="dxa"/>
            <w:gridSpan w:val="2"/>
            <w:tcBorders/>
            <w:tcMar>
              <w:start w:w="0" w:type="dxa"/>
              <w:end w:w="0" w:type="dxa"/>
            </w:tcMar>
          </w:tcPr>
          <w:p>
            <w:pPr>
              <w:pStyle w:val="Normal"/>
              <w:snapToGrid w:val="false"/>
              <w:rPr>
                <w:rFonts w:ascii="Univers" w:hAnsi="Univers" w:cs="Univers"/>
                <w:b/>
              </w:rPr>
            </w:pPr>
            <w:r>
              <w:rPr>
                <w:rFonts w:cs="Univers" w:ascii="Univers" w:hAnsi="Univers"/>
                <w:b/>
              </w:rPr>
            </w:r>
          </w:p>
        </w:tc>
      </w:tr>
      <w:tr>
        <w:trPr/>
        <w:tc>
          <w:tcPr>
            <w:tcW w:w="10193"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71"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[Enron North America Corp.]</w:t>
            </w:r>
          </w:p>
        </w:tc>
        <w:tc>
          <w:tcPr>
            <w:tcW w:w="71"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63"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18.33/40</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(64/85/106 MVA)</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80/82/83 dBA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Units</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 (Six)</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63"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5"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1" w:type="dxa"/>
            <w:gridSpan w:val="2"/>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115X230</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w:t>
            </w:r>
          </w:p>
        </w:tc>
        <w:tc>
          <w:tcPr>
            <w:tcW w:w="2663"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10 %</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71" w:type="dxa"/>
            <w:gridSpan w:val="2"/>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71"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71"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1" w:type="dxa"/>
            <w:gridSpan w:val="2"/>
            <w:tcBorders/>
            <w:tcMar>
              <w:start w:w="0" w:type="dxa"/>
              <w:end w:w="0" w:type="dxa"/>
            </w:tcMar>
          </w:tcPr>
          <w:p>
            <w:pPr>
              <w:pStyle w:val="Normal"/>
              <w:snapToGrid w:val="false"/>
              <w:rPr/>
            </w:pPr>
            <w:r>
              <w:rPr/>
            </w:r>
          </w:p>
        </w:tc>
      </w:tr>
      <w:tr>
        <w:trPr/>
        <w:tc>
          <w:tcPr>
            <w:tcW w:w="10193"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71"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1"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230X115</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750/550</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13.8/13.8</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1" w:type="dxa"/>
            <w:gridSpan w:val="2"/>
            <w:tcBorders/>
            <w:tcMar>
              <w:start w:w="0" w:type="dxa"/>
              <w:end w:w="0" w:type="dxa"/>
            </w:tcMar>
          </w:tcPr>
          <w:p>
            <w:pPr>
              <w:pStyle w:val="Normal"/>
              <w:snapToGrid w:val="false"/>
              <w:rPr/>
            </w:pPr>
            <w:r>
              <w:rPr/>
            </w:r>
          </w:p>
        </w:tc>
      </w:tr>
      <w:tr>
        <w:trPr/>
        <w:tc>
          <w:tcPr>
            <w:tcW w:w="10193"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Non Seg Phase Bus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6"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61"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5" w:type="dxa"/>
            <w:gridSpan w:val="25"/>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8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6" w:type="dxa"/>
            <w:gridSpan w:val="6"/>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5" w:type="dxa"/>
            <w:gridSpan w:val="4"/>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5"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5"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144 kV MCOV</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1"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720" w:leader="none"/>
                <w:tab w:val="left" w:pos="1440" w:leader="none"/>
                <w:tab w:val="left" w:pos="2160" w:leader="none"/>
              </w:tabs>
              <w:rPr/>
            </w:pPr>
            <w:r>
              <w:rPr/>
            </w:r>
          </w:p>
        </w:tc>
        <w:tc>
          <w:tcPr>
            <w:tcW w:w="71" w:type="dxa"/>
            <w:gridSpan w:val="2"/>
            <w:tcBorders/>
            <w:tcMar>
              <w:start w:w="0" w:type="dxa"/>
              <w:end w:w="0" w:type="dxa"/>
            </w:tcMar>
          </w:tcPr>
          <w:p>
            <w:pPr>
              <w:pStyle w:val="Normal"/>
              <w:snapToGrid w:val="false"/>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HU-Enron-1C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ABB</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Neg#FC011400-1C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ind w:start="0" w:end="0"/>
              <w:rPr/>
            </w:pPr>
            <w:r>
              <w:rPr/>
              <w:t>63120-2241</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LNL9517</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230X115</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106,000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750X550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KW</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7">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ind w:start="0" w:end="0"/>
              <w:rPr/>
            </w:pPr>
            <w:r>
              <w:rPr/>
              <w:t>Aux = 7.2@106MVA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63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OA/FA/FA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10%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rPr/>
            </w:pPr>
            <w:r>
              <w:rPr/>
              <w:t>K.</w:t>
            </w:r>
          </w:p>
        </w:tc>
        <w:tc>
          <w:tcPr>
            <w:tcW w:w="70" w:type="dxa"/>
            <w:gridSpan w:val="3"/>
            <w:tcBorders/>
            <w:tcMar>
              <w:start w:w="0" w:type="dxa"/>
              <w:end w:w="0" w:type="dxa"/>
            </w:tcMar>
          </w:tcPr>
          <w:p>
            <w:pPr>
              <w:pStyle w:val="Normal"/>
              <w:snapToGrid w:val="false"/>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70"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[Enron North America Corp.]</w:t>
            </w:r>
          </w:p>
        </w:tc>
        <w:tc>
          <w:tcPr>
            <w:tcW w:w="70"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18.33/40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(65/85/106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79/81/82 dBA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Two</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X,Y:32/42.5/53</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OA/FOA/FOA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13.8, 13.8</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(H-X,Y  64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6"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6"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6"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6"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6"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6" w:type="dxa"/>
            <w:gridSpan w:val="2"/>
            <w:tcBorders/>
            <w:tcMar>
              <w:start w:w="0" w:type="dxa"/>
              <w:end w:w="0" w:type="dxa"/>
            </w:tcMar>
          </w:tcPr>
          <w:p>
            <w:pPr>
              <w:pStyle w:val="Normal"/>
              <w:snapToGrid w:val="false"/>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70"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0"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550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voltage, Kv  (X &amp; Y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Cable Bus-Flange Connection</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7"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88MCOV;  110KV</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720" w:leader="none"/>
                <w:tab w:val="left" w:pos="144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720" w:leader="none"/>
                <w:tab w:val="left" w:pos="1440" w:leader="none"/>
                <w:tab w:val="left" w:pos="2160" w:leader="none"/>
              </w:tabs>
              <w:rPr/>
            </w:pPr>
            <w:r>
              <w:rPr/>
            </w:r>
          </w:p>
        </w:tc>
        <w:tc>
          <w:tcPr>
            <w:tcW w:w="70" w:type="dxa"/>
            <w:gridSpan w:val="3"/>
            <w:tcBorders/>
            <w:tcMar>
              <w:start w:w="0" w:type="dxa"/>
              <w:end w:w="0" w:type="dxa"/>
            </w:tcMar>
          </w:tcPr>
          <w:p>
            <w:pPr>
              <w:pStyle w:val="Normal"/>
              <w:snapToGrid w:val="false"/>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HU-ENRON-2C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ABB</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NEG#FC0111400-2C</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138KV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106,667</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550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ind w:start="0" w:end="0"/>
              <w:rPr/>
            </w:pPr>
            <w:r>
              <w:rPr/>
              <w:t>@ 64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Aux. = 7.2 @106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9%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138,000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800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138W0800AA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ABB Type O + C Dwg. #P3946C190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450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6</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3,000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ABB 025T0300HS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Type 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                         Drawing #P3943 C 190</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Q110XA088A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84/112/140 mva</w:t>
            </w:r>
          </w:p>
          <w:p>
            <w:pPr>
              <w:pStyle w:val="Normal"/>
              <w:rPr/>
            </w:pPr>
            <w:r>
              <w:rPr/>
              <w:t>M.  ABB Design HU – Enron-2D-LS</w:t>
            </w:r>
          </w:p>
        </w:tc>
        <w:tc>
          <w:tcPr>
            <w:tcW w:w="70" w:type="dxa"/>
            <w:gridSpan w:val="3"/>
            <w:tcBorders/>
            <w:tcMar>
              <w:start w:w="0" w:type="dxa"/>
              <w:end w:w="0" w:type="dxa"/>
            </w:tcMar>
          </w:tcPr>
          <w:p>
            <w:pPr>
              <w:pStyle w:val="Normal"/>
              <w:snapToGrid w:val="false"/>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ind w:start="0" w:end="0"/>
              <w:rPr>
                <w:b/>
              </w:rPr>
            </w:pPr>
            <w:r>
              <w:rPr>
                <w:b/>
              </w:rPr>
              <w:t>9.1</w:t>
              <w:tab/>
              <w:t>GENERAL</w:t>
            </w:r>
          </w:p>
        </w:tc>
        <w:tc>
          <w:tcPr>
            <w:tcW w:w="70"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[Enron North America Corp.]</w:t>
            </w:r>
          </w:p>
        </w:tc>
        <w:tc>
          <w:tcPr>
            <w:tcW w:w="70"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&lt;3300 Feet</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5/40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 mph</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Sound Level (84/112/140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70/72/73 dBA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Generator Step Up</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70 Light Gray</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(two)</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ind w:start="0" w:end="0"/>
              <w:jc w:val="center"/>
              <w:rPr>
                <w:sz w:val="20"/>
              </w:rPr>
            </w:pPr>
            <w:r>
              <w:rPr>
                <w:sz w:val="20"/>
              </w:rPr>
              <w:t>1</w:t>
            </w:r>
          </w:p>
        </w:tc>
        <w:tc>
          <w:tcPr>
            <w:tcW w:w="70" w:type="dxa"/>
            <w:gridSpan w:val="3"/>
            <w:tcBorders/>
            <w:tcMar>
              <w:start w:w="0" w:type="dxa"/>
              <w:end w:w="0" w:type="dxa"/>
            </w:tcMar>
          </w:tcPr>
          <w:p>
            <w:pPr>
              <w:pStyle w:val="Normal"/>
              <w:snapToGrid w:val="false"/>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ind w:start="0" w:end="0"/>
              <w:rPr>
                <w:b/>
              </w:rPr>
            </w:pPr>
            <w:r>
              <w:rPr>
                <w:b/>
              </w:rPr>
              <w:t>RATINGS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OA/FA/FA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Conservator</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Mineral Oil</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on OA base (84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9 %</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ind w:start="0" w:end="0"/>
              <w:jc w:val="center"/>
              <w:rPr/>
            </w:pPr>
            <w:r>
              <w:rPr/>
              <w:t xml:space="preserve">Sec 7.1.5 </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66" w:type="dxa"/>
            <w:gridSpan w:val="2"/>
            <w:tcBorders/>
            <w:tcMar>
              <w:start w:w="0" w:type="dxa"/>
              <w:end w:w="0" w:type="dxa"/>
            </w:tcMar>
          </w:tcPr>
          <w:p>
            <w:pPr>
              <w:pStyle w:val="Normal"/>
              <w:snapToGrid w:val="false"/>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w:t>
            </w:r>
          </w:p>
        </w:tc>
        <w:tc>
          <w:tcPr>
            <w:tcW w:w="66" w:type="dxa"/>
            <w:gridSpan w:val="2"/>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66"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110/110</w:t>
            </w:r>
          </w:p>
        </w:tc>
        <w:tc>
          <w:tcPr>
            <w:tcW w:w="66"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w:t>
            </w:r>
          </w:p>
        </w:tc>
        <w:tc>
          <w:tcPr>
            <w:tcW w:w="66" w:type="dxa"/>
            <w:gridSpan w:val="2"/>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66" w:type="dxa"/>
            <w:gridSpan w:val="2"/>
            <w:tcBorders/>
            <w:tcMar>
              <w:start w:w="0" w:type="dxa"/>
              <w:end w:w="0" w:type="dxa"/>
            </w:tcMar>
          </w:tcPr>
          <w:p>
            <w:pPr>
              <w:pStyle w:val="Normal"/>
              <w:snapToGrid w:val="false"/>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w:t>
              <w:tab/>
              <w:t>WINDINGS</w:t>
            </w:r>
          </w:p>
        </w:tc>
        <w:tc>
          <w:tcPr>
            <w:tcW w:w="70"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0" w:type="dxa"/>
            <w:gridSpan w:val="3"/>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Grnd wye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4</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2.5</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 &amp; -2</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Manual</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De-energized</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Rated voltage, Kv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Delta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 Bushing, External</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Standard</w:t>
            </w:r>
          </w:p>
        </w:tc>
        <w:tc>
          <w:tcPr>
            <w:tcW w:w="70" w:type="dxa"/>
            <w:gridSpan w:val="3"/>
            <w:tcBorders/>
            <w:tcMar>
              <w:start w:w="0" w:type="dxa"/>
              <w:end w:w="0" w:type="dxa"/>
            </w:tcMar>
          </w:tcPr>
          <w:p>
            <w:pPr>
              <w:pStyle w:val="Normal"/>
              <w:snapToGrid w:val="false"/>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w:t>
              <w:tab/>
              <w:t>CONNECTIONS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High Voltage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Top</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Cable Bus-Flange Connection</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Segment 1</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Neutral Bushing</w:t>
            </w:r>
          </w:p>
        </w:tc>
        <w:tc>
          <w:tcPr>
            <w:tcW w:w="57"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Not Applicable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110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Vendor to determine.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 x 1200:5,MR</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C800</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Later kV MCOV</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Metal-Oxide</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ALARM CONTACT RATINGS</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Non-grounded alarm contacts shall be suitable for interrupting:</w:t>
            </w:r>
          </w:p>
        </w:tc>
        <w:tc>
          <w:tcPr>
            <w:tcW w:w="70" w:type="dxa"/>
            <w:gridSpan w:val="3"/>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70" w:type="dxa"/>
            <w:gridSpan w:val="3"/>
            <w:tcBorders/>
            <w:tcMar>
              <w:start w:w="0" w:type="dxa"/>
              <w:end w:w="0" w:type="dxa"/>
            </w:tcMar>
          </w:tcPr>
          <w:p>
            <w:pPr>
              <w:pStyle w:val="Normal"/>
              <w:snapToGrid w:val="false"/>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HU-Enron-2D-LS Low Sound</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ABB Neg#FC011400-2D-LS</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138,00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140,000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650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110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ind w:start="0" w:end="0"/>
              <w:rPr/>
            </w:pPr>
            <w:r>
              <w:rPr/>
              <w:t>161 = L.L. @ 84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 = 6.5 @ 140 MVA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PF 85%</w:t>
            </w:r>
          </w:p>
        </w:tc>
        <w:tc>
          <w:tcPr>
            <w:tcW w:w="92" w:type="dxa"/>
            <w:tcBorders/>
            <w:tcMar>
              <w:start w:w="0" w:type="dxa"/>
              <w:end w:w="0" w:type="dxa"/>
            </w:tcMar>
          </w:tcPr>
          <w:p>
            <w:pPr>
              <w:pStyle w:val="Normal"/>
              <w:snapToGrid w:val="false"/>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Deviations or variations from purchaser’s specification.  (List on separate sheet.)</w:t>
            </w:r>
          </w:p>
        </w:tc>
      </w:tr>
    </w:tbl>
    <w:p>
      <w:pPr>
        <w:pStyle w:val="Normal"/>
        <w:rPr/>
      </w:pPr>
      <w:r>
        <w:rPr/>
      </w:r>
      <w:r>
        <w:br w:type="page"/>
      </w:r>
    </w:p>
    <w:p>
      <w:pPr>
        <w:pStyle w:val="Normal"/>
        <w:rPr/>
      </w:pPr>
      <w:r>
        <w:rPr/>
      </w:r>
    </w:p>
    <w:p>
      <w:pPr>
        <w:pStyle w:val="Normal"/>
        <w:spacing w:lineRule="auto" w:line="300"/>
        <w:jc w:val="center"/>
        <w:rPr>
          <w:sz w:val="20"/>
          <w:u w:val="single"/>
        </w:rPr>
      </w:pPr>
      <w:r>
        <w:rPr>
          <w:sz w:val="20"/>
        </w:rPr>
        <w:t xml:space="preserve">EXHIBIT B-2  </w:t>
      </w:r>
      <w:r>
        <w:rPr>
          <w:sz w:val="20"/>
          <w:u w:val="single"/>
        </w:rPr>
        <w:t>DRAWING LIST</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jc w:val="center"/>
        <w:rPr>
          <w:sz w:val="20"/>
          <w:u w:val="single"/>
        </w:rPr>
      </w:pPr>
      <w:r>
        <w:rPr>
          <w:sz w:val="20"/>
          <w:u w:val="single"/>
        </w:rPr>
      </w:r>
    </w:p>
    <w:p>
      <w:pPr>
        <w:pStyle w:val="TOC1"/>
        <w:numPr>
          <w:ilvl w:val="0"/>
          <w:numId w:val="13"/>
        </w:numPr>
        <w:tabs>
          <w:tab w:val="clear" w:pos="10070"/>
        </w:tabs>
        <w:spacing w:lineRule="auto" w:line="300"/>
        <w:rPr/>
      </w:pPr>
      <w:r>
        <w:rPr/>
        <w:t>Preliminary Drawings</w:t>
        <w:tab/>
        <w:tab/>
        <w:tab/>
        <w:t>7-9 Weeks after receipt of order</w:t>
      </w:r>
    </w:p>
    <w:p>
      <w:pPr>
        <w:pStyle w:val="Normal"/>
        <w:spacing w:lineRule="auto" w:line="300"/>
        <w:rPr>
          <w:sz w:val="20"/>
        </w:rPr>
      </w:pPr>
      <w:r>
        <w:rPr>
          <w:sz w:val="20"/>
        </w:rPr>
      </w:r>
    </w:p>
    <w:p>
      <w:pPr>
        <w:pStyle w:val="Normal"/>
        <w:numPr>
          <w:ilvl w:val="0"/>
          <w:numId w:val="13"/>
        </w:numPr>
        <w:spacing w:lineRule="auto" w:line="300"/>
        <w:rPr>
          <w:sz w:val="20"/>
        </w:rPr>
      </w:pPr>
      <w:r>
        <w:rPr>
          <w:sz w:val="20"/>
        </w:rPr>
        <w:t>Outline Drawings (approval)</w:t>
        <w:tab/>
        <w:tab/>
        <w:t>14 Weeks after receipt of order</w:t>
      </w:r>
    </w:p>
    <w:p>
      <w:pPr>
        <w:pStyle w:val="Normal"/>
        <w:spacing w:lineRule="auto" w:line="300"/>
        <w:rPr>
          <w:sz w:val="20"/>
        </w:rPr>
      </w:pPr>
      <w:r>
        <w:rPr>
          <w:sz w:val="20"/>
        </w:rPr>
      </w:r>
    </w:p>
    <w:p>
      <w:pPr>
        <w:pStyle w:val="Normal"/>
        <w:numPr>
          <w:ilvl w:val="0"/>
          <w:numId w:val="13"/>
        </w:numPr>
        <w:spacing w:lineRule="auto" w:line="300"/>
        <w:rPr>
          <w:sz w:val="20"/>
        </w:rPr>
      </w:pPr>
      <w:r>
        <w:rPr>
          <w:sz w:val="20"/>
        </w:rPr>
        <w:t>Nameplate Drawing</w:t>
        <w:tab/>
        <w:tab/>
        <w:tab/>
        <w:t>14 Weeks after receipt of order</w:t>
      </w:r>
    </w:p>
    <w:p>
      <w:pPr>
        <w:pStyle w:val="Normal"/>
        <w:spacing w:lineRule="auto" w:line="300"/>
        <w:rPr>
          <w:sz w:val="20"/>
        </w:rPr>
      </w:pPr>
      <w:r>
        <w:rPr>
          <w:sz w:val="20"/>
        </w:rPr>
      </w:r>
    </w:p>
    <w:p>
      <w:pPr>
        <w:pStyle w:val="Normal"/>
        <w:numPr>
          <w:ilvl w:val="0"/>
          <w:numId w:val="13"/>
        </w:numPr>
        <w:spacing w:lineRule="auto" w:line="300"/>
        <w:rPr>
          <w:sz w:val="20"/>
        </w:rPr>
      </w:pPr>
      <w:r>
        <w:rPr>
          <w:sz w:val="20"/>
        </w:rPr>
        <w:t>Electric Schematic Approval</w:t>
        <w:tab/>
        <w:tab/>
        <w:t>14 Weeks after receipt of order</w:t>
      </w:r>
    </w:p>
    <w:p>
      <w:pPr>
        <w:pStyle w:val="Normal"/>
        <w:spacing w:lineRule="auto" w:line="300"/>
        <w:rPr>
          <w:sz w:val="20"/>
        </w:rPr>
      </w:pPr>
      <w:r>
        <w:rPr>
          <w:sz w:val="20"/>
        </w:rPr>
      </w:r>
    </w:p>
    <w:p>
      <w:pPr>
        <w:pStyle w:val="Normal"/>
        <w:numPr>
          <w:ilvl w:val="0"/>
          <w:numId w:val="13"/>
        </w:numPr>
        <w:spacing w:lineRule="auto" w:line="300"/>
        <w:rPr>
          <w:sz w:val="20"/>
        </w:rPr>
      </w:pPr>
      <w:r>
        <w:rPr>
          <w:sz w:val="20"/>
        </w:rPr>
        <w:t>Wiring Diagram</w:t>
        <w:tab/>
        <w:tab/>
        <w:tab/>
        <w:tab/>
        <w:t>18 Weeks after receipt of order</w:t>
      </w:r>
    </w:p>
    <w:p>
      <w:pPr>
        <w:pStyle w:val="Normal"/>
        <w:tabs>
          <w:tab w:val="clear" w:pos="720"/>
          <w:tab w:val="center" w:pos="5040" w:leader="none"/>
        </w:tabs>
        <w:spacing w:lineRule="auto" w:line="300"/>
        <w:jc w:val="both"/>
        <w:rPr>
          <w:sz w:val="20"/>
        </w:rPr>
      </w:pPr>
      <w:r>
        <w:rPr>
          <w:sz w:val="20"/>
        </w:rPr>
      </w:r>
    </w:p>
    <w:p>
      <w:pPr>
        <w:pStyle w:val="Normal"/>
        <w:tabs>
          <w:tab w:val="clear" w:pos="720"/>
          <w:tab w:val="center" w:pos="5040" w:leader="none"/>
        </w:tabs>
        <w:spacing w:lineRule="auto" w:line="300"/>
        <w:jc w:val="both"/>
        <w:rPr>
          <w:sz w:val="20"/>
        </w:rPr>
      </w:pPr>
      <w:r>
        <w:rPr>
          <w:sz w:val="20"/>
        </w:rPr>
      </w:r>
      <w:r>
        <w:br w:type="page"/>
      </w:r>
    </w:p>
    <w:p>
      <w:pPr>
        <w:pStyle w:val="Normal"/>
        <w:spacing w:lineRule="auto" w:line="300"/>
        <w:jc w:val="center"/>
        <w:rPr>
          <w:sz w:val="20"/>
          <w:u w:val="single"/>
        </w:rPr>
      </w:pPr>
      <w:r>
        <w:rPr>
          <w:sz w:val="20"/>
        </w:rPr>
        <w:t>EXHIBIT B</w:t>
        <w:noBreakHyphen/>
        <w:t xml:space="preserve">3  </w:t>
      </w:r>
      <w:r>
        <w:rPr>
          <w:sz w:val="20"/>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tabs>
          <w:tab w:val="left" w:pos="0" w:leader="none"/>
          <w:tab w:val="left" w:pos="720" w:leader="none"/>
          <w:tab w:val="center" w:pos="5040" w:leader="none"/>
        </w:tabs>
        <w:spacing w:lineRule="auto" w:line="240"/>
        <w:jc w:val="center"/>
        <w:rPr>
          <w:sz w:val="20"/>
        </w:rPr>
      </w:pPr>
      <w:r>
        <w:rPr>
          <w:sz w:val="20"/>
        </w:rPr>
        <w:t>EXHIBIT B</w:t>
        <w:noBreakHyphen/>
        <w:t xml:space="preserve">4  </w:t>
      </w:r>
      <w:r>
        <w:rPr>
          <w:sz w:val="20"/>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tabs>
          <w:tab w:val="clear" w:pos="10070"/>
          <w:tab w:val="center" w:pos="5040" w:leader="none"/>
        </w:tabs>
        <w:spacing w:lineRule="auto" w:line="300"/>
        <w:rPr>
          <w:sz w:val="20"/>
        </w:rPr>
      </w:pPr>
      <w:r>
        <w:rPr>
          <w:sz w:val="20"/>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702" w:type="dxa"/>
            <w:tcBorders/>
            <w:shd w:fill="C0C0C0" w:val="clear"/>
          </w:tcPr>
          <w:p>
            <w:pPr>
              <w:pStyle w:val="Normal"/>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2477" w:type="dxa"/>
            <w:tcBorders/>
            <w:shd w:fill="C0C0C0" w:val="clear"/>
          </w:tcPr>
          <w:p>
            <w:pPr>
              <w:pStyle w:val="Normal"/>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rPr>
                <w:rFonts w:ascii="Arial" w:hAnsi="Arial" w:cs="Arial"/>
                <w:sz w:val="20"/>
              </w:rPr>
            </w:pPr>
            <w:r>
              <w:rPr>
                <w:rFonts w:cs="Arial" w:ascii="Arial" w:hAnsi="Arial"/>
                <w:sz w:val="20"/>
              </w:rPr>
            </w:r>
          </w:p>
        </w:tc>
        <w:tc>
          <w:tcPr>
            <w:tcW w:w="1473" w:type="dxa"/>
            <w:tcBorders/>
            <w:shd w:fill="C0C0C0" w:val="clear"/>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w:t>
            </w:r>
          </w:p>
        </w:tc>
        <w:tc>
          <w:tcPr>
            <w:tcW w:w="2702" w:type="dxa"/>
            <w:tcBorders/>
          </w:tcPr>
          <w:p>
            <w:pPr>
              <w:pStyle w:val="Normal"/>
              <w:jc w:val="end"/>
              <w:rPr>
                <w:rFonts w:ascii="Arial" w:hAnsi="Arial" w:cs="Arial"/>
                <w:sz w:val="20"/>
              </w:rPr>
            </w:pPr>
            <w:r>
              <w:rPr>
                <w:rFonts w:cs="Arial" w:ascii="Arial" w:hAnsi="Arial"/>
                <w:sz w:val="20"/>
              </w:rPr>
              <w:t>Copper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Alcatel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Asta</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Algonquin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Phelps Dodge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w:t>
            </w:r>
          </w:p>
        </w:tc>
        <w:tc>
          <w:tcPr>
            <w:tcW w:w="2702" w:type="dxa"/>
            <w:tcBorders/>
          </w:tcPr>
          <w:p>
            <w:pPr>
              <w:pStyle w:val="Normal"/>
              <w:jc w:val="end"/>
              <w:rPr>
                <w:rFonts w:ascii="Arial" w:hAnsi="Arial" w:cs="Arial"/>
                <w:sz w:val="20"/>
              </w:rPr>
            </w:pPr>
            <w:r>
              <w:rPr>
                <w:rFonts w:cs="Arial" w:ascii="Arial" w:hAnsi="Arial"/>
                <w:sz w:val="20"/>
              </w:rPr>
              <w:t>Insulation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EHV-Weidmann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Guelph</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Plast</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Brazil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Figeholms Bruk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Rushling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3</w:t>
            </w:r>
          </w:p>
        </w:tc>
        <w:tc>
          <w:tcPr>
            <w:tcW w:w="2702" w:type="dxa"/>
            <w:tcBorders/>
          </w:tcPr>
          <w:p>
            <w:pPr>
              <w:pStyle w:val="Normal"/>
              <w:jc w:val="end"/>
              <w:rPr>
                <w:rFonts w:ascii="Arial" w:hAnsi="Arial" w:cs="Arial"/>
                <w:sz w:val="20"/>
              </w:rPr>
            </w:pPr>
            <w:r>
              <w:rPr>
                <w:rFonts w:cs="Arial" w:ascii="Arial" w:hAnsi="Arial"/>
                <w:sz w:val="20"/>
              </w:rPr>
              <w:t>Electrical Steel</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Mitsui</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Armco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Itochu</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Cormag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4</w:t>
            </w:r>
          </w:p>
        </w:tc>
        <w:tc>
          <w:tcPr>
            <w:tcW w:w="2702" w:type="dxa"/>
            <w:tcBorders/>
          </w:tcPr>
          <w:p>
            <w:pPr>
              <w:pStyle w:val="Normal"/>
              <w:jc w:val="end"/>
              <w:rPr>
                <w:rFonts w:ascii="Arial" w:hAnsi="Arial" w:cs="Arial"/>
                <w:sz w:val="20"/>
              </w:rPr>
            </w:pPr>
            <w:r>
              <w:rPr>
                <w:rFonts w:cs="Arial" w:ascii="Arial" w:hAnsi="Arial"/>
                <w:sz w:val="20"/>
              </w:rPr>
              <w:t>Tap  Changers/Bushings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Power T&amp;D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Components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Lapp</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5</w:t>
            </w:r>
          </w:p>
        </w:tc>
        <w:tc>
          <w:tcPr>
            <w:tcW w:w="2702" w:type="dxa"/>
            <w:tcBorders/>
          </w:tcPr>
          <w:p>
            <w:pPr>
              <w:pStyle w:val="Normal"/>
              <w:jc w:val="end"/>
              <w:rPr>
                <w:rFonts w:ascii="Arial" w:hAnsi="Arial" w:cs="Arial"/>
                <w:sz w:val="20"/>
              </w:rPr>
            </w:pPr>
            <w:r>
              <w:rPr>
                <w:rFonts w:cs="Arial" w:ascii="Arial" w:hAnsi="Arial"/>
                <w:sz w:val="20"/>
              </w:rPr>
              <w:t>Steel Plate</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Samuel &amp; Sons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6</w:t>
            </w:r>
          </w:p>
        </w:tc>
        <w:tc>
          <w:tcPr>
            <w:tcW w:w="2702" w:type="dxa"/>
            <w:tcBorders/>
          </w:tcPr>
          <w:p>
            <w:pPr>
              <w:pStyle w:val="Normal"/>
              <w:jc w:val="end"/>
              <w:rPr>
                <w:rFonts w:ascii="Arial" w:hAnsi="Arial" w:cs="Arial"/>
                <w:sz w:val="20"/>
              </w:rPr>
            </w:pPr>
            <w:r>
              <w:rPr>
                <w:rFonts w:cs="Arial" w:ascii="Arial" w:hAnsi="Arial"/>
                <w:sz w:val="20"/>
              </w:rPr>
              <w:t>Machining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Industries Varennes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7</w:t>
            </w:r>
          </w:p>
        </w:tc>
        <w:tc>
          <w:tcPr>
            <w:tcW w:w="2702" w:type="dxa"/>
            <w:tcBorders/>
          </w:tcPr>
          <w:p>
            <w:pPr>
              <w:pStyle w:val="Normal"/>
              <w:jc w:val="end"/>
              <w:rPr>
                <w:rFonts w:ascii="Arial" w:hAnsi="Arial" w:cs="Arial"/>
                <w:sz w:val="20"/>
              </w:rPr>
            </w:pPr>
            <w:r>
              <w:rPr>
                <w:rFonts w:cs="Arial" w:ascii="Arial" w:hAnsi="Arial"/>
                <w:sz w:val="20"/>
              </w:rPr>
              <w:t>Radiators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Tranter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Menk</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8</w:t>
            </w:r>
          </w:p>
        </w:tc>
        <w:tc>
          <w:tcPr>
            <w:tcW w:w="2702" w:type="dxa"/>
            <w:tcBorders/>
          </w:tcPr>
          <w:p>
            <w:pPr>
              <w:pStyle w:val="Normal"/>
              <w:jc w:val="end"/>
              <w:rPr>
                <w:rFonts w:ascii="Arial" w:hAnsi="Arial" w:cs="Arial"/>
                <w:sz w:val="20"/>
              </w:rPr>
            </w:pPr>
            <w:r>
              <w:rPr>
                <w:rFonts w:cs="Arial" w:ascii="Arial" w:hAnsi="Arial"/>
                <w:sz w:val="20"/>
              </w:rPr>
              <w:t>Steel Profiles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Metaux Russel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9</w:t>
            </w:r>
          </w:p>
        </w:tc>
        <w:tc>
          <w:tcPr>
            <w:tcW w:w="2702" w:type="dxa"/>
            <w:tcBorders/>
          </w:tcPr>
          <w:p>
            <w:pPr>
              <w:pStyle w:val="Normal"/>
              <w:jc w:val="end"/>
              <w:rPr>
                <w:rFonts w:ascii="Arial" w:hAnsi="Arial" w:cs="Arial"/>
                <w:sz w:val="20"/>
              </w:rPr>
            </w:pPr>
            <w:r>
              <w:rPr>
                <w:rFonts w:cs="Arial" w:ascii="Arial" w:hAnsi="Arial"/>
                <w:sz w:val="20"/>
              </w:rPr>
              <w:t>Bolts &amp; Nuts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Attaches Metrican Ltee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10</w:t>
            </w:r>
          </w:p>
        </w:tc>
        <w:tc>
          <w:tcPr>
            <w:tcW w:w="2702" w:type="dxa"/>
            <w:tcBorders/>
          </w:tcPr>
          <w:p>
            <w:pPr>
              <w:pStyle w:val="Normal"/>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Transformers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11</w:t>
            </w:r>
          </w:p>
        </w:tc>
        <w:tc>
          <w:tcPr>
            <w:tcW w:w="2702" w:type="dxa"/>
            <w:tcBorders/>
          </w:tcPr>
          <w:p>
            <w:pPr>
              <w:pStyle w:val="Normal"/>
              <w:jc w:val="end"/>
              <w:rPr>
                <w:rFonts w:ascii="Arial" w:hAnsi="Arial" w:cs="Arial"/>
                <w:sz w:val="20"/>
              </w:rPr>
            </w:pPr>
            <w:r>
              <w:rPr>
                <w:rFonts w:cs="Arial" w:ascii="Arial" w:hAnsi="Arial"/>
                <w:sz w:val="20"/>
              </w:rPr>
              <w:t xml:space="preserve">Fans </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Krenz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12</w:t>
            </w:r>
          </w:p>
        </w:tc>
        <w:tc>
          <w:tcPr>
            <w:tcW w:w="2702" w:type="dxa"/>
            <w:tcBorders/>
          </w:tcPr>
          <w:p>
            <w:pPr>
              <w:pStyle w:val="Normal"/>
              <w:jc w:val="end"/>
              <w:rPr>
                <w:rFonts w:ascii="Arial" w:hAnsi="Arial" w:cs="Arial"/>
                <w:sz w:val="20"/>
              </w:rPr>
            </w:pPr>
            <w:r>
              <w:rPr>
                <w:rFonts w:cs="Arial" w:ascii="Arial" w:hAnsi="Arial"/>
                <w:sz w:val="20"/>
              </w:rPr>
              <w:t>Arresters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Switchgear</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Coopers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Ohio Brass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13</w:t>
            </w:r>
          </w:p>
        </w:tc>
        <w:tc>
          <w:tcPr>
            <w:tcW w:w="2702" w:type="dxa"/>
            <w:tcBorders/>
          </w:tcPr>
          <w:p>
            <w:pPr>
              <w:pStyle w:val="Normal"/>
              <w:jc w:val="end"/>
              <w:rPr>
                <w:rFonts w:ascii="Arial" w:hAnsi="Arial" w:cs="Arial"/>
                <w:sz w:val="20"/>
              </w:rPr>
            </w:pPr>
            <w:r>
              <w:rPr>
                <w:rFonts w:cs="Arial" w:ascii="Arial" w:hAnsi="Arial"/>
                <w:sz w:val="20"/>
              </w:rPr>
              <w:t>Transformer Bushings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Meramec Elect.Products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Pinetops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14</w:t>
            </w:r>
          </w:p>
        </w:tc>
        <w:tc>
          <w:tcPr>
            <w:tcW w:w="2702" w:type="dxa"/>
            <w:tcBorders/>
          </w:tcPr>
          <w:p>
            <w:pPr>
              <w:pStyle w:val="Normal"/>
              <w:jc w:val="end"/>
              <w:rPr>
                <w:rFonts w:ascii="Arial" w:hAnsi="Arial" w:cs="Arial"/>
                <w:sz w:val="20"/>
              </w:rPr>
            </w:pPr>
            <w:r>
              <w:rPr>
                <w:rFonts w:cs="Arial" w:ascii="Arial" w:hAnsi="Arial"/>
                <w:sz w:val="20"/>
              </w:rPr>
              <w:t>Paint</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Chemcraft Sadolin</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15</w:t>
            </w:r>
          </w:p>
        </w:tc>
        <w:tc>
          <w:tcPr>
            <w:tcW w:w="2702" w:type="dxa"/>
            <w:tcBorders/>
          </w:tcPr>
          <w:p>
            <w:pPr>
              <w:pStyle w:val="Normal"/>
              <w:jc w:val="end"/>
              <w:rPr>
                <w:rFonts w:ascii="Arial" w:hAnsi="Arial" w:cs="Arial"/>
                <w:sz w:val="20"/>
              </w:rPr>
            </w:pPr>
            <w:r>
              <w:rPr>
                <w:rFonts w:cs="Arial" w:ascii="Arial" w:hAnsi="Arial"/>
                <w:sz w:val="20"/>
              </w:rPr>
              <w:t>Wire &amp; cables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Northeast W &amp; Co,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Anixter Canada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16</w:t>
            </w:r>
          </w:p>
        </w:tc>
        <w:tc>
          <w:tcPr>
            <w:tcW w:w="2702" w:type="dxa"/>
            <w:tcBorders/>
          </w:tcPr>
          <w:p>
            <w:pPr>
              <w:pStyle w:val="Normal"/>
              <w:jc w:val="end"/>
              <w:rPr>
                <w:rFonts w:ascii="Arial" w:hAnsi="Arial" w:cs="Arial"/>
                <w:sz w:val="20"/>
              </w:rPr>
            </w:pPr>
            <w:r>
              <w:rPr>
                <w:rFonts w:cs="Arial" w:ascii="Arial" w:hAnsi="Arial"/>
                <w:sz w:val="20"/>
              </w:rPr>
              <w:t>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Qualitrol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Kihlstrom AB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Hydran</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Syprotec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17</w:t>
            </w:r>
          </w:p>
        </w:tc>
        <w:tc>
          <w:tcPr>
            <w:tcW w:w="2702" w:type="dxa"/>
            <w:tcBorders/>
          </w:tcPr>
          <w:p>
            <w:pPr>
              <w:pStyle w:val="Normal"/>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Weidmann Sys. inter.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18</w:t>
            </w:r>
          </w:p>
        </w:tc>
        <w:tc>
          <w:tcPr>
            <w:tcW w:w="2702" w:type="dxa"/>
            <w:tcBorders/>
          </w:tcPr>
          <w:p>
            <w:pPr>
              <w:pStyle w:val="Normal"/>
              <w:jc w:val="end"/>
              <w:rPr>
                <w:rFonts w:ascii="Arial" w:hAnsi="Arial" w:cs="Arial"/>
                <w:sz w:val="20"/>
              </w:rPr>
            </w:pPr>
            <w:r>
              <w:rPr>
                <w:rFonts w:cs="Arial" w:ascii="Arial" w:hAnsi="Arial"/>
                <w:sz w:val="20"/>
              </w:rPr>
              <w:t>Oil transformer</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Shell</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19</w:t>
            </w:r>
          </w:p>
        </w:tc>
        <w:tc>
          <w:tcPr>
            <w:tcW w:w="2702" w:type="dxa"/>
            <w:tcBorders/>
          </w:tcPr>
          <w:p>
            <w:pPr>
              <w:pStyle w:val="Normal"/>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Thermoflex</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20</w:t>
            </w:r>
          </w:p>
        </w:tc>
        <w:tc>
          <w:tcPr>
            <w:tcW w:w="2702" w:type="dxa"/>
            <w:tcBorders/>
          </w:tcPr>
          <w:p>
            <w:pPr>
              <w:pStyle w:val="Normal"/>
              <w:jc w:val="end"/>
              <w:rPr>
                <w:rFonts w:ascii="Arial" w:hAnsi="Arial" w:cs="Arial"/>
                <w:sz w:val="20"/>
              </w:rPr>
            </w:pPr>
            <w:r>
              <w:rPr>
                <w:rFonts w:cs="Arial" w:ascii="Arial" w:hAnsi="Arial"/>
                <w:sz w:val="20"/>
              </w:rPr>
              <w:t>Electrical supply</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Nedco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Pier Engineering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21</w:t>
            </w:r>
          </w:p>
        </w:tc>
        <w:tc>
          <w:tcPr>
            <w:tcW w:w="2702" w:type="dxa"/>
            <w:tcBorders/>
          </w:tcPr>
          <w:p>
            <w:pPr>
              <w:pStyle w:val="Normal"/>
              <w:jc w:val="end"/>
              <w:rPr>
                <w:rFonts w:ascii="Arial" w:hAnsi="Arial" w:cs="Arial"/>
                <w:sz w:val="20"/>
              </w:rPr>
            </w:pPr>
            <w:r>
              <w:rPr>
                <w:rFonts w:cs="Arial" w:ascii="Arial" w:hAnsi="Arial"/>
                <w:sz w:val="20"/>
              </w:rPr>
              <w:t>Nameplates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Reproduction BLB</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22</w:t>
            </w:r>
          </w:p>
        </w:tc>
        <w:tc>
          <w:tcPr>
            <w:tcW w:w="2702" w:type="dxa"/>
            <w:tcBorders/>
          </w:tcPr>
          <w:p>
            <w:pPr>
              <w:pStyle w:val="Normal"/>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Code Technologies Inc.</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jc w:val="end"/>
              <w:rPr>
                <w:rFonts w:ascii="Arial" w:hAnsi="Arial" w:cs="Arial"/>
                <w:sz w:val="20"/>
              </w:rPr>
            </w:pPr>
            <w:r>
              <w:rPr>
                <w:rFonts w:cs="Arial" w:ascii="Arial" w:hAnsi="Arial"/>
                <w:sz w:val="20"/>
              </w:rPr>
              <w:t>23</w:t>
            </w:r>
          </w:p>
        </w:tc>
        <w:tc>
          <w:tcPr>
            <w:tcW w:w="2702" w:type="dxa"/>
            <w:tcBorders/>
          </w:tcPr>
          <w:p>
            <w:pPr>
              <w:pStyle w:val="Normal"/>
              <w:jc w:val="end"/>
              <w:rPr>
                <w:rFonts w:ascii="Arial" w:hAnsi="Arial" w:cs="Arial"/>
                <w:sz w:val="20"/>
              </w:rPr>
            </w:pPr>
            <w:r>
              <w:rPr>
                <w:rFonts w:cs="Arial" w:ascii="Arial" w:hAnsi="Arial"/>
                <w:sz w:val="20"/>
              </w:rPr>
              <w:t>Control cabinets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ABB Alamo</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46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jc w:val="end"/>
              <w:rPr>
                <w:rFonts w:ascii="Arial" w:hAnsi="Arial" w:cs="Arial"/>
                <w:sz w:val="20"/>
              </w:rPr>
            </w:pPr>
            <w:r>
              <w:rPr>
                <w:rFonts w:cs="Arial" w:ascii="Arial" w:hAnsi="Arial"/>
                <w:sz w:val="20"/>
              </w:rPr>
              <w:t>Others</w:t>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jc w:val="end"/>
              <w:rPr>
                <w:rFonts w:ascii="Arial" w:hAnsi="Arial" w:cs="Arial"/>
                <w:sz w:val="20"/>
              </w:rPr>
            </w:pPr>
            <w:r>
              <w:rPr>
                <w:rFonts w:cs="Arial" w:ascii="Arial" w:hAnsi="Arial"/>
                <w:sz w:val="20"/>
              </w:rPr>
              <w:t>70 suppliers</w:t>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r>
        <w:trPr/>
        <w:tc>
          <w:tcPr>
            <w:tcW w:w="993" w:type="dxa"/>
            <w:tcBorders/>
          </w:tcPr>
          <w:p>
            <w:pPr>
              <w:pStyle w:val="Normal"/>
              <w:snapToGrid w:val="false"/>
              <w:rPr>
                <w:rFonts w:ascii="Arial" w:hAnsi="Arial" w:cs="Arial"/>
                <w:sz w:val="20"/>
              </w:rPr>
            </w:pPr>
            <w:r>
              <w:rPr>
                <w:rFonts w:cs="Arial" w:ascii="Arial" w:hAnsi="Arial"/>
                <w:sz w:val="20"/>
              </w:rPr>
            </w:r>
          </w:p>
        </w:tc>
        <w:tc>
          <w:tcPr>
            <w:tcW w:w="2702"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2477" w:type="dxa"/>
            <w:tcBorders/>
          </w:tcPr>
          <w:p>
            <w:pPr>
              <w:pStyle w:val="Normal"/>
              <w:snapToGrid w:val="false"/>
              <w:rPr>
                <w:rFonts w:ascii="Arial" w:hAnsi="Arial" w:cs="Arial"/>
                <w:sz w:val="20"/>
              </w:rPr>
            </w:pPr>
            <w:r>
              <w:rPr>
                <w:rFonts w:cs="Arial" w:ascii="Arial" w:hAnsi="Arial"/>
                <w:sz w:val="20"/>
              </w:rPr>
            </w:r>
          </w:p>
        </w:tc>
        <w:tc>
          <w:tcPr>
            <w:tcW w:w="993" w:type="dxa"/>
            <w:tcBorders/>
          </w:tcPr>
          <w:p>
            <w:pPr>
              <w:pStyle w:val="Normal"/>
              <w:snapToGrid w:val="false"/>
              <w:rPr>
                <w:rFonts w:ascii="Arial" w:hAnsi="Arial" w:cs="Arial"/>
                <w:sz w:val="20"/>
              </w:rPr>
            </w:pPr>
            <w:r>
              <w:rPr>
                <w:rFonts w:cs="Arial" w:ascii="Arial" w:hAnsi="Arial"/>
                <w:sz w:val="20"/>
              </w:rPr>
            </w:r>
          </w:p>
        </w:tc>
        <w:tc>
          <w:tcPr>
            <w:tcW w:w="1473" w:type="dxa"/>
            <w:tcBorders/>
          </w:tcPr>
          <w:p>
            <w:pPr>
              <w:pStyle w:val="Normal"/>
              <w:snapToGrid w:val="false"/>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rPr>
          <w:sz w:val="20"/>
        </w:rPr>
      </w:pPr>
      <w:r>
        <w:rPr>
          <w:sz w:val="20"/>
        </w:rPr>
      </w:r>
      <w:r>
        <w:br w:type="page"/>
      </w: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sz w:val="20"/>
          <w:u w:val="single"/>
        </w:rPr>
      </w:pPr>
      <w:r>
        <w:rPr>
          <w:sz w:val="20"/>
        </w:rPr>
        <w:t xml:space="preserve">EXHIBIT C </w:t>
      </w:r>
      <w:r>
        <w:rPr>
          <w:sz w:val="20"/>
          <w:u w:val="single"/>
        </w:rPr>
        <w:t>GUARANTEED UNIT DELIVERY DATES</w:t>
      </w:r>
      <w:r>
        <w:fldChar w:fldCharType="begin"/>
      </w:r>
      <w:r>
        <w:rPr/>
        <w:instrText xml:space="preserve"> TC "EXHIBIT C GUARANTEED UNIT DELIVERY DATES" \l 1 </w:instrText>
      </w:r>
      <w:r>
        <w:rPr/>
        <w:fldChar w:fldCharType="separate"/>
      </w:r>
      <w:r>
        <w:rPr/>
      </w:r>
      <w:r>
        <w:rPr/>
        <w:fldChar w:fldCharType="end"/>
      </w:r>
    </w:p>
    <w:p>
      <w:pPr>
        <w:pStyle w:val="Normal"/>
        <w:tabs>
          <w:tab w:val="clear" w:pos="720"/>
          <w:tab w:val="center" w:pos="5040" w:leader="none"/>
        </w:tabs>
        <w:spacing w:lineRule="auto" w:line="300"/>
        <w:jc w:val="center"/>
        <w:rPr>
          <w:sz w:val="20"/>
          <w:u w:val="single"/>
        </w:rPr>
      </w:pPr>
      <w:r>
        <w:rPr>
          <w:sz w:val="20"/>
          <w:u w:val="single"/>
        </w:rPr>
      </w:r>
    </w:p>
    <w:p>
      <w:pPr>
        <w:pStyle w:val="Normal"/>
        <w:spacing w:lineRule="auto" w:line="300"/>
        <w:jc w:val="both"/>
        <w:rPr>
          <w:b/>
          <w:sz w:val="20"/>
        </w:rPr>
      </w:pPr>
      <w:r>
        <w:rPr>
          <w:b/>
          <w:sz w:val="20"/>
        </w:rPr>
        <w:t>[Note:  This Exhibit should be amended on a case-by-case basis depending upon the type of transformer being acquired]</w:t>
      </w:r>
    </w:p>
    <w:p>
      <w:pPr>
        <w:pStyle w:val="Normal"/>
        <w:spacing w:lineRule="auto" w:line="300"/>
        <w:jc w:val="both"/>
        <w:rPr>
          <w:b/>
          <w:sz w:val="20"/>
        </w:rPr>
      </w:pPr>
      <w:r>
        <w:rPr>
          <w:b/>
          <w:sz w:val="20"/>
        </w:rPr>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TOC1"/>
              <w:tabs>
                <w:tab w:val="clear" w:pos="10070"/>
              </w:tabs>
              <w:spacing w:lineRule="auto" w:line="300"/>
              <w:rPr/>
            </w:pPr>
            <w:r>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9517-5</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9517-6</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tabs>
                <w:tab w:val="clear" w:pos="10070"/>
              </w:tabs>
              <w:spacing w:lineRule="auto" w:line="300"/>
              <w:rPr/>
            </w:pPr>
            <w:r>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jc w:val="both"/>
              <w:rPr>
                <w:sz w:val="20"/>
              </w:rPr>
            </w:pPr>
            <w:r>
              <w:rPr>
                <w:sz w:val="20"/>
              </w:rPr>
              <w:t>LAS VEGAS, NV</w:t>
            </w:r>
          </w:p>
        </w:tc>
      </w:tr>
    </w:tbl>
    <w:p>
      <w:pPr>
        <w:pStyle w:val="Normal"/>
        <w:spacing w:lineRule="auto" w:line="300"/>
        <w:jc w:val="both"/>
        <w:rPr>
          <w:sz w:val="20"/>
        </w:rPr>
      </w:pPr>
      <w:r>
        <w:rPr>
          <w:sz w:val="20"/>
        </w:rPr>
      </w:r>
      <w:r>
        <w:br w:type="page"/>
      </w:r>
    </w:p>
    <w:p>
      <w:pPr>
        <w:pStyle w:val="Normal"/>
        <w:spacing w:lineRule="auto" w:line="300"/>
        <w:jc w:val="center"/>
        <w:rPr>
          <w:sz w:val="20"/>
        </w:rPr>
      </w:pPr>
      <w:r>
        <w:rPr>
          <w:sz w:val="20"/>
        </w:rPr>
        <w:t xml:space="preserve">EXHIBIT D  </w:t>
      </w:r>
      <w:r>
        <w:rPr>
          <w:sz w:val="20"/>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sz w:val="20"/>
        </w:rPr>
      </w:pPr>
      <w:r>
        <w:rPr>
          <w:sz w:val="20"/>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pStyle w:val="Normal"/>
        <w:spacing w:lineRule="auto" w:line="300"/>
        <w:jc w:val="both"/>
        <w:rPr>
          <w:sz w:val="20"/>
        </w:rPr>
      </w:pPr>
      <w:r>
        <w:rPr>
          <w:sz w:val="20"/>
        </w:rPr>
      </w:r>
      <w:r>
        <w:br w:type="page"/>
      </w:r>
    </w:p>
    <w:p>
      <w:pPr>
        <w:pStyle w:val="Normal"/>
        <w:spacing w:lineRule="auto" w:line="300"/>
        <w:jc w:val="center"/>
        <w:rPr>
          <w:sz w:val="20"/>
        </w:rPr>
      </w:pPr>
      <w:r>
        <w:rPr>
          <w:sz w:val="20"/>
        </w:rPr>
        <w:t xml:space="preserve">EXHIBIT E  </w:t>
      </w:r>
      <w:r>
        <w:rPr>
          <w:sz w:val="20"/>
          <w:u w:val="single"/>
        </w:rPr>
        <w:t>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rPr>
          <w:sz w:val="20"/>
        </w:rPr>
      </w:pPr>
      <w:r>
        <w:rPr>
          <w:sz w:val="20"/>
        </w:rPr>
        <w:t>Core megger  (Core form designs only)</w:t>
      </w:r>
    </w:p>
    <w:p>
      <w:pPr>
        <w:pStyle w:val="Normal"/>
        <w:numPr>
          <w:ilvl w:val="0"/>
          <w:numId w:val="29"/>
        </w:numPr>
        <w:suppressAutoHyphens w:val="true"/>
        <w:rPr>
          <w:spacing w:val="-3"/>
          <w:sz w:val="20"/>
        </w:rPr>
      </w:pPr>
      <w:r>
        <w:rPr>
          <w:spacing w:val="-3"/>
          <w:sz w:val="20"/>
        </w:rPr>
        <w:t>CT ratio and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pStyle w:val="Normal"/>
        <w:spacing w:lineRule="auto" w:line="300"/>
        <w:jc w:val="both"/>
        <w:rPr>
          <w:spacing w:val="-3"/>
          <w:sz w:val="20"/>
        </w:rPr>
      </w:pPr>
      <w:r>
        <w:rPr>
          <w:spacing w:val="-3"/>
          <w:sz w:val="20"/>
        </w:rPr>
      </w:r>
      <w:r>
        <w:br w:type="page"/>
      </w:r>
    </w:p>
    <w:p>
      <w:pPr>
        <w:pStyle w:val="Normal"/>
        <w:spacing w:lineRule="auto" w:line="300"/>
        <w:jc w:val="center"/>
        <w:rPr>
          <w:sz w:val="20"/>
        </w:rPr>
      </w:pPr>
      <w:r>
        <w:rPr>
          <w:sz w:val="20"/>
        </w:rPr>
        <w:t xml:space="preserve">EXHIBIT F  </w:t>
      </w:r>
      <w:r>
        <w:rPr>
          <w:sz w:val="20"/>
          <w:u w:val="single"/>
        </w:rPr>
        <w:t>NOT USED</w:t>
      </w:r>
      <w:r>
        <w:fldChar w:fldCharType="begin"/>
      </w:r>
      <w:r>
        <w:rPr/>
        <w:instrText xml:space="preserve"> TC "EXHIBIT F  NOT USED" \l 1 </w:instrText>
      </w:r>
      <w:r>
        <w:rPr/>
        <w:fldChar w:fldCharType="separate"/>
      </w:r>
      <w:r>
        <w:rPr/>
      </w:r>
      <w:r>
        <w:rPr/>
        <w:fldChar w:fldCharType="end"/>
      </w:r>
      <w:r>
        <w:br w:type="page"/>
      </w:r>
    </w:p>
    <w:p>
      <w:pPr>
        <w:pStyle w:val="Normal"/>
        <w:spacing w:lineRule="auto" w:line="300"/>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4"/>
        </w:numPr>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4"/>
        </w:numPr>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7"/>
        </w:numPr>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4"/>
        </w:numPr>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pStyle w:val="Normal"/>
        <w:spacing w:lineRule="auto" w:line="300"/>
        <w:jc w:val="both"/>
        <w:rPr>
          <w:sz w:val="20"/>
        </w:rPr>
      </w:pPr>
      <w:r>
        <w:rPr>
          <w:sz w:val="20"/>
        </w:rPr>
      </w:r>
      <w:r>
        <w:br w:type="page"/>
      </w:r>
    </w:p>
    <w:p>
      <w:pPr>
        <w:pStyle w:val="Normal"/>
        <w:spacing w:lineRule="auto" w:line="300"/>
        <w:jc w:val="center"/>
        <w:rPr>
          <w:sz w:val="20"/>
        </w:rPr>
      </w:pPr>
      <w:r>
        <w:rPr>
          <w:sz w:val="20"/>
        </w:rPr>
        <w:t xml:space="preserve">EXHIBIT G-2  </w:t>
      </w:r>
      <w:r>
        <w:rPr>
          <w:sz w:val="20"/>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8"/>
        </w:numPr>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8"/>
        </w:numPr>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8"/>
        </w:numPr>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8"/>
        </w:numPr>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pStyle w:val="Normal"/>
        <w:spacing w:lineRule="auto" w:line="300"/>
        <w:ind w:firstLine="720" w:end="0"/>
        <w:jc w:val="both"/>
        <w:rPr>
          <w:sz w:val="20"/>
        </w:rPr>
      </w:pPr>
      <w:r>
        <w:rPr>
          <w:sz w:val="20"/>
        </w:rPr>
      </w:r>
      <w:r>
        <w:br w:type="page"/>
      </w:r>
    </w:p>
    <w:p>
      <w:pPr>
        <w:pStyle w:val="Normal"/>
        <w:spacing w:lineRule="auto" w:line="300"/>
        <w:ind w:firstLine="720" w:end="0"/>
        <w:jc w:val="center"/>
        <w:rPr>
          <w:sz w:val="20"/>
        </w:rPr>
      </w:pPr>
      <w:r>
        <w:rPr>
          <w:sz w:val="20"/>
        </w:rPr>
        <w:t xml:space="preserve">EXHIBIT H  </w:t>
      </w:r>
      <w:r>
        <w:rPr>
          <w:sz w:val="20"/>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r>
      <w:r>
        <w:br w:type="page"/>
      </w:r>
    </w:p>
    <w:p>
      <w:pPr>
        <w:pStyle w:val="Normal"/>
        <w:spacing w:lineRule="auto" w:line="300"/>
        <w:jc w:val="center"/>
        <w:rPr>
          <w:sz w:val="20"/>
        </w:rPr>
      </w:pPr>
      <w:r>
        <w:rPr>
          <w:sz w:val="20"/>
        </w:rPr>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r>
        <w:br w:type="page"/>
      </w:r>
    </w:p>
    <w:p>
      <w:pPr>
        <w:pStyle w:val="Normal"/>
        <w:jc w:val="center"/>
        <w:rPr>
          <w:sz w:val="20"/>
          <w:u w:val="single"/>
        </w:rPr>
      </w:pPr>
      <w:r>
        <w:rPr>
          <w:sz w:val="20"/>
        </w:rPr>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sz w:val="20"/>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ind w:firstLine="720" w:end="0"/>
        <w:jc w:val="both"/>
        <w:rPr>
          <w:sz w:val="20"/>
        </w:rPr>
      </w:pPr>
      <w:r>
        <w:rPr>
          <w:b/>
          <w:sz w:val="20"/>
        </w:rPr>
        <w:t>1.3</w:t>
        <w:tab/>
        <w:t>Quality Plans</w:t>
      </w:r>
    </w:p>
    <w:p>
      <w:pPr>
        <w:pStyle w:val="Normal"/>
        <w:jc w:val="both"/>
        <w:rPr>
          <w:sz w:val="20"/>
        </w:rPr>
      </w:pPr>
      <w:r>
        <w:rPr>
          <w:sz w:val="20"/>
        </w:rPr>
      </w:r>
    </w:p>
    <w:p>
      <w:pPr>
        <w:pStyle w:val="Normal"/>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
          <w:sz w:val="20"/>
        </w:rPr>
        <w:t>[Quality Assurance Manager]</w:t>
      </w:r>
      <w:r>
        <w:rPr>
          <w:sz w:val="20"/>
        </w:rPr>
        <w:t xml:space="preserve"> </w:t>
      </w:r>
      <w:r>
        <w:rPr>
          <w:b/>
          <w:sz w:val="20"/>
        </w:rPr>
        <w:t>[Term not defined]</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sz w:val="20"/>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Indicate where Vendor's services will be employed (e.g. Vendor </w:t>
      </w:r>
      <w:r>
        <w:rPr>
          <w:b/>
          <w:sz w:val="20"/>
        </w:rPr>
        <w:t xml:space="preserve">[NDT] [Term not defined] </w:t>
      </w:r>
      <w:r>
        <w:rPr>
          <w:sz w:val="20"/>
        </w:rPr>
        <w:t>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pStyle w:val="Normal"/>
        <w:jc w:val="both"/>
        <w:rPr>
          <w:sz w:val="20"/>
        </w:rPr>
      </w:pPr>
      <w:r>
        <w:rPr>
          <w:sz w:val="20"/>
        </w:rPr>
      </w:r>
      <w:r>
        <w:br w:type="page"/>
      </w:r>
    </w:p>
    <w:p>
      <w:pPr>
        <w:pStyle w:val="Normal"/>
        <w:jc w:val="center"/>
        <w:rPr>
          <w:sz w:val="20"/>
        </w:rPr>
      </w:pPr>
      <w:r>
        <w:rPr>
          <w:sz w:val="20"/>
        </w:rPr>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pStyle w:val="Normal"/>
        <w:tabs>
          <w:tab w:val="clear" w:pos="720"/>
          <w:tab w:val="center" w:pos="5040" w:leader="none"/>
        </w:tabs>
        <w:jc w:val="both"/>
        <w:rPr>
          <w:sz w:val="20"/>
        </w:rPr>
      </w:pPr>
      <w:r>
        <w:rPr>
          <w:sz w:val="20"/>
        </w:rPr>
      </w:r>
      <w:r>
        <w:br w:type="page"/>
      </w:r>
    </w:p>
    <w:p>
      <w:pPr>
        <w:pStyle w:val="Normal"/>
        <w:tabs>
          <w:tab w:val="clear" w:pos="720"/>
          <w:tab w:val="center" w:pos="5040" w:leader="none"/>
        </w:tabs>
        <w:jc w:val="center"/>
        <w:rPr>
          <w:sz w:val="20"/>
        </w:rPr>
      </w:pPr>
      <w:r>
        <w:rPr>
          <w:sz w:val="20"/>
        </w:rPr>
        <w:t xml:space="preserve">EXHIBIT L  </w:t>
      </w:r>
      <w:r>
        <w:rPr>
          <w:sz w:val="20"/>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center"/>
        <w:rPr>
          <w:sz w:val="20"/>
        </w:rPr>
      </w:pPr>
      <w:r>
        <w:rPr>
          <w:sz w:val="20"/>
        </w:rPr>
      </w:r>
      <w:r>
        <w:br w:type="page"/>
      </w:r>
    </w:p>
    <w:p>
      <w:pPr>
        <w:pStyle w:val="Normal"/>
        <w:spacing w:lineRule="auto" w:line="300"/>
        <w:jc w:val="center"/>
        <w:rPr>
          <w:sz w:val="20"/>
          <w:u w:val="single"/>
        </w:rPr>
      </w:pPr>
      <w:r>
        <w:rPr>
          <w:sz w:val="20"/>
        </w:rPr>
        <w:t xml:space="preserve">EXHIBIT M  </w:t>
      </w:r>
      <w:r>
        <w:rPr>
          <w:sz w:val="20"/>
          <w:u w:val="single"/>
        </w:rPr>
        <w:t>NOT USED</w:t>
      </w:r>
      <w:r>
        <w:fldChar w:fldCharType="begin"/>
      </w:r>
      <w:r>
        <w:rPr/>
        <w:instrText xml:space="preserve"> TC "EXHIBIT M  NOT USED" \l 1 </w:instrText>
      </w:r>
      <w:r>
        <w:rPr/>
        <w:fldChar w:fldCharType="separate"/>
      </w:r>
      <w:r>
        <w:rPr/>
      </w:r>
      <w:r>
        <w:rPr/>
        <w:fldChar w:fldCharType="end"/>
      </w:r>
      <w:r>
        <w:br w:type="page"/>
      </w:r>
    </w:p>
    <w:p>
      <w:pPr>
        <w:pStyle w:val="Normal"/>
        <w:spacing w:lineRule="auto" w:line="300"/>
        <w:jc w:val="center"/>
        <w:rPr/>
      </w:pPr>
      <w:r>
        <w:rPr>
          <w:sz w:val="20"/>
        </w:rPr>
        <w:t xml:space="preserve">EXHIBIT M - 1  </w:t>
      </w:r>
      <w:r>
        <w:rPr>
          <w:sz w:val="20"/>
          <w:u w:val="single"/>
        </w:rPr>
        <w:t>SPARE PARTS</w:t>
      </w:r>
      <w:r>
        <w:fldChar w:fldCharType="begin"/>
      </w:r>
      <w:r>
        <w:rPr/>
        <w:instrText xml:space="preserve"> TC "EXHIBIT M - 1  SPARE PARTS" \l 1 </w:instrText>
      </w:r>
      <w:r>
        <w:rPr/>
        <w:fldChar w:fldCharType="separate"/>
      </w:r>
      <w:r>
        <w:rPr/>
      </w:r>
      <w:r>
        <w:rPr/>
        <w:fldChar w:fldCharType="end"/>
      </w:r>
      <w:r>
        <w:rPr>
          <w:sz w:val="20"/>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tabs>
                <w:tab w:val="clear" w:pos="10070"/>
              </w:tabs>
              <w:spacing w:lineRule="auto" w:line="300"/>
              <w:rPr>
                <w:b/>
              </w:rPr>
            </w:pPr>
            <w:r>
              <w:rPr>
                <w:b/>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rPr>
                <w:sz w:val="20"/>
              </w:rPr>
            </w:pPr>
            <w:r>
              <w:rPr>
                <w:sz w:val="20"/>
              </w:rPr>
              <w:t>$  650</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t>[Note:  Is Purchaser acquiring spare parts from ABB on Westdeutsche LB?]</w:t>
      </w:r>
    </w:p>
    <w:p>
      <w:pPr>
        <w:pStyle w:val="Normal"/>
        <w:spacing w:lineRule="auto" w:line="300"/>
        <w:rPr>
          <w:b/>
          <w:sz w:val="20"/>
        </w:rPr>
      </w:pPr>
      <w:r>
        <w:rPr>
          <w:b/>
          <w:sz w:val="20"/>
        </w:rPr>
      </w:r>
      <w:r>
        <w:br w:type="page"/>
      </w:r>
    </w:p>
    <w:p>
      <w:pPr>
        <w:pStyle w:val="TOC1"/>
        <w:tabs>
          <w:tab w:val="clear" w:pos="10070"/>
        </w:tabs>
        <w:spacing w:lineRule="auto" w:line="300"/>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sz w:val="20"/>
        </w:rPr>
      </w:pPr>
      <w:r>
        <w:rPr>
          <w:sz w:val="20"/>
        </w:rPr>
        <w:t xml:space="preserve">EXHIBIT N – </w:t>
      </w:r>
      <w:r>
        <w:rPr>
          <w:sz w:val="20"/>
          <w:u w:val="single"/>
        </w:rPr>
        <w:t>PURCHASE AMOUNT RECONCILIATION</w:t>
      </w:r>
      <w:r>
        <w:fldChar w:fldCharType="begin"/>
      </w:r>
      <w:r>
        <w:rPr/>
        <w:instrText xml:space="preserve"> TC "EXHIBIT N – PURCHASE AMOUNT RECONCILIATION" \l 1 </w:instrText>
      </w:r>
      <w:r>
        <w:rPr/>
        <w:fldChar w:fldCharType="separate"/>
      </w:r>
      <w:r>
        <w:rPr/>
      </w:r>
      <w:r>
        <w:rPr/>
        <w:fldChar w:fldCharType="end"/>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TituloEquipamento"/>
        <w:ind w:start="0" w:end="0"/>
        <w:jc w:val="start"/>
        <w:rPr>
          <w:rFonts w:ascii="Univers" w:hAnsi="Univers" w:cs="Univers"/>
          <w:sz w:val="20"/>
          <w:lang w:val="en-US"/>
        </w:rPr>
      </w:pPr>
      <w:r>
        <w:rPr>
          <w:rFonts w:cs="Univers" w:ascii="Univers" w:hAnsi="Univers"/>
          <w:sz w:val="20"/>
          <w:lang w:val="en-US"/>
        </w:rPr>
      </w:r>
    </w:p>
    <w:p>
      <w:pPr>
        <w:pStyle w:val="Normal"/>
        <w:spacing w:lineRule="auto" w:line="300"/>
        <w:jc w:val="both"/>
        <w:rPr>
          <w:rFonts w:ascii="Univers" w:hAnsi="Univers" w:cs="Univers"/>
          <w:sz w:val="20"/>
          <w:lang w:val="en-US"/>
        </w:rPr>
      </w:pPr>
      <w:r>
        <w:rPr>
          <w:rFonts w:cs="Univers" w:ascii="Univers" w:hAnsi="Univers"/>
          <w:sz w:val="20"/>
          <w:lang w:val="en-US"/>
        </w:rPr>
      </w:r>
    </w:p>
    <w:p>
      <w:pPr>
        <w:pStyle w:val="Normal"/>
        <w:rPr>
          <w:b/>
          <w:sz w:val="20"/>
        </w:rPr>
      </w:pPr>
      <w:r>
        <w:rPr>
          <w:b/>
          <w:sz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Table Item</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Primary Voltage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 Neg. Number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w:t>
            </w:r>
          </w:p>
          <w:p>
            <w:pPr>
              <w:pStyle w:val="Normal"/>
              <w:jc w:val="center"/>
              <w:rPr>
                <w:b/>
              </w:rPr>
            </w:pPr>
            <w:r>
              <w:rPr>
                <w:b/>
              </w:rPr>
              <w:t>Data Sheet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t>Price/Each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1 (3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 xml:space="preserve">138 to 13.8-13.8 (64/85/106) </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FCC011400-2C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$562,300.00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2 (3 winding)</w:t>
            </w:r>
          </w:p>
          <w:p>
            <w:pPr>
              <w:pStyle w:val="Normal"/>
              <w:rPr/>
            </w:pPr>
            <w:r>
              <w:rPr/>
              <w:t>Quantity = 6</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230/115 kV to 13.8-13.8 kV (64/85/106) MVA</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FC011400-1C</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$786,000.00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3 (2 winding)</w:t>
            </w:r>
          </w:p>
          <w:p>
            <w:pPr>
              <w:pStyle w:val="Normal"/>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138/13.8 kV (84/112/140)</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FC011400-2D-LS</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HU-Enron-2D-LS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t>$782,000.00</w:t>
            </w:r>
          </w:p>
        </w:tc>
      </w:tr>
    </w:tbl>
    <w:p>
      <w:pPr>
        <w:pStyle w:val="Normal"/>
        <w:spacing w:lineRule="auto" w:line="300"/>
        <w:jc w:val="both"/>
        <w:rPr>
          <w:sz w:val="20"/>
        </w:rPr>
      </w:pPr>
      <w:r>
        <w:rPr>
          <w:sz w:val="20"/>
        </w:rPr>
      </w:r>
      <w:r>
        <w:br w:type="page"/>
      </w:r>
    </w:p>
    <w:p>
      <w:pPr>
        <w:pStyle w:val="Normal"/>
        <w:spacing w:lineRule="auto" w:line="300"/>
        <w:jc w:val="center"/>
        <w:rPr>
          <w:sz w:val="20"/>
          <w:u w:val="single"/>
        </w:rPr>
      </w:pPr>
      <w:r>
        <w:rPr>
          <w:sz w:val="20"/>
        </w:rPr>
        <w:t xml:space="preserve">EXHIBIT N-2  </w:t>
      </w:r>
      <w:r>
        <w:rPr>
          <w:sz w:val="20"/>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pStyle w:val="Normal"/>
        <w:spacing w:lineRule="auto" w:line="300"/>
        <w:rPr>
          <w:sz w:val="20"/>
        </w:rPr>
      </w:pPr>
      <w:r>
        <w:rPr>
          <w:sz w:val="20"/>
        </w:rPr>
      </w:r>
      <w:r>
        <w:br w:type="page"/>
      </w:r>
    </w:p>
    <w:p>
      <w:pPr>
        <w:pStyle w:val="Norma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9"/>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9"/>
        </w:numPr>
        <w:suppressAutoHyphens w:val="true"/>
        <w:rPr>
          <w:spacing w:val="-3"/>
          <w:sz w:val="20"/>
        </w:rPr>
      </w:pPr>
      <w:r>
        <w:rPr>
          <w:spacing w:val="-3"/>
          <w:sz w:val="20"/>
        </w:rPr>
        <w:t>Clean and release rail car.  Any demurrage charges are to Seller’s account.</w:t>
      </w:r>
    </w:p>
    <w:p>
      <w:pPr>
        <w:pStyle w:val="Normal"/>
        <w:numPr>
          <w:ilvl w:val="0"/>
          <w:numId w:val="29"/>
        </w:numPr>
        <w:suppressAutoHyphens w:val="true"/>
        <w:rPr>
          <w:spacing w:val="-3"/>
          <w:sz w:val="20"/>
        </w:rPr>
      </w:pPr>
      <w:r>
        <w:rPr>
          <w:spacing w:val="-3"/>
          <w:sz w:val="20"/>
        </w:rPr>
        <w:t>Conduct receiving inspection in accordance with Vendor specification.</w:t>
      </w:r>
    </w:p>
    <w:p>
      <w:pPr>
        <w:pStyle w:val="Normal"/>
        <w:numPr>
          <w:ilvl w:val="0"/>
          <w:numId w:val="29"/>
        </w:numPr>
        <w:suppressAutoHyphens w:val="true"/>
        <w:rPr>
          <w:spacing w:val="-3"/>
          <w:sz w:val="20"/>
        </w:rPr>
      </w:pPr>
      <w:r>
        <w:rPr>
          <w:spacing w:val="-3"/>
          <w:sz w:val="20"/>
        </w:rPr>
        <w:t>Clean and release rail car</w:t>
      </w:r>
    </w:p>
    <w:p>
      <w:pPr>
        <w:pStyle w:val="Normal"/>
        <w:numPr>
          <w:ilvl w:val="0"/>
          <w:numId w:val="29"/>
        </w:numPr>
        <w:suppressAutoHyphens w:val="true"/>
        <w:rPr>
          <w:spacing w:val="-3"/>
          <w:sz w:val="20"/>
        </w:rPr>
      </w:pPr>
      <w:r>
        <w:rPr>
          <w:spacing w:val="-3"/>
          <w:sz w:val="20"/>
        </w:rPr>
        <w:t>Conduct receiving inspection in accordance with ABB IL 48-500-01G</w:t>
      </w:r>
    </w:p>
    <w:p>
      <w:pPr>
        <w:pStyle w:val="Normal"/>
        <w:numPr>
          <w:ilvl w:val="0"/>
          <w:numId w:val="29"/>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9"/>
        </w:numPr>
        <w:suppressAutoHyphens w:val="true"/>
        <w:rPr>
          <w:spacing w:val="-3"/>
          <w:sz w:val="20"/>
        </w:rPr>
      </w:pPr>
      <w:r>
        <w:rPr>
          <w:spacing w:val="-3"/>
          <w:sz w:val="20"/>
        </w:rPr>
        <w:t>Assemble, connect and tape as necessary all bushings</w:t>
      </w:r>
    </w:p>
    <w:p>
      <w:pPr>
        <w:pStyle w:val="Normal"/>
        <w:numPr>
          <w:ilvl w:val="0"/>
          <w:numId w:val="29"/>
        </w:numPr>
        <w:suppressAutoHyphens w:val="true"/>
        <w:rPr>
          <w:spacing w:val="-3"/>
          <w:sz w:val="20"/>
        </w:rPr>
      </w:pPr>
      <w:r>
        <w:rPr>
          <w:spacing w:val="-3"/>
          <w:sz w:val="20"/>
        </w:rPr>
        <w:t>Hang and brace radiators, fans and pumps.</w:t>
      </w:r>
    </w:p>
    <w:p>
      <w:pPr>
        <w:pStyle w:val="Normal"/>
        <w:numPr>
          <w:ilvl w:val="0"/>
          <w:numId w:val="29"/>
        </w:numPr>
        <w:suppressAutoHyphens w:val="true"/>
        <w:rPr>
          <w:spacing w:val="-3"/>
          <w:sz w:val="20"/>
        </w:rPr>
      </w:pPr>
      <w:r>
        <w:rPr>
          <w:spacing w:val="-3"/>
          <w:sz w:val="20"/>
        </w:rPr>
        <w:t>Mount COPS Tank</w:t>
      </w:r>
    </w:p>
    <w:p>
      <w:pPr>
        <w:pStyle w:val="Normal"/>
        <w:numPr>
          <w:ilvl w:val="0"/>
          <w:numId w:val="29"/>
        </w:numPr>
        <w:suppressAutoHyphens w:val="true"/>
        <w:rPr>
          <w:spacing w:val="-3"/>
          <w:sz w:val="20"/>
        </w:rPr>
      </w:pPr>
      <w:r>
        <w:rPr>
          <w:spacing w:val="-3"/>
          <w:sz w:val="20"/>
        </w:rPr>
        <w:t>Mount lightning arresters if integral to transformer</w:t>
      </w:r>
    </w:p>
    <w:p>
      <w:pPr>
        <w:pStyle w:val="Normal"/>
        <w:numPr>
          <w:ilvl w:val="0"/>
          <w:numId w:val="29"/>
        </w:numPr>
        <w:suppressAutoHyphens w:val="true"/>
        <w:rPr>
          <w:spacing w:val="-3"/>
          <w:sz w:val="20"/>
        </w:rPr>
      </w:pPr>
      <w:r>
        <w:rPr>
          <w:spacing w:val="-3"/>
          <w:sz w:val="20"/>
        </w:rPr>
        <w:t>Mount control cabinet (if removed for shipment)</w:t>
      </w:r>
    </w:p>
    <w:p>
      <w:pPr>
        <w:pStyle w:val="Normal"/>
        <w:numPr>
          <w:ilvl w:val="0"/>
          <w:numId w:val="29"/>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Establish dewpoint in accordance with vendor specification</w:t>
      </w:r>
    </w:p>
    <w:p>
      <w:pPr>
        <w:pStyle w:val="Normal"/>
        <w:numPr>
          <w:ilvl w:val="0"/>
          <w:numId w:val="29"/>
        </w:numPr>
        <w:suppressAutoHyphens w:val="true"/>
        <w:rPr>
          <w:spacing w:val="-3"/>
          <w:sz w:val="20"/>
        </w:rPr>
      </w:pPr>
      <w:r>
        <w:rPr>
          <w:spacing w:val="-3"/>
          <w:sz w:val="20"/>
        </w:rPr>
        <w:t>Elevate core/coil temperature to 50°F if necessary</w:t>
      </w:r>
    </w:p>
    <w:p>
      <w:pPr>
        <w:pStyle w:val="Normal"/>
        <w:numPr>
          <w:ilvl w:val="0"/>
          <w:numId w:val="29"/>
        </w:numPr>
        <w:suppressAutoHyphens w:val="true"/>
        <w:rPr>
          <w:spacing w:val="-3"/>
          <w:sz w:val="20"/>
        </w:rPr>
      </w:pPr>
      <w:r>
        <w:rPr>
          <w:spacing w:val="-3"/>
          <w:sz w:val="20"/>
        </w:rPr>
        <w:t>Conduct vacuum leak test</w:t>
      </w:r>
    </w:p>
    <w:p>
      <w:pPr>
        <w:pStyle w:val="Normal"/>
        <w:numPr>
          <w:ilvl w:val="0"/>
          <w:numId w:val="29"/>
        </w:numPr>
        <w:suppressAutoHyphens w:val="true"/>
        <w:rPr>
          <w:spacing w:val="-3"/>
          <w:sz w:val="20"/>
        </w:rPr>
      </w:pPr>
      <w:r>
        <w:rPr>
          <w:spacing w:val="-3"/>
          <w:sz w:val="20"/>
        </w:rPr>
        <w:t>Vacuum fill in accordance with vendor specification</w:t>
      </w:r>
    </w:p>
    <w:p>
      <w:pPr>
        <w:pStyle w:val="Normal"/>
        <w:numPr>
          <w:ilvl w:val="0"/>
          <w:numId w:val="29"/>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suppressAutoHyphens w:val="true"/>
        <w:rPr>
          <w:spacing w:val="-3"/>
          <w:sz w:val="20"/>
        </w:rPr>
      </w:pPr>
      <w:r>
        <w:rPr>
          <w:spacing w:val="-3"/>
          <w:sz w:val="20"/>
        </w:rPr>
        <w:t>Core megger</w:t>
      </w:r>
    </w:p>
    <w:p>
      <w:pPr>
        <w:pStyle w:val="Normal"/>
        <w:numPr>
          <w:ilvl w:val="0"/>
          <w:numId w:val="29"/>
        </w:numPr>
        <w:suppressAutoHyphens w:val="true"/>
        <w:rPr>
          <w:spacing w:val="-3"/>
          <w:sz w:val="20"/>
        </w:rPr>
      </w:pPr>
      <w:r>
        <w:rPr>
          <w:spacing w:val="-3"/>
          <w:sz w:val="20"/>
        </w:rPr>
        <w:t>CT ratio &amp;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r>
        <w:br w:type="page"/>
      </w:r>
    </w:p>
    <w:p>
      <w:pPr>
        <w:pStyle w:val="Normal"/>
        <w:jc w:val="center"/>
        <w:rPr>
          <w:sz w:val="20"/>
        </w:rPr>
      </w:pP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sz w:val="20"/>
        </w:rPr>
      </w:pPr>
      <w:r>
        <w:rPr>
          <w:sz w:val="20"/>
        </w:rPr>
        <w:tab/>
        <w:t>HAZARDOUS AND TOXIC SUBSTANCES</w:t>
      </w:r>
    </w:p>
    <w:p>
      <w:pPr>
        <w:pStyle w:val="Normal"/>
        <w:tabs>
          <w:tab w:val="clear" w:pos="720"/>
          <w:tab w:val="center" w:pos="5040" w:leader="none"/>
        </w:tabs>
        <w:jc w:val="both"/>
        <w:rPr>
          <w:sz w:val="20"/>
        </w:rPr>
      </w:pPr>
      <w:r>
        <w:rPr>
          <w:sz w:val="20"/>
        </w:rPr>
        <w:tab/>
        <w:t>DISCLOSURE REQUIREMENTS</w:t>
      </w:r>
    </w:p>
    <w:p>
      <w:pPr>
        <w:pStyle w:val="Normal"/>
        <w:tabs>
          <w:tab w:val="clear" w:pos="720"/>
          <w:tab w:val="center" w:pos="5040" w:leader="none"/>
        </w:tabs>
        <w:jc w:val="both"/>
        <w:rPr>
          <w:sz w:val="20"/>
        </w:rPr>
      </w:pPr>
      <w:r>
        <w:rPr>
          <w:sz w:val="20"/>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pStyle w:val="Normal"/>
        <w:jc w:val="both"/>
        <w:rPr>
          <w:sz w:val="20"/>
        </w:rPr>
      </w:pPr>
      <w:r>
        <w:rPr>
          <w:sz w:val="20"/>
        </w:rPr>
        <w:t>Seller assumes all responsibility for its failure to supply Purchaser a completed Material Safety Data Sheet (Form OSHA-20), or equivalent or a Seller Disclaimer Statement as applicable.</w:t>
      </w:r>
      <w:r>
        <w:br w:type="page"/>
      </w:r>
    </w:p>
    <w:p>
      <w:pPr>
        <w:pStyle w:val="Normal"/>
        <w:jc w:val="center"/>
        <w:rPr>
          <w:sz w:val="20"/>
        </w:rPr>
      </w:pPr>
      <w:r>
        <w:rPr>
          <w:sz w:val="20"/>
        </w:rPr>
        <w:t xml:space="preserve">EXHIBIT P  </w:t>
      </w:r>
      <w:r>
        <w:rPr>
          <w:sz w:val="20"/>
          <w:u w:val="single"/>
        </w:rPr>
        <w:t>NOT USED</w:t>
      </w:r>
      <w:r>
        <w:fldChar w:fldCharType="begin"/>
      </w:r>
      <w:r>
        <w:rPr/>
        <w:instrText xml:space="preserve"> TC "EXHIBIT P  NOT USED" \l 1 </w:instrText>
      </w:r>
      <w:r>
        <w:rPr/>
        <w:fldChar w:fldCharType="separate"/>
      </w:r>
      <w:r>
        <w:rPr/>
      </w:r>
      <w:r>
        <w:rPr/>
        <w:fldChar w:fldCharType="end"/>
      </w:r>
      <w:r>
        <w:br w:type="page"/>
      </w:r>
    </w:p>
    <w:p>
      <w:pPr>
        <w:pStyle w:val="Normal"/>
        <w:spacing w:lineRule="auto" w:line="300"/>
        <w:jc w:val="center"/>
        <w:rPr>
          <w:sz w:val="20"/>
        </w:rPr>
      </w:pPr>
      <w:r>
        <w:rPr>
          <w:sz w:val="20"/>
        </w:rPr>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r>
        <w:br w:type="page"/>
      </w:r>
    </w:p>
    <w:p>
      <w:pPr>
        <w:pStyle w:val="Normal"/>
        <w:spacing w:lineRule="auto" w:line="300"/>
        <w:jc w:val="center"/>
        <w:rPr>
          <w:sz w:val="20"/>
        </w:rPr>
      </w:pPr>
      <w:r>
        <w:rPr>
          <w:sz w:val="20"/>
        </w:rPr>
        <w:t xml:space="preserve">EXHIBIT R  </w:t>
      </w:r>
      <w:r>
        <w:rPr>
          <w:sz w:val="2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r>
        <w:br w:type="page"/>
      </w:r>
    </w:p>
    <w:p>
      <w:pPr>
        <w:pStyle w:val="Normal"/>
        <w:tabs>
          <w:tab w:val="clear" w:pos="720"/>
          <w:tab w:val="center" w:pos="5040" w:leader="none"/>
        </w:tabs>
        <w:spacing w:lineRule="auto" w:line="300"/>
        <w:jc w:val="center"/>
        <w:rPr>
          <w:sz w:val="20"/>
        </w:rPr>
      </w:pP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pStyle w:val="Normal"/>
        <w:keepLine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jc w:val="center"/>
        <w:rPr>
          <w:sz w:val="20"/>
        </w:rPr>
      </w:pP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jc w:val="both"/>
        <w:rPr>
          <w:sz w:val="20"/>
        </w:rPr>
      </w:pPr>
      <w:r>
        <w:rPr>
          <w:sz w:val="20"/>
        </w:rPr>
      </w:r>
    </w:p>
    <w:sectPr>
      <w:footerReference w:type="default" r:id="rId8"/>
      <w:footerReference w:type="first" r:id="rId9"/>
      <w:type w:val="nextPage"/>
      <w:pgSz w:w="12240" w:h="15840"/>
      <w:pgMar w:left="1080" w:right="108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v:textbox>
              <w10:wrap type="square"/>
            </v:rect>
          </w:pict>
        </mc:Fallback>
      </mc:AlternateContent>
    </w:r>
  </w:p>
  <w:p>
    <w:pPr>
      <w:pStyle w:val="Footer"/>
      <w:rPr>
        <w:sz w:val="20"/>
      </w:rPr>
    </w:pPr>
    <w:r>
      <w:rPr>
        <w:sz w:val="20"/>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2" name="Frame3"/>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v:textbox>
              <w10:wrap type="square"/>
            </v:rect>
          </w:pict>
        </mc:Fallback>
      </mc:AlternateContent>
    </w:r>
  </w:p>
  <w:p>
    <w:pPr>
      <w:pStyle w:val="Footer"/>
      <w:rPr>
        <w:sz w:val="20"/>
      </w:rPr>
    </w:pPr>
    <w:r>
      <w:rPr>
        <w:sz w:val="20"/>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3"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v:textbox>
              <w10:wrap type="squar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r>
      <mc:AlternateContent>
        <mc:Choice Requires="wps">
          <w:drawing>
            <wp:anchor behindDoc="0" distT="0" distB="0" distL="0" distR="0" simplePos="0" locked="0" layoutInCell="0" allowOverlap="1" relativeHeight="67">
              <wp:simplePos x="0" y="0"/>
              <wp:positionH relativeFrom="page">
                <wp:posOffset>915035</wp:posOffset>
              </wp:positionH>
              <wp:positionV relativeFrom="page">
                <wp:posOffset>9693275</wp:posOffset>
              </wp:positionV>
              <wp:extent cx="622935" cy="350520"/>
              <wp:effectExtent l="0" t="0" r="0" b="0"/>
              <wp:wrapSquare wrapText="bothSides"/>
              <wp:docPr id="4"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4" w:name="bkEndId"/>
                          <w:bookmarkEnd w:id="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 w:name="bkEndId"/>
                    <w:bookmarkEnd w:id="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v:textbox>
              <w10:wrap type="square"/>
            </v:rect>
          </w:pict>
        </mc:Fallback>
      </mc:AlternateContent>
    </w:r>
  </w:p>
  <w:p>
    <w:pPr>
      <w:pStyle w:val="Footer"/>
      <w:rPr>
        <w:sz w:val="20"/>
      </w:rPr>
    </w:pPr>
    <w:r>
      <w:rPr>
        <w:sz w:val="20"/>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64</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5"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v:textbox>
              <w10:wrap type="square"/>
            </v:rect>
          </w:pict>
        </mc:Fallback>
      </mc:AlternateContent>
    </w:r>
  </w:p>
  <w:p>
    <w:pPr>
      <w:pStyle w:val="Footer"/>
      <w:jc w:val="center"/>
      <w:rPr>
        <w:sz w:val="20"/>
      </w:rPr>
    </w:pPr>
    <w:r>
      <w:rPr>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r>
      <mc:AlternateContent>
        <mc:Choice Requires="wps">
          <w:drawing>
            <wp:anchor behindDoc="0" distT="0" distB="0" distL="0" distR="0" simplePos="0" locked="0" layoutInCell="0" allowOverlap="1" relativeHeight="157">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v:textbox>
              <w10:wrap type="square"/>
            </v:rect>
          </w:pict>
        </mc:Fallback>
      </mc:AlternateContent>
    </w:r>
  </w:p>
  <w:p>
    <w:pPr>
      <w:pStyle w:val="Footer"/>
      <w:rPr>
        <w:sz w:val="20"/>
      </w:rPr>
    </w:pPr>
    <w:r>
      <w:rPr>
        <w:sz w:val="20"/>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89</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82441-1</w:t>
    </w:r>
    <w:r>
      <mc:AlternateContent>
        <mc:Choice Requires="wps">
          <w:drawing>
            <wp:anchor behindDoc="0" distT="0" distB="0" distL="0" distR="0" simplePos="0" locked="0" layoutInCell="0" allowOverlap="1" relativeHeight="69">
              <wp:simplePos x="0" y="0"/>
              <wp:positionH relativeFrom="page">
                <wp:posOffset>915035</wp:posOffset>
              </wp:positionH>
              <wp:positionV relativeFrom="page">
                <wp:posOffset>9693275</wp:posOffset>
              </wp:positionV>
              <wp:extent cx="622935" cy="350520"/>
              <wp:effectExtent l="0" t="0" r="0" b="0"/>
              <wp:wrapSquare wrapText="bothSides"/>
              <wp:docPr id="8"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WAS:82441.1 </w:t>
                    </w:r>
                    <w:r>
                      <w:rPr>
                        <w:rStyle w:val="DocID"/>
                        <w:sz w:val="16"/>
                      </w:rPr>
                      <w:fldChar w:fldCharType="end"/>
                    </w:r>
                  </w:p>
                </w:txbxContent>
              </v:textbox>
              <w10:wrap type="square"/>
            </v:rect>
          </w:pict>
        </mc:Fallback>
      </mc:AlternateContent>
    </w:r>
  </w:p>
  <w:p>
    <w:pPr>
      <w:pStyle w:val="Footer"/>
      <w:jc w:val="center"/>
      <w:rPr>
        <w:sz w:val="20"/>
      </w:rPr>
    </w:pPr>
    <w:r>
      <w:rPr>
        <w:sz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2"/>
      <w:numFmt w:val="lowerLetter"/>
      <w:lvlText w:val="%1)"/>
      <w:lvlJc w:val="start"/>
      <w:pPr>
        <w:tabs>
          <w:tab w:val="num" w:pos="360"/>
        </w:tabs>
        <w:ind w:start="1800" w:hanging="360"/>
      </w:pPr>
    </w:lvl>
  </w:abstractNum>
  <w:abstractNum w:abstractNumId="16">
    <w:lvl w:ilvl="0">
      <w:start w:val="1"/>
      <w:numFmt w:val="lowerLetter"/>
      <w:lvlText w:val="%1)"/>
      <w:lvlJc w:val="start"/>
      <w:pPr>
        <w:tabs>
          <w:tab w:val="num" w:pos="360"/>
        </w:tabs>
        <w:ind w:start="2808" w:hanging="360"/>
      </w:pPr>
    </w:lvl>
  </w:abstractNum>
  <w:abstractNum w:abstractNumId="17">
    <w:lvl w:ilvl="0">
      <w:start w:val="1"/>
      <w:numFmt w:val="decimal"/>
      <w:lvlText w:val="%1."/>
      <w:lvlJc w:val="start"/>
      <w:pPr>
        <w:tabs>
          <w:tab w:val="num" w:pos="360"/>
        </w:tabs>
        <w:ind w:start="3240" w:hanging="360"/>
      </w:p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lowerLetter"/>
      <w:lvlText w:val="%1)"/>
      <w:lvlJc w:val="start"/>
      <w:pPr>
        <w:tabs>
          <w:tab w:val="num" w:pos="360"/>
        </w:tabs>
        <w:ind w:start="2808" w:hanging="360"/>
      </w:pPr>
    </w:lvl>
  </w:abstractNum>
  <w:abstractNum w:abstractNumId="20">
    <w:lvl w:ilvl="0">
      <w:start w:val="1"/>
      <w:numFmt w:val="lowerLetter"/>
      <w:lvlText w:val="%1)"/>
      <w:lvlJc w:val="start"/>
      <w:pPr>
        <w:tabs>
          <w:tab w:val="num" w:pos="360"/>
        </w:tabs>
        <w:ind w:start="108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080" w:hanging="360"/>
      </w:pPr>
    </w:lvl>
  </w:abstractNum>
  <w:abstractNum w:abstractNumId="23">
    <w:lvl w:ilvl="0">
      <w:start w:val="4"/>
      <w:numFmt w:val="decimal"/>
      <w:lvlText w:val="%1)"/>
      <w:lvlJc w:val="start"/>
      <w:pPr>
        <w:tabs>
          <w:tab w:val="num" w:pos="720"/>
        </w:tabs>
        <w:ind w:start="720" w:hanging="720"/>
      </w:pPr>
    </w:lvl>
  </w:abstractNum>
  <w:abstractNum w:abstractNumId="24">
    <w:lvl w:ilvl="0">
      <w:start w:val="1"/>
      <w:numFmt w:val="lowerLetter"/>
      <w:lvlText w:val="%1)"/>
      <w:lvlJc w:val="start"/>
      <w:pPr>
        <w:tabs>
          <w:tab w:val="num" w:pos="360"/>
        </w:tabs>
        <w:ind w:start="2160" w:hanging="360"/>
      </w:pPr>
    </w:lvl>
  </w:abstractNum>
  <w:abstractNum w:abstractNumId="25">
    <w:lvl w:ilvl="0">
      <w:start w:val="1"/>
      <w:numFmt w:val="lowerLetter"/>
      <w:lvlText w:val="%1)"/>
      <w:lvlJc w:val="start"/>
      <w:pPr>
        <w:tabs>
          <w:tab w:val="num" w:pos="360"/>
        </w:tabs>
        <w:ind w:start="1800" w:hanging="360"/>
      </w:pPr>
    </w:lvl>
  </w:abstractNum>
  <w:abstractNum w:abstractNumId="26">
    <w:lvl w:ilvl="0">
      <w:start w:val="1"/>
      <w:numFmt w:val="lowerLetter"/>
      <w:lvlText w:val="%1)"/>
      <w:lvlJc w:val="start"/>
      <w:pPr>
        <w:tabs>
          <w:tab w:val="num" w:pos="360"/>
        </w:tabs>
        <w:ind w:start="1800" w:hanging="360"/>
      </w:pPr>
    </w:lvl>
  </w:abstractNum>
  <w:abstractNum w:abstractNumId="27">
    <w:lvl w:ilvl="0">
      <w:start w:val="1"/>
      <w:numFmt w:val="lowerLetter"/>
      <w:lvlText w:val="%1."/>
      <w:lvlJc w:val="start"/>
      <w:pPr>
        <w:tabs>
          <w:tab w:val="num" w:pos="1080"/>
        </w:tabs>
        <w:ind w:start="1080" w:hanging="360"/>
      </w:pPr>
      <w:rPr/>
    </w:lvl>
  </w:abstractNum>
  <w:abstractNum w:abstractNumId="28">
    <w:lvl w:ilvl="0">
      <w:start w:val="1"/>
      <w:numFmt w:val="lowerLetter"/>
      <w:lvlText w:val="%1)"/>
      <w:lvlJc w:val="start"/>
      <w:pPr>
        <w:tabs>
          <w:tab w:val="num" w:pos="360"/>
        </w:tabs>
        <w:ind w:start="1800" w:hanging="360"/>
      </w:pPr>
    </w:lvl>
  </w:abstractNum>
  <w:abstractNum w:abstractNumId="29">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tabs>
        <w:tab w:val="clear" w:pos="720"/>
        <w:tab w:val="left" w:pos="1080" w:leader="none"/>
      </w:tabs>
      <w:jc w:val="center"/>
      <w:outlineLvl w:val="0"/>
    </w:pPr>
    <w:rPr>
      <w:b/>
      <w:u w:val="single"/>
    </w:rPr>
  </w:style>
  <w:style w:type="paragraph" w:styleId="Heading2">
    <w:name w:val="heading 2"/>
    <w:basedOn w:val="Heading"/>
    <w:next w:val="BodyText"/>
    <w:qFormat/>
    <w:pPr>
      <w:numPr>
        <w:ilvl w:val="1"/>
        <w:numId w:val="1"/>
      </w:numPr>
      <w:tabs>
        <w:tab w:val="clear" w:pos="720"/>
        <w:tab w:val="left" w:pos="1080" w:leader="none"/>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 w:val="left" w:pos="2160" w:leader="none"/>
      </w:tabs>
      <w:outlineLvl w:val="3"/>
    </w:pPr>
    <w:rPr/>
  </w:style>
  <w:style w:type="paragraph" w:styleId="Heading5">
    <w:name w:val="heading 5"/>
    <w:basedOn w:val="Heading"/>
    <w:next w:val="BodyText"/>
    <w:qFormat/>
    <w:pPr>
      <w:numPr>
        <w:ilvl w:val="4"/>
        <w:numId w:val="1"/>
      </w:numPr>
      <w:tabs>
        <w:tab w:val="clear" w:pos="720"/>
      </w:tabs>
      <w:jc w:val="start"/>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4"/>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b w:val="false"/>
      <w:i w:val="false"/>
      <w:sz w:val="24"/>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rFonts w:ascii="Lucida Console" w:hAnsi="Lucida Console" w:cs="ITC Zapf Dingbats (DV)"/>
    </w:rPr>
  </w:style>
  <w:style w:type="character" w:styleId="WW8Num56z0">
    <w:name w:val="WW8Num56z0"/>
    <w:qFormat/>
    <w:rPr/>
  </w:style>
  <w:style w:type="character" w:styleId="WW8Num57z0">
    <w:name w:val="WW8Num57z0"/>
    <w:qFormat/>
    <w:rPr/>
  </w:style>
  <w:style w:type="character" w:styleId="WW8Num58z0">
    <w:name w:val="WW8Num58z0"/>
    <w:qFormat/>
    <w:rPr>
      <w:u w:val="singl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Arial" w:hAnsi="Arial" w:cs="Aria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rFonts w:ascii="Wingdings" w:hAnsi="Wingdings" w:cs="Wingdings"/>
    </w:rPr>
  </w:style>
  <w:style w:type="character" w:styleId="WW8Num87z0">
    <w:name w:val="WW8Num87z0"/>
    <w:qFormat/>
    <w:rPr>
      <w:rFonts w:ascii="Times New Roman" w:hAnsi="Times New Roman" w:cs="Times New Roman"/>
      <w:b w:val="false"/>
      <w:i w:val="false"/>
      <w:sz w:val="24"/>
    </w:rPr>
  </w:style>
  <w:style w:type="character" w:styleId="WW8Num88z0">
    <w:name w:val="WW8Num88z0"/>
    <w:qFormat/>
    <w:rPr/>
  </w:style>
  <w:style w:type="character" w:styleId="WW8Num89z0">
    <w:name w:val="WW8Num89z0"/>
    <w:qFormat/>
    <w:rPr>
      <w:rFonts w:ascii="Symbol" w:hAnsi="Symbol" w:cs="Symbol"/>
      <w:color w:val="auto"/>
    </w:rPr>
  </w:style>
  <w:style w:type="character" w:styleId="WW8Num90z0">
    <w:name w:val="WW8Num90z0"/>
    <w:qFormat/>
    <w:rPr/>
  </w:style>
  <w:style w:type="character" w:styleId="WW8Num91z0">
    <w:name w:val="WW8Num91z0"/>
    <w:qFormat/>
    <w:rPr/>
  </w:style>
  <w:style w:type="character" w:styleId="WW8Num94z0">
    <w:name w:val="WW8Num94z0"/>
    <w:qFormat/>
    <w:rPr>
      <w:rFonts w:ascii="Times New Roman" w:hAnsi="Times New Roman" w:cs="Times New Roman"/>
      <w:b w:val="false"/>
      <w:i w:val="false"/>
      <w:sz w:val="24"/>
    </w:rPr>
  </w:style>
  <w:style w:type="character" w:styleId="WW8Num95z0">
    <w:name w:val="WW8Num95z0"/>
    <w:qFormat/>
    <w:rPr>
      <w:rFonts w:ascii="Arial" w:hAnsi="Arial" w:cs="Arial"/>
      <w:sz w:val="19"/>
    </w:rPr>
  </w:style>
  <w:style w:type="character" w:styleId="WW8Num96z0">
    <w:name w:val="WW8Num96z0"/>
    <w:qFormat/>
    <w:rPr>
      <w:rFonts w:ascii="Symbol" w:hAnsi="Symbol" w:cs="Symbol"/>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Wingdings" w:hAnsi="Wingdings" w:cs="Wingdings"/>
    </w:rPr>
  </w:style>
  <w:style w:type="character" w:styleId="WW8Num103z0">
    <w:name w:val="WW8Num103z0"/>
    <w:qFormat/>
    <w:rPr/>
  </w:style>
  <w:style w:type="character" w:styleId="WW8Num104z0">
    <w:name w:val="WW8Num104z0"/>
    <w:qFormat/>
    <w:rPr>
      <w:rFonts w:ascii="Lucida Console" w:hAnsi="Lucida Console" w:cs="ITC Zapf Dingbats (DV)"/>
    </w:rPr>
  </w:style>
  <w:style w:type="character" w:styleId="WW8Num105z0">
    <w:name w:val="WW8Num105z0"/>
    <w:qFormat/>
    <w:rPr>
      <w:rFonts w:ascii="Symbol" w:hAnsi="Symbol" w:cs="Symbol"/>
      <w:color w:val="auto"/>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1z0">
    <w:name w:val="WW8Num111z0"/>
    <w:qFormat/>
    <w:rPr/>
  </w:style>
  <w:style w:type="character" w:styleId="WW8Num113z0">
    <w:name w:val="WW8Num113z0"/>
    <w:qFormat/>
    <w:rPr>
      <w:rFonts w:ascii="Times New Roman" w:hAnsi="Times New Roman" w:cs="Times New Roman"/>
      <w:b/>
      <w:i w:val="false"/>
      <w:u w:val="none"/>
    </w:rPr>
  </w:style>
  <w:style w:type="character" w:styleId="WW8Num113z1">
    <w:name w:val="WW8Num113z1"/>
    <w:qFormat/>
    <w:rPr>
      <w:rFonts w:ascii="Times New Roman" w:hAnsi="Times New Roman" w:cs="Times New Roman"/>
      <w:b w:val="false"/>
      <w:i w:val="false"/>
      <w:u w:val="none"/>
    </w:rPr>
  </w:style>
  <w:style w:type="character" w:styleId="WW8Num113z2">
    <w:name w:val="WW8Num113z2"/>
    <w:qFormat/>
    <w:rPr>
      <w:b w:val="false"/>
      <w:i w:val="false"/>
    </w:rPr>
  </w:style>
  <w:style w:type="character" w:styleId="WW8Num113z3">
    <w:name w:val="WW8Num113z3"/>
    <w:qFormat/>
    <w:rPr/>
  </w:style>
  <w:style w:type="character" w:styleId="WW8Num113z8">
    <w:name w:val="WW8Num113z8"/>
    <w:qFormat/>
    <w:rPr>
      <w:rFonts w:ascii="Symbol" w:hAnsi="Symbol" w:cs="Symbol"/>
      <w:color w:val="auto"/>
      <w:sz w:val="28"/>
    </w:rPr>
  </w:style>
  <w:style w:type="character" w:styleId="WW8Num114z0">
    <w:name w:val="WW8Num114z0"/>
    <w:qFormat/>
    <w:rPr>
      <w:rFonts w:ascii="Arial" w:hAnsi="Arial" w:cs="Arial"/>
    </w:rPr>
  </w:style>
  <w:style w:type="character" w:styleId="WW8Num115z0">
    <w:name w:val="WW8Num115z0"/>
    <w:qFormat/>
    <w:rPr/>
  </w:style>
  <w:style w:type="character" w:styleId="WW8Num116z0">
    <w:name w:val="WW8Num116z0"/>
    <w:qFormat/>
    <w:rPr>
      <w:u w:val="single"/>
    </w:rPr>
  </w:style>
  <w:style w:type="character" w:styleId="WW8Num117z0">
    <w:name w:val="WW8Num117z0"/>
    <w:qFormat/>
    <w:rPr/>
  </w:style>
  <w:style w:type="character" w:styleId="WW8Num118z0">
    <w:name w:val="WW8Num118z0"/>
    <w:qFormat/>
    <w:rPr/>
  </w:style>
  <w:style w:type="character" w:styleId="WW8Num120z0">
    <w:name w:val="WW8Num120z0"/>
    <w:qFormat/>
    <w:rPr/>
  </w:style>
  <w:style w:type="character" w:styleId="WW8Num121z0">
    <w:name w:val="WW8Num121z0"/>
    <w:qFormat/>
    <w:rPr/>
  </w:style>
  <w:style w:type="character" w:styleId="WW8Num123z0">
    <w:name w:val="WW8Num123z0"/>
    <w:qFormat/>
    <w:rPr>
      <w:rFonts w:ascii="Wingdings" w:hAnsi="Wingdings" w:cs="Wingdings"/>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2z0">
    <w:name w:val="WW8Num132z0"/>
    <w:qFormat/>
    <w:rPr/>
  </w:style>
  <w:style w:type="character" w:styleId="WW8Num134z0">
    <w:name w:val="WW8Num134z0"/>
    <w:qFormat/>
    <w:rPr/>
  </w:style>
  <w:style w:type="character" w:styleId="WW8Num137z0">
    <w:name w:val="WW8Num137z0"/>
    <w:qFormat/>
    <w:rPr/>
  </w:style>
  <w:style w:type="character" w:styleId="WW8Num139z0">
    <w:name w:val="WW8Num139z0"/>
    <w:qFormat/>
    <w:rPr>
      <w:rFonts w:ascii="Times New Roman" w:hAnsi="Times New Roman" w:cs="Times New Roman"/>
      <w:b w:val="false"/>
      <w:i w:val="false"/>
      <w:sz w:val="24"/>
    </w:rPr>
  </w:style>
  <w:style w:type="character" w:styleId="WW8Num141z0">
    <w:name w:val="WW8Num141z0"/>
    <w:qFormat/>
    <w:rPr/>
  </w:style>
  <w:style w:type="character" w:styleId="WW8Num143z0">
    <w:name w:val="WW8Num143z0"/>
    <w:qFormat/>
    <w:rPr/>
  </w:style>
  <w:style w:type="character" w:styleId="WW8Num145z0">
    <w:name w:val="WW8Num145z0"/>
    <w:qFormat/>
    <w:rPr/>
  </w:style>
  <w:style w:type="character" w:styleId="WW8Num146z0">
    <w:name w:val="WW8Num146z0"/>
    <w:qFormat/>
    <w:rPr/>
  </w:style>
  <w:style w:type="character" w:styleId="WW8Num148z0">
    <w:name w:val="WW8Num148z0"/>
    <w:qFormat/>
    <w:rPr>
      <w:rFonts w:ascii="Arial" w:hAnsi="Arial" w:cs="Arial"/>
    </w:rPr>
  </w:style>
  <w:style w:type="character" w:styleId="WW8Num149z0">
    <w:name w:val="WW8Num149z0"/>
    <w:qFormat/>
    <w:rPr/>
  </w:style>
  <w:style w:type="character" w:styleId="WW8Num150z0">
    <w:name w:val="WW8Num150z0"/>
    <w:qFormat/>
    <w:rPr>
      <w:rFonts w:ascii="Times New Roman" w:hAnsi="Times New Roman" w:cs="Times New Roman"/>
    </w:rPr>
  </w:style>
  <w:style w:type="character" w:styleId="WW8Num151z0">
    <w:name w:val="WW8Num151z0"/>
    <w:qFormat/>
    <w:rPr>
      <w:rFonts w:ascii="Times New Roman" w:hAnsi="Times New Roman" w:cs="Times New Roman"/>
      <w:b w:val="false"/>
      <w:i w:val="false"/>
      <w:sz w:val="24"/>
    </w:rPr>
  </w:style>
  <w:style w:type="character" w:styleId="WW8Num152z0">
    <w:name w:val="WW8Num152z0"/>
    <w:qFormat/>
    <w:rPr/>
  </w:style>
  <w:style w:type="character" w:styleId="WW8Num154z0">
    <w:name w:val="WW8Num154z0"/>
    <w:qFormat/>
    <w:rPr>
      <w:u w:val="single"/>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rFonts w:ascii="Times New Roman" w:hAnsi="Times New Roman" w:cs="Times New Roman"/>
      <w:b w:val="false"/>
      <w:i w:val="false"/>
      <w:sz w:val="24"/>
    </w:rPr>
  </w:style>
  <w:style w:type="character" w:styleId="WW8Num162z0">
    <w:name w:val="WW8Num162z0"/>
    <w:qFormat/>
    <w:rPr/>
  </w:style>
  <w:style w:type="character" w:styleId="WW8Num163z0">
    <w:name w:val="WW8Num163z0"/>
    <w:qFormat/>
    <w:rPr>
      <w:u w:val="single"/>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color w:val="auto"/>
    </w:rPr>
  </w:style>
  <w:style w:type="character" w:styleId="WW8Num170z0">
    <w:name w:val="WW8Num170z0"/>
    <w:qFormat/>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82z0">
    <w:name w:val="WW8Num182z0"/>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3z0">
    <w:name w:val="WW8Num193z0"/>
    <w:qFormat/>
    <w:rPr>
      <w:rFonts w:ascii="Arial" w:hAnsi="Arial" w:cs="Arial"/>
    </w:rPr>
  </w:style>
  <w:style w:type="character" w:styleId="WW8Num194z0">
    <w:name w:val="WW8Num194z0"/>
    <w:qFormat/>
    <w:rPr/>
  </w:style>
  <w:style w:type="character" w:styleId="WW8Num196z0">
    <w:name w:val="WW8Num196z0"/>
    <w:qFormat/>
    <w:rPr>
      <w:b/>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Arial" w:hAnsi="Arial" w:cs="Arial"/>
      <w:sz w:val="19"/>
    </w:rPr>
  </w:style>
  <w:style w:type="character" w:styleId="WW8Num201z0">
    <w:name w:val="WW8Num201z0"/>
    <w:qFormat/>
    <w:rPr>
      <w:rFonts w:ascii="Arial" w:hAnsi="Arial" w:cs="Arial"/>
      <w:sz w:val="19"/>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u w:val="single"/>
    </w:rPr>
  </w:style>
  <w:style w:type="character" w:styleId="WW8Num207z0">
    <w:name w:val="WW8Num207z0"/>
    <w:qFormat/>
    <w:rPr/>
  </w:style>
  <w:style w:type="character" w:styleId="WW8Num209z0">
    <w:name w:val="WW8Num209z0"/>
    <w:qFormat/>
    <w:rPr>
      <w:rFonts w:ascii="Arial" w:hAnsi="Arial" w:cs="Arial"/>
    </w:rPr>
  </w:style>
  <w:style w:type="character" w:styleId="WW8Num210z0">
    <w:name w:val="WW8Num210z0"/>
    <w:qFormat/>
    <w:rPr/>
  </w:style>
  <w:style w:type="character" w:styleId="WW8Num211z0">
    <w:name w:val="WW8Num211z0"/>
    <w:qFormat/>
    <w:rPr/>
  </w:style>
  <w:style w:type="character" w:styleId="WW8Num213z0">
    <w:name w:val="WW8Num213z0"/>
    <w:qFormat/>
    <w:rPr>
      <w:rFonts w:ascii="Times New Roman" w:hAnsi="Times New Roman" w:cs="Times New Roman"/>
    </w:rPr>
  </w:style>
  <w:style w:type="character" w:styleId="WW8Num214z0">
    <w:name w:val="WW8Num214z0"/>
    <w:qFormat/>
    <w:rPr/>
  </w:style>
  <w:style w:type="character" w:styleId="WW8Num215z0">
    <w:name w:val="WW8Num215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pPr>
    <w:rPr>
      <w:sz w:val="20"/>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yperlink" Target="mailto:149.7@64" TargetMode="Externa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2000-10-25T23:07:00Z</dcterms:created>
  <dc:creator>EECC</dc:creator>
  <dc:description/>
  <dc:language>en-CA</dc:language>
  <cp:lastModifiedBy>A&amp;K</cp:lastModifiedBy>
  <cp:lastPrinted>2000-10-25T20:37:00Z</cp:lastPrinted>
  <dcterms:modified xsi:type="dcterms:W3CDTF">2000-11-15T20:56:00Z</dcterms:modified>
  <cp:revision>7</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WAS:82441.1 </vt:lpwstr>
  </property>
</Properties>
</file>