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This Base Contract is entered into as of the following date: May 1, 2000.</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bCs/>
          <w:u w:val="single"/>
        </w:rPr>
        <w:t>ENRON NORTH AMERICA CORP.</w:t>
      </w:r>
      <w:r>
        <w:rPr>
          <w:u w:val="single"/>
        </w:rPr>
        <w:tab/>
      </w:r>
      <w:r>
        <w:rPr/>
        <w:tab/>
        <w:t>and</w:t>
        <w:tab/>
      </w:r>
      <w:r>
        <w:rPr>
          <w:b/>
          <w:u w:val="single"/>
        </w:rPr>
        <w:t>ABB ALSTOM POWER, INC.</w:t>
      </w:r>
      <w:r>
        <w:rPr>
          <w:u w:val="single"/>
        </w:rPr>
        <w:tab/>
      </w:r>
      <w:r>
        <w:rPr/>
        <w:br/>
        <w:t xml:space="preserve">Duns #  </w:t>
      </w:r>
      <w:r>
        <w:rPr>
          <w:u w:val="single"/>
        </w:rPr>
        <w:t>791182710</w:t>
        <w:tab/>
        <w:tab/>
      </w:r>
      <w:r>
        <w:rPr/>
        <w:tab/>
        <w:tab/>
        <w:t xml:space="preserve">Duns # </w:t>
      </w:r>
      <w:r>
        <w:rPr>
          <w:u w:val="single"/>
        </w:rPr>
        <w:t>62-612-3467</w:t>
        <w:tab/>
        <w:tab/>
      </w:r>
      <w:r>
        <w:rPr/>
        <w:br/>
        <w:t xml:space="preserve">Contract # </w:t>
      </w:r>
      <w:r>
        <w:rPr>
          <w:u w:val="single"/>
        </w:rPr>
        <w:tab/>
        <w:tab/>
      </w:r>
      <w:r>
        <w:rPr/>
        <w:tab/>
        <w:tab/>
        <w:t xml:space="preserve">Contract # </w:t>
      </w:r>
      <w:r>
        <w:rPr>
          <w:u w:val="single"/>
        </w:rPr>
        <w:tab/>
        <w:tab/>
        <w:br/>
      </w:r>
      <w:r>
        <w:rPr/>
        <w:t xml:space="preserve">Attn: </w:t>
      </w:r>
      <w:r>
        <w:rPr>
          <w:u w:val="single"/>
        </w:rPr>
        <w:t>Documentation and Deal Clearing</w:t>
        <w:tab/>
      </w:r>
      <w:r>
        <w:rPr/>
        <w:tab/>
        <w:tab/>
        <w:t xml:space="preserve">Attn: </w:t>
      </w:r>
      <w:r>
        <w:rPr>
          <w:u w:val="single"/>
        </w:rPr>
        <w:t>Lisa Maillet</w:t>
        <w:tab/>
        <w:tab/>
      </w:r>
      <w:r>
        <w:rPr/>
        <w:br/>
        <w:t xml:space="preserve">Phone: </w:t>
      </w:r>
      <w:r>
        <w:rPr>
          <w:u w:val="single"/>
        </w:rPr>
        <w:t>(713) 646-4816</w:t>
        <w:tab/>
      </w:r>
      <w:r>
        <w:rPr/>
        <w:t xml:space="preserve"> Fax: </w:t>
      </w:r>
      <w:r>
        <w:rPr>
          <w:u w:val="single"/>
        </w:rPr>
        <w:tab/>
      </w:r>
      <w:r>
        <w:rPr/>
        <w:tab/>
        <w:tab/>
        <w:t xml:space="preserve">Phone: </w:t>
      </w:r>
      <w:r>
        <w:rPr>
          <w:u w:val="single"/>
        </w:rPr>
        <w:t>(508) 786-7205</w:t>
        <w:tab/>
      </w:r>
      <w:r>
        <w:rPr/>
        <w:t xml:space="preserve"> Fax:</w:t>
      </w:r>
      <w:r>
        <w:rPr>
          <w:u w:val="single"/>
        </w:rPr>
        <w:t xml:space="preserve"> (508) 786-7201</w:t>
        <w:tab/>
      </w:r>
      <w:r>
        <w:rPr/>
        <w:br/>
        <w:t xml:space="preserve">Federal Tax ID Number: </w:t>
      </w:r>
      <w:r>
        <w:rPr>
          <w:u w:val="single"/>
        </w:rPr>
        <w:t>76-0318139</w:t>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P. O. Box 4428</w:t>
        <w:tab/>
        <w:tab/>
      </w:r>
      <w:r>
        <w:rPr/>
        <w:tab/>
      </w:r>
      <w:r>
        <w:rPr>
          <w:u w:val="single"/>
        </w:rPr>
        <w:t>65 Boston Post Road Wast, Suite 300</w:t>
        <w:tab/>
      </w:r>
      <w:r>
        <w:rPr/>
        <w:br/>
      </w:r>
      <w:r>
        <w:rPr>
          <w:u w:val="single"/>
        </w:rPr>
        <w:t>Houston, Tx 77210-4428</w:t>
        <w:tab/>
        <w:tab/>
      </w:r>
      <w:r>
        <w:rPr/>
        <w:tab/>
      </w:r>
      <w:r>
        <w:rPr>
          <w:u w:val="single"/>
        </w:rPr>
        <w:t>Marlborough, MA 01752</w:t>
        <w:tab/>
        <w:tab/>
      </w:r>
      <w:r>
        <w:rPr/>
        <w:br/>
        <w:t xml:space="preserve">Attn: </w:t>
      </w:r>
      <w:r>
        <w:rPr>
          <w:u w:val="single"/>
        </w:rPr>
        <w:t>Client Services</w:t>
      </w:r>
      <w:r>
        <w:rPr/>
        <w:t xml:space="preserve"> </w:t>
      </w:r>
      <w:r>
        <w:rPr>
          <w:u w:val="single"/>
        </w:rPr>
        <w:tab/>
        <w:tab/>
      </w:r>
      <w:r>
        <w:rPr/>
        <w:tab/>
        <w:t xml:space="preserve">Attn: </w:t>
      </w:r>
      <w:r>
        <w:rPr>
          <w:u w:val="single"/>
        </w:rPr>
        <w:t>Lisa Maillet</w:t>
        <w:tab/>
        <w:tab/>
      </w:r>
      <w:r>
        <w:rPr/>
        <w:br/>
        <w:t xml:space="preserve">Phone: </w:t>
      </w:r>
      <w:r>
        <w:rPr>
          <w:u w:val="single"/>
        </w:rPr>
        <w:tab/>
        <w:t xml:space="preserve"> </w:t>
      </w:r>
      <w:r>
        <w:rPr/>
        <w:t xml:space="preserve">Fax: </w:t>
      </w:r>
      <w:r>
        <w:rPr>
          <w:u w:val="single"/>
        </w:rPr>
        <w:t>(713) 646-8420</w:t>
        <w:tab/>
      </w:r>
      <w:r>
        <w:rPr/>
        <w:tab/>
        <w:t xml:space="preserve">Phone: </w:t>
      </w:r>
      <w:r>
        <w:rPr>
          <w:u w:val="single"/>
        </w:rPr>
        <w:t>(508) 786-7205</w:t>
        <w:tab/>
        <w:t xml:space="preserve"> </w:t>
      </w:r>
      <w:r>
        <w:rPr/>
        <w:t xml:space="preserve">Fax: </w:t>
      </w:r>
      <w:r>
        <w:rPr>
          <w:u w:val="single"/>
        </w:rPr>
        <w:t>(508) 786-7201</w:t>
        <w:tab/>
      </w:r>
      <w:r>
        <w:rPr/>
        <w:br/>
        <w:t>Wire Transfer or ACH Nos. (if applicable)</w:t>
        <w:tab/>
        <w:tab/>
        <w:t>Wire Transfer or ACH Nos. (if applicable)</w:t>
        <w:br/>
        <w:t>ABA Routing # 111000012  Bank  America</w:t>
        <w:tab/>
        <w:tab/>
        <w:t>ABA Routing # 113000609  Chase Bank of Texas</w:t>
      </w:r>
    </w:p>
    <w:p>
      <w:pPr>
        <w:pStyle w:val="DoubleSignatures"/>
        <w:spacing w:before="0" w:after="0"/>
        <w:rPr/>
      </w:pPr>
      <w:r>
        <w:rPr/>
        <w:t xml:space="preserve">Account # 3750494099    </w:t>
        <w:tab/>
        <w:tab/>
        <w:tab/>
        <w:t>Account # 00100926063</w:t>
      </w:r>
    </w:p>
    <w:p>
      <w:pPr>
        <w:pStyle w:val="DoubleSignatures"/>
        <w:spacing w:before="0" w:after="0"/>
        <w:rPr/>
      </w:pPr>
      <w:r>
        <w:rPr/>
        <w:t>See Special Provisions “A” attached herein as Appendix “1”.</w:t>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Section 1.2.</w:t>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Section 6.</w:t>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Section 2.4.</w:t>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Section 7.2.</w:t>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Section 2.5.</w:t>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Houston Pipe Line Company.</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Section 7.2.</w:t>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i/>
                <w:i/>
                <w:sz w:val="19"/>
              </w:rPr>
            </w:pPr>
            <w:r>
              <w:rPr>
                <w:i/>
                <w:sz w:val="19"/>
              </w:rPr>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Daily-Midpoint</w:t>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Texas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pPr>
            <w:r>
              <w:rPr>
                <w:rFonts w:eastAsia="Wingdings" w:cs="Wingdings" w:ascii="Wingdings" w:hAnsi="Wingdings"/>
                <w:b/>
                <w:sz w:val="19"/>
              </w:rPr>
              <w:sym w:font="Wingdings" w:char="f0fe"/>
            </w:r>
            <w:r>
              <w:rPr>
                <w:b/>
                <w:sz w:val="19"/>
              </w:rPr>
              <w:t xml:space="preserve"> </w:t>
            </w:r>
            <w:r>
              <w:rPr>
                <w:sz w:val="19"/>
              </w:rPr>
              <w:t>Sheet(s) attached for special provisions.  Number of sheets attached:  ONE-Appendix “1”—Special Provisions “A”</w:t>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DoubleSignatures"/>
        <w:tabs>
          <w:tab w:val="center" w:pos="2520" w:leader="none"/>
          <w:tab w:val="right" w:pos="5040" w:leader="none"/>
          <w:tab w:val="center" w:pos="5400" w:leader="none"/>
          <w:tab w:val="left" w:pos="5760" w:leader="none"/>
          <w:tab w:val="left" w:pos="6120" w:leader="none"/>
          <w:tab w:val="center" w:pos="8280" w:leader="none"/>
          <w:tab w:val="right" w:pos="10800" w:leader="none"/>
        </w:tabs>
        <w:spacing w:before="0" w:after="0"/>
        <w:ind w:end="-360"/>
        <w:rPr/>
      </w:pPr>
      <w:r>
        <w:rPr>
          <w:b/>
          <w:bCs/>
          <w:sz w:val="18"/>
          <w:u w:val="single"/>
        </w:rPr>
        <w:t>ENRON NORTH AMERICA CORP.</w:t>
      </w:r>
      <w:r>
        <w:rPr>
          <w:sz w:val="18"/>
          <w:u w:val="single"/>
        </w:rPr>
        <w:tab/>
      </w:r>
      <w:r>
        <w:rPr>
          <w:sz w:val="18"/>
        </w:rPr>
        <w:tab/>
        <w:tab/>
      </w:r>
      <w:r>
        <w:rPr>
          <w:b/>
          <w:sz w:val="18"/>
          <w:u w:val="single"/>
        </w:rPr>
        <w:t>ABB ALSTOM POWER, INC.</w:t>
      </w:r>
      <w:r>
        <w:rPr>
          <w:sz w:val="18"/>
          <w:u w:val="single"/>
        </w:rPr>
        <w:tab/>
        <w:tab/>
      </w:r>
      <w:r>
        <w:rPr>
          <w:sz w:val="18"/>
        </w:rPr>
        <w:br/>
        <w:tab/>
      </w:r>
      <w:r>
        <w:rPr>
          <w:i/>
          <w:sz w:val="18"/>
        </w:rPr>
        <w:t>(Party Name)</w:t>
        <w:tab/>
        <w:tab/>
        <w:tab/>
        <w:tab/>
        <w:t>(Party Name)</w:t>
      </w:r>
      <w:r>
        <w:rPr>
          <w:sz w:val="18"/>
        </w:rPr>
        <w:br/>
        <w:br/>
        <w:t xml:space="preserve">By </w:t>
      </w:r>
      <w:r>
        <w:rPr>
          <w:sz w:val="18"/>
          <w:u w:val="single"/>
        </w:rPr>
        <w:tab/>
        <w:tab/>
      </w:r>
      <w:r>
        <w:rPr>
          <w:sz w:val="18"/>
        </w:rPr>
        <w:tab/>
        <w:tab/>
        <w:t xml:space="preserve">By:  </w:t>
      </w:r>
      <w:r>
        <w:rPr>
          <w:caps/>
          <w:kern w:val="2"/>
          <w:sz w:val="18"/>
        </w:rPr>
        <w:t>MIDLOTHIAN ENERGY LIMITED PARTNERSHIP</w:t>
      </w:r>
      <w:r>
        <w:rPr>
          <w:sz w:val="18"/>
        </w:rPr>
        <w:t xml:space="preserve">, </w:t>
      </w:r>
    </w:p>
    <w:p>
      <w:pPr>
        <w:pStyle w:val="DoubleSignatures"/>
        <w:tabs>
          <w:tab w:val="center" w:pos="2520" w:leader="none"/>
          <w:tab w:val="right" w:pos="5040" w:leader="none"/>
          <w:tab w:val="center" w:pos="5400" w:leader="none"/>
          <w:tab w:val="left" w:pos="5760" w:leader="none"/>
          <w:tab w:val="left" w:pos="6120" w:leader="none"/>
          <w:tab w:val="center" w:pos="8280" w:leader="none"/>
          <w:tab w:val="right" w:pos="10800" w:leader="none"/>
        </w:tabs>
        <w:spacing w:before="0" w:after="0"/>
        <w:rPr/>
      </w:pPr>
      <w:r>
        <w:rPr>
          <w:sz w:val="18"/>
        </w:rPr>
        <w:t xml:space="preserve">Title </w:t>
      </w:r>
      <w:r>
        <w:rPr>
          <w:sz w:val="18"/>
          <w:u w:val="single"/>
        </w:rPr>
        <w:tab/>
        <w:tab/>
      </w:r>
      <w:r>
        <w:rPr>
          <w:sz w:val="18"/>
        </w:rPr>
        <w:tab/>
        <w:tab/>
        <w:t xml:space="preserve">     </w:t>
        <w:tab/>
        <w:t>as agent for ABB ALSTOM POWER, INC.</w:t>
      </w:r>
    </w:p>
    <w:p>
      <w:pPr>
        <w:pStyle w:val="DoubleSignatures"/>
        <w:tabs>
          <w:tab w:val="center" w:pos="2520" w:leader="none"/>
          <w:tab w:val="right" w:pos="5040" w:leader="none"/>
          <w:tab w:val="center" w:pos="5400" w:leader="none"/>
          <w:tab w:val="left" w:pos="5760" w:leader="none"/>
          <w:tab w:val="left" w:pos="6120" w:leader="none"/>
          <w:tab w:val="center" w:pos="8280" w:leader="none"/>
          <w:tab w:val="right" w:pos="10800" w:leader="none"/>
        </w:tabs>
        <w:spacing w:before="0" w:after="0"/>
        <w:rPr>
          <w:sz w:val="18"/>
        </w:rPr>
      </w:pPr>
      <w:r>
        <w:rPr>
          <w:sz w:val="18"/>
        </w:rPr>
        <w:tab/>
        <w:tab/>
        <w:tab/>
        <w:tab/>
        <w:tab/>
        <w:t>(formerly known as ABB Power Generation, Inc.)</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right" w:pos="10800" w:leader="none"/>
        </w:tabs>
        <w:spacing w:before="0" w:after="0"/>
        <w:ind w:start="5400" w:end="0"/>
        <w:rPr>
          <w:sz w:val="18"/>
        </w:rPr>
      </w:pPr>
      <w:r>
        <w:rPr>
          <w:sz w:val="18"/>
        </w:rPr>
        <w:br/>
        <w:t xml:space="preserve">       </w:t>
        <w:tab/>
        <w:tab/>
        <w:t>By:  ANP MIDLOTHIAN ENERGY COMPANY</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tab/>
        <w:tab/>
        <w:tab/>
        <w:t>General Partner</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tab/>
        <w:tab/>
        <w:tab/>
        <w:t>By: __________________________________</w:t>
      </w:r>
    </w:p>
    <w:p>
      <w:pPr>
        <w:pStyle w:val="DoubleSignatures"/>
        <w:tabs>
          <w:tab w:val="center" w:pos="252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ind w:start="5400" w:end="0"/>
        <w:rPr>
          <w:sz w:val="18"/>
        </w:rPr>
      </w:pPr>
      <w:r>
        <w:rPr>
          <w:sz w:val="18"/>
        </w:rPr>
        <w:tab/>
        <w:tab/>
        <w:tab/>
        <w:t>Title: ________________________________</w:t>
      </w:r>
      <w:r>
        <w:br w:type="page"/>
      </w:r>
    </w:p>
    <w:p>
      <w:pPr>
        <w:pStyle w:val="Normal"/>
        <w:rPr>
          <w:sz w:val="18"/>
        </w:rPr>
      </w:pPr>
      <w:r>
        <w:rPr>
          <w:sz w:val="18"/>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fldChar w:fldCharType="begin"/>
      </w:r>
      <w:r>
        <w:rPr/>
        <w:instrText xml:space="preserve"> SEQ AutoNr \* ARABIC </w:instrText>
      </w:r>
      <w:r>
        <w:rPr/>
        <w:fldChar w:fldCharType="separate"/>
      </w:r>
      <w:r>
        <w:rPr/>
        <w:t>2</w:t>
      </w:r>
      <w:r>
        <w:rPr/>
        <w:fldChar w:fldCharType="end"/>
      </w:r>
      <w:r>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b/>
        </w:rPr>
      </w:pPr>
      <w:r>
        <w:rPr>
          <w:b/>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fldChar w:fldCharType="begin"/>
      </w:r>
      <w:r>
        <w:rPr/>
        <w:instrText xml:space="preserve"> SEQ AutoNr \* ARABIC </w:instrText>
      </w:r>
      <w:r>
        <w:rPr/>
        <w:fldChar w:fldCharType="separate"/>
      </w:r>
      <w:r>
        <w:rPr/>
        <w:t>3</w:t>
      </w:r>
      <w:r>
        <w:rPr/>
        <w:fldChar w:fldCharType="end"/>
      </w:r>
      <w:bookmarkEnd w:id="1"/>
      <w:r>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b/>
        </w:rPr>
      </w:pPr>
      <w:r>
        <w:rPr>
          <w:b/>
        </w:rPr>
        <w:t>Written Transaction Procedure:</w:t>
      </w:r>
    </w:p>
    <w:p>
      <w:pPr>
        <w:pStyle w:val="Normal"/>
        <w:pBdr>
          <w:top w:val="single" w:sz="6" w:space="1" w:color="000000"/>
          <w:left w:val="single" w:sz="6" w:space="1" w:color="000000"/>
          <w:bottom w:val="single" w:sz="6" w:space="1" w:color="000000"/>
          <w:right w:val="single" w:sz="6" w:space="1" w:color="000000"/>
        </w:pBdr>
        <w:rPr/>
      </w:pPr>
      <w:r>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fldChar w:fldCharType="begin"/>
      </w:r>
      <w:r>
        <w:rPr/>
        <w:instrText xml:space="preserve"> REF ConflictingConfirms \h </w:instrText>
      </w:r>
      <w:r>
        <w:rPr/>
        <w:fldChar w:fldCharType="separate"/>
      </w:r>
      <w:r>
        <w:rPr/>
        <w:t>4</w:t>
      </w:r>
      <w:r>
        <w:rPr/>
        <w:fldChar w:fldCharType="end"/>
      </w:r>
    </w:p>
    <w:p>
      <w:pPr>
        <w:pStyle w:val="Normal"/>
        <w:rPr/>
      </w:pPr>
      <w:bookmarkStart w:id="2" w:name="ConflictingConfirms"/>
      <w:r>
        <w:rPr/>
        <w:fldChar w:fldCharType="begin"/>
      </w:r>
      <w:r>
        <w:rPr/>
        <w:instrText xml:space="preserve"> SEQ AutoNr \* ARABIC </w:instrText>
      </w:r>
      <w:r>
        <w:rPr/>
        <w:fldChar w:fldCharType="separate"/>
      </w:r>
      <w:r>
        <w:rPr/>
        <w:t>4</w:t>
      </w:r>
      <w:r>
        <w:rPr/>
        <w:fldChar w:fldCharType="end"/>
      </w:r>
      <w:bookmarkEnd w:id="2"/>
      <w:r>
        <w:rPr/>
        <w:tab/>
        <w:t xml:space="preserve">If a sending party's Transaction Confirmation is materially different from the receiving party's understanding of the agreement referred to in Section </w:t>
      </w:r>
      <w:r>
        <w:fldChar w:fldCharType="begin"/>
      </w:r>
      <w:r>
        <w:rPr/>
        <w:instrText xml:space="preserve"> WrittenFormationProcedures </w:instrText>
      </w:r>
      <w:r>
        <w:rPr/>
      </w:r>
      <w:r>
        <w:rPr/>
        <w:fldChar w:fldCharType="separate"/>
      </w:r>
      <w:r>
        <w:rPr/>
        <w:t>1.2.</w:t>
      </w:r>
      <w:r>
        <w:rPr/>
      </w:r>
      <w:r>
        <w:rPr/>
        <w:fldChar w:fldCharType="end"/>
      </w:r>
      <w:r>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fldChar w:fldCharType="begin"/>
      </w:r>
      <w:r>
        <w:rPr/>
        <w:instrText xml:space="preserve"> SEQ AutoNr \* ARABIC </w:instrText>
      </w:r>
      <w:r>
        <w:rPr/>
        <w:fldChar w:fldCharType="separate"/>
      </w:r>
      <w:r>
        <w:rPr/>
        <w:t>6</w:t>
      </w:r>
      <w:r>
        <w:rPr/>
        <w:fldChar w:fldCharType="end"/>
      </w:r>
      <w:r>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fldChar w:fldCharType="begin"/>
      </w:r>
      <w:r>
        <w:rPr/>
        <w:instrText xml:space="preserve"> SEQ AutoNr \* ARABIC </w:instrText>
      </w:r>
      <w:r>
        <w:rPr/>
        <w:fldChar w:fldCharType="separate"/>
      </w:r>
      <w:r>
        <w:rPr/>
        <w:t>7</w:t>
      </w:r>
      <w:r>
        <w:rPr/>
        <w:fldChar w:fldCharType="end"/>
      </w:r>
      <w:r>
        <w:rPr/>
        <w:tab/>
        <w:t>"British thermal unit" or "Btu" shall have the meaning ascribed to it by the Receiving Transporter.</w:t>
      </w:r>
    </w:p>
    <w:p>
      <w:pPr>
        <w:pStyle w:val="Normal"/>
        <w:rPr/>
      </w:pPr>
      <w:r>
        <w:rPr/>
        <w:fldChar w:fldCharType="begin"/>
      </w:r>
      <w:r>
        <w:rPr/>
        <w:instrText xml:space="preserve"> SEQ AutoNr \* ARABIC </w:instrText>
      </w:r>
      <w:r>
        <w:rPr/>
        <w:fldChar w:fldCharType="separate"/>
      </w:r>
      <w:r>
        <w:rPr/>
        <w:t>8</w:t>
      </w:r>
      <w:r>
        <w:rPr/>
        <w:fldChar w:fldCharType="end"/>
      </w:r>
      <w:r>
        <w:rPr/>
        <w:tab/>
        <w:t>"Business Day" shall mean any day except Saturday, Sunday or Federal Reserve Bank holidays.</w:t>
      </w:r>
    </w:p>
    <w:p>
      <w:pPr>
        <w:pStyle w:val="Normal"/>
        <w:rPr/>
      </w:pPr>
      <w:bookmarkStart w:id="3" w:name="ConfirmDeadline"/>
      <w:r>
        <w:rPr/>
        <w:fldChar w:fldCharType="begin"/>
      </w:r>
      <w:r>
        <w:rPr/>
        <w:instrText xml:space="preserve"> SEQ AutoNr \* ARABIC </w:instrText>
      </w:r>
      <w:r>
        <w:rPr/>
        <w:fldChar w:fldCharType="separate"/>
      </w:r>
      <w:r>
        <w:rPr/>
        <w:t>9</w:t>
      </w:r>
      <w:r>
        <w:rPr/>
        <w:fldChar w:fldCharType="end"/>
      </w:r>
      <w:bookmarkEnd w:id="3"/>
      <w:r>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fldChar w:fldCharType="begin"/>
      </w:r>
      <w:r>
        <w:rPr/>
        <w:instrText xml:space="preserve"> SEQ AutoNr \* ARABIC </w:instrText>
      </w:r>
      <w:r>
        <w:rPr/>
        <w:fldChar w:fldCharType="separate"/>
      </w:r>
      <w:r>
        <w:rPr/>
        <w:t>10</w:t>
      </w:r>
      <w:r>
        <w:rPr/>
        <w:fldChar w:fldCharType="end"/>
      </w:r>
      <w:bookmarkEnd w:id="4"/>
      <w:r>
        <w:rPr/>
        <w:tab/>
        <w:t>"Confirming Party" shall mean the party designated in the Base Contract to prepare and forward Transaction Confirmations to the other party.</w:t>
      </w:r>
    </w:p>
    <w:p>
      <w:pPr>
        <w:pStyle w:val="Normal"/>
        <w:rPr/>
      </w:pPr>
      <w:r>
        <w:rPr/>
        <w:fldChar w:fldCharType="begin"/>
      </w:r>
      <w:r>
        <w:rPr/>
        <w:instrText xml:space="preserve"> SEQ AutoNr \* ARABIC </w:instrText>
      </w:r>
      <w:r>
        <w:rPr/>
        <w:fldChar w:fldCharType="separate"/>
      </w:r>
      <w:r>
        <w:rPr/>
        <w:t>11</w:t>
      </w:r>
      <w:r>
        <w:rPr/>
        <w:fldChar w:fldCharType="end"/>
      </w:r>
      <w:r>
        <w:rPr/>
        <w:tab/>
        <w:t>"Contract" shall mean the legally-binding relationship established by (</w:t>
      </w:r>
      <w:r>
        <w:rPr/>
        <w:fldChar w:fldCharType="begin"/>
      </w:r>
      <w:r>
        <w:rPr/>
        <w:instrText xml:space="preserve"> SEQ contractdef \* roman </w:instrText>
      </w:r>
      <w:r>
        <w:rPr/>
        <w:fldChar w:fldCharType="separate"/>
      </w:r>
      <w:r>
        <w:rPr/>
        <w:t>i</w:t>
      </w:r>
      <w:r>
        <w:rPr/>
        <w:fldChar w:fldCharType="end"/>
      </w:r>
      <w:r>
        <w:rPr/>
        <w:t>) the Base Contract and (</w:t>
      </w:r>
      <w:r>
        <w:rPr/>
        <w:fldChar w:fldCharType="begin"/>
      </w:r>
      <w:r>
        <w:rPr/>
        <w:instrText xml:space="preserve"> SEQ contractdef \* roman </w:instrText>
      </w:r>
      <w:r>
        <w:rPr/>
        <w:fldChar w:fldCharType="separate"/>
      </w:r>
      <w:r>
        <w:rPr/>
        <w:t>ii</w:t>
      </w:r>
      <w:r>
        <w:rPr/>
        <w:fldChar w:fldCharType="end"/>
      </w:r>
      <w:r>
        <w:rPr/>
        <w:t>) the provisions contained in any effective Transaction Confirmation.</w:t>
      </w:r>
    </w:p>
    <w:p>
      <w:pPr>
        <w:pStyle w:val="Normal"/>
        <w:rPr/>
      </w:pPr>
      <w:r>
        <w:rPr/>
        <w:fldChar w:fldCharType="begin"/>
      </w:r>
      <w:r>
        <w:rPr/>
        <w:instrText xml:space="preserve"> SEQ AutoNr \* ARABIC </w:instrText>
      </w:r>
      <w:r>
        <w:rPr/>
        <w:fldChar w:fldCharType="separate"/>
      </w:r>
      <w:r>
        <w:rPr/>
        <w:t>12</w:t>
      </w:r>
      <w:r>
        <w:rPr/>
        <w:fldChar w:fldCharType="end"/>
      </w:r>
      <w:r>
        <w:rPr/>
        <w:tab/>
        <w:t>"Contract Price" shall mean the amount expressed in U.S. Dollars per MMBtu, as evidenced by the Contract Price on the Transaction Confirmation.</w:t>
      </w:r>
    </w:p>
    <w:p>
      <w:pPr>
        <w:pStyle w:val="Normal"/>
        <w:rPr/>
      </w:pPr>
      <w:r>
        <w:rPr/>
        <w:fldChar w:fldCharType="begin"/>
      </w:r>
      <w:r>
        <w:rPr/>
        <w:instrText xml:space="preserve"> SEQ AutoNr \* ARABIC </w:instrText>
      </w:r>
      <w:r>
        <w:rPr/>
        <w:fldChar w:fldCharType="separate"/>
      </w:r>
      <w:r>
        <w:rPr/>
        <w:t>13</w:t>
      </w:r>
      <w:r>
        <w:rPr/>
        <w:fldChar w:fldCharType="end"/>
      </w:r>
      <w:r>
        <w:rPr/>
        <w:tab/>
        <w:t>"Contract Quantity" shall mean the quantity of Gas to be delivered and taken as set forth in the Transaction Confirmation.</w:t>
      </w:r>
    </w:p>
    <w:p>
      <w:pPr>
        <w:pStyle w:val="Normal"/>
        <w:rPr/>
      </w:pPr>
      <w:r>
        <w:rPr/>
        <w:fldChar w:fldCharType="begin"/>
      </w:r>
      <w:r>
        <w:rPr/>
        <w:instrText xml:space="preserve"> SEQ AutoNr \* ARABIC </w:instrText>
      </w:r>
      <w:r>
        <w:rPr/>
        <w:fldChar w:fldCharType="separate"/>
      </w:r>
      <w:r>
        <w:rPr/>
        <w:t>14</w:t>
      </w:r>
      <w:r>
        <w:rPr/>
        <w:fldChar w:fldCharType="end"/>
      </w:r>
      <w:r>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fldChar w:fldCharType="begin"/>
      </w:r>
      <w:r>
        <w:rPr/>
        <w:instrText xml:space="preserve"> SEQ AutoNr \* ARABIC </w:instrText>
      </w:r>
      <w:r>
        <w:rPr/>
        <w:fldChar w:fldCharType="separate"/>
      </w:r>
      <w:r>
        <w:rPr/>
        <w:t>15</w:t>
      </w:r>
      <w:r>
        <w:rPr/>
        <w:fldChar w:fldCharType="end"/>
      </w:r>
      <w:r>
        <w:rPr/>
        <w:tab/>
        <w:t>"Day" shall mean a period of 24 consecutive hours, coextensive with a "day" as defined by the Receiving Transporter in a particular transaction.</w:t>
      </w:r>
    </w:p>
    <w:p>
      <w:pPr>
        <w:pStyle w:val="Normal"/>
        <w:rPr/>
      </w:pPr>
      <w:r>
        <w:rPr/>
        <w:fldChar w:fldCharType="begin"/>
      </w:r>
      <w:r>
        <w:rPr/>
        <w:instrText xml:space="preserve"> SEQ AutoNr \* ARABIC </w:instrText>
      </w:r>
      <w:r>
        <w:rPr/>
        <w:fldChar w:fldCharType="separate"/>
      </w:r>
      <w:r>
        <w:rPr/>
        <w:t>16</w:t>
      </w:r>
      <w:r>
        <w:rPr/>
        <w:fldChar w:fldCharType="end"/>
      </w:r>
      <w:r>
        <w:rPr/>
        <w:tab/>
        <w:t>"Delivery Period" shall be the period during which deliveries are to be made as set forth in the Transaction Confirmation.</w:t>
      </w:r>
    </w:p>
    <w:p>
      <w:pPr>
        <w:pStyle w:val="Normal"/>
        <w:rPr/>
      </w:pPr>
      <w:r>
        <w:rPr/>
        <w:fldChar w:fldCharType="begin"/>
      </w:r>
      <w:r>
        <w:rPr/>
        <w:instrText xml:space="preserve"> SEQ AutoNr \* ARABIC </w:instrText>
      </w:r>
      <w:r>
        <w:rPr/>
        <w:fldChar w:fldCharType="separate"/>
      </w:r>
      <w:r>
        <w:rPr/>
        <w:t>17</w:t>
      </w:r>
      <w:r>
        <w:rPr/>
        <w:fldChar w:fldCharType="end"/>
      </w:r>
      <w:r>
        <w:rPr/>
        <w:tab/>
        <w:t>"Delivery Point(s)" shall mean such point(s) as are mutually agreed upon between Seller and Buyer as set forth in the Transaction Confirmation.</w:t>
      </w:r>
    </w:p>
    <w:p>
      <w:pPr>
        <w:pStyle w:val="Normal"/>
        <w:rPr/>
      </w:pPr>
      <w:r>
        <w:rPr/>
        <w:fldChar w:fldCharType="begin"/>
      </w:r>
      <w:r>
        <w:rPr/>
        <w:instrText xml:space="preserve"> SEQ AutoNr \* ARABIC </w:instrText>
      </w:r>
      <w:r>
        <w:rPr/>
        <w:fldChar w:fldCharType="separate"/>
      </w:r>
      <w:r>
        <w:rPr/>
        <w:t>18</w:t>
      </w:r>
      <w:r>
        <w:rPr/>
        <w:fldChar w:fldCharType="end"/>
      </w:r>
      <w:r>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fldChar w:fldCharType="begin"/>
      </w:r>
      <w:r>
        <w:rPr/>
        <w:instrText xml:space="preserve"> SEQ AutoNr \* ARABIC </w:instrText>
      </w:r>
      <w:r>
        <w:rPr/>
        <w:fldChar w:fldCharType="separate"/>
      </w:r>
      <w:r>
        <w:rPr/>
        <w:t>19</w:t>
      </w:r>
      <w:r>
        <w:rPr/>
        <w:fldChar w:fldCharType="end"/>
      </w:r>
      <w:bookmarkEnd w:id="5"/>
      <w:r>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fldChar w:fldCharType="begin"/>
      </w:r>
      <w:r>
        <w:rPr/>
        <w:instrText xml:space="preserve"> SEQ AutoNr \* ARABIC </w:instrText>
      </w:r>
      <w:r>
        <w:rPr/>
        <w:fldChar w:fldCharType="separate"/>
      </w:r>
      <w:r>
        <w:rPr/>
        <w:t>20</w:t>
      </w:r>
      <w:r>
        <w:rPr/>
        <w:fldChar w:fldCharType="end"/>
      </w:r>
      <w:bookmarkEnd w:id="6"/>
      <w:r>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fldChar w:fldCharType="begin"/>
      </w:r>
      <w:r>
        <w:rPr/>
        <w:instrText xml:space="preserve"> REF ImbalanceCharges \h </w:instrText>
      </w:r>
      <w:r>
        <w:rPr/>
        <w:fldChar w:fldCharType="separate"/>
      </w:r>
      <w:r>
        <w:rPr/>
        <w:t>39</w:t>
      </w:r>
      <w:r>
        <w:rPr/>
        <w:fldChar w:fldCharType="end"/>
      </w:r>
      <w:r>
        <w:rPr/>
        <w:t xml:space="preserve"> related to its interruption after the nomination is made to the Transporter and until the change in deliveries and/or receipts is confirmed by the Transporter.</w:t>
      </w:r>
    </w:p>
    <w:p>
      <w:pPr>
        <w:pStyle w:val="Normal"/>
        <w:rPr/>
      </w:pPr>
      <w:r>
        <w:rPr/>
        <w:fldChar w:fldCharType="begin"/>
      </w:r>
      <w:r>
        <w:rPr/>
        <w:instrText xml:space="preserve"> SEQ AutoNr \* ARABIC </w:instrText>
      </w:r>
      <w:r>
        <w:rPr/>
        <w:fldChar w:fldCharType="separate"/>
      </w:r>
      <w:r>
        <w:rPr/>
        <w:t>21</w:t>
      </w:r>
      <w:r>
        <w:rPr/>
        <w:fldChar w:fldCharType="end"/>
      </w:r>
      <w:r>
        <w:rPr/>
        <w:tab/>
        <w:t>"Gas" shall mean any mixture of hydrocarbons and non-combustible gases in a gaseous state consisting primarily of methane.</w:t>
      </w:r>
    </w:p>
    <w:p>
      <w:pPr>
        <w:pStyle w:val="Normal"/>
        <w:rPr/>
      </w:pPr>
      <w:bookmarkStart w:id="7" w:name="ImbalanceChargesDefined"/>
      <w:r>
        <w:rPr/>
        <w:fldChar w:fldCharType="begin"/>
      </w:r>
      <w:r>
        <w:rPr/>
        <w:instrText xml:space="preserve"> SEQ AutoNr \* ARABIC </w:instrText>
      </w:r>
      <w:r>
        <w:rPr/>
        <w:fldChar w:fldCharType="separate"/>
      </w:r>
      <w:r>
        <w:rPr/>
        <w:t>22</w:t>
      </w:r>
      <w:r>
        <w:rPr/>
        <w:fldChar w:fldCharType="end"/>
      </w:r>
      <w:bookmarkEnd w:id="7"/>
      <w:r>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fldChar w:fldCharType="begin"/>
      </w:r>
      <w:r>
        <w:rPr/>
        <w:instrText xml:space="preserve"> SEQ AutoNr \* ARABIC </w:instrText>
      </w:r>
      <w:r>
        <w:rPr/>
        <w:fldChar w:fldCharType="separate"/>
      </w:r>
      <w:r>
        <w:rPr/>
        <w:t>23</w:t>
      </w:r>
      <w:r>
        <w:rPr/>
        <w:fldChar w:fldCharType="end"/>
      </w:r>
      <w:bookmarkEnd w:id="8"/>
      <w:r>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instrText xml:space="preserve"> ImbalanceCharges </w:instrText>
      </w:r>
      <w:r>
        <w:rPr/>
      </w:r>
      <w:r>
        <w:rPr/>
        <w:fldChar w:fldCharType="separate"/>
      </w:r>
      <w:r>
        <w:rPr/>
        <w:t>4.3.</w:t>
      </w:r>
      <w:r>
        <w:rPr/>
      </w:r>
      <w:r>
        <w:rPr/>
        <w:fldChar w:fldCharType="end"/>
      </w:r>
      <w:r>
        <w:rPr/>
        <w:t xml:space="preserve"> related to its interruption after the nomination is made to the Transporter and until the change in deliveries and/or receipts is confirmed by Transporter.</w:t>
      </w:r>
    </w:p>
    <w:p>
      <w:pPr>
        <w:pStyle w:val="Normal"/>
        <w:rPr/>
      </w:pPr>
      <w:r>
        <w:rPr/>
        <w:fldChar w:fldCharType="begin"/>
      </w:r>
      <w:r>
        <w:rPr/>
        <w:instrText xml:space="preserve"> SEQ AutoNr \* ARABIC </w:instrText>
      </w:r>
      <w:r>
        <w:rPr/>
        <w:fldChar w:fldCharType="separate"/>
      </w:r>
      <w:r>
        <w:rPr/>
        <w:t>24</w:t>
      </w:r>
      <w:r>
        <w:rPr/>
        <w:fldChar w:fldCharType="end"/>
      </w:r>
      <w:r>
        <w:rPr/>
        <w:tab/>
        <w:t>"MMBtu" shall mean one million British thermal units which is equivalent to one dekatherm.</w:t>
      </w:r>
    </w:p>
    <w:p>
      <w:pPr>
        <w:pStyle w:val="Normal"/>
        <w:rPr/>
      </w:pPr>
      <w:r>
        <w:rPr/>
        <w:fldChar w:fldCharType="begin"/>
      </w:r>
      <w:r>
        <w:rPr/>
        <w:instrText xml:space="preserve"> SEQ AutoNr \* ARABIC </w:instrText>
      </w:r>
      <w:r>
        <w:rPr/>
        <w:fldChar w:fldCharType="separate"/>
      </w:r>
      <w:r>
        <w:rPr/>
        <w:t>25</w:t>
      </w:r>
      <w:r>
        <w:rPr/>
        <w:fldChar w:fldCharType="end"/>
      </w:r>
      <w:r>
        <w:rPr/>
        <w:tab/>
        <w:t>"Month" shall mean the period beginning on the first Day of the calendar month and ending immediately prior to the commencement of the first Day of the next calendar month.</w:t>
      </w:r>
    </w:p>
    <w:p>
      <w:pPr>
        <w:pStyle w:val="Normal"/>
        <w:rPr/>
      </w:pPr>
      <w:r>
        <w:rPr/>
        <w:fldChar w:fldCharType="begin"/>
      </w:r>
      <w:r>
        <w:rPr/>
        <w:instrText xml:space="preserve"> SEQ AutoNr \* ARABIC </w:instrText>
      </w:r>
      <w:r>
        <w:rPr/>
        <w:fldChar w:fldCharType="separate"/>
      </w:r>
      <w:r>
        <w:rPr/>
        <w:t>26</w:t>
      </w:r>
      <w:r>
        <w:rPr/>
        <w:fldChar w:fldCharType="end"/>
      </w:r>
      <w:r>
        <w:rPr/>
        <w:tab/>
        <w:t>"Payment Date" shall mean a date, selected by the parties in the Base Contract, on or before which payment is due Seller for Gas received by Buyer in the previous Month.</w:t>
      </w:r>
    </w:p>
    <w:p>
      <w:pPr>
        <w:pStyle w:val="Normal"/>
        <w:rPr/>
      </w:pPr>
      <w:r>
        <w:rPr/>
        <w:fldChar w:fldCharType="begin"/>
      </w:r>
      <w:r>
        <w:rPr/>
        <w:instrText xml:space="preserve"> SEQ AutoNr \* ARABIC </w:instrText>
      </w:r>
      <w:r>
        <w:rPr/>
        <w:fldChar w:fldCharType="separate"/>
      </w:r>
      <w:r>
        <w:rPr/>
        <w:t>27</w:t>
      </w:r>
      <w:r>
        <w:rPr/>
        <w:fldChar w:fldCharType="end"/>
      </w:r>
      <w:r>
        <w:rPr/>
        <w:tab/>
        <w:t>"Receiving Transporter" shall mean the Transporter receiving Gas at a Delivery Point, or absent such receiving Transporter, the Transporter delivering Gas at a Delivery Point.</w:t>
      </w:r>
    </w:p>
    <w:p>
      <w:pPr>
        <w:pStyle w:val="Normal"/>
        <w:rPr/>
      </w:pPr>
      <w:r>
        <w:rPr/>
        <w:fldChar w:fldCharType="begin"/>
      </w:r>
      <w:r>
        <w:rPr/>
        <w:instrText xml:space="preserve"> SEQ AutoNr \* ARABIC </w:instrText>
      </w:r>
      <w:r>
        <w:rPr/>
        <w:fldChar w:fldCharType="separate"/>
      </w:r>
      <w:r>
        <w:rPr/>
        <w:t>28</w:t>
      </w:r>
      <w:r>
        <w:rPr/>
        <w:fldChar w:fldCharType="end"/>
      </w:r>
      <w:r>
        <w:rPr/>
        <w:tab/>
        <w:t>"Scheduled Gas" shall mean the quantity of Gas confirmed by Transporter(s) for movement, transportation or management.</w:t>
      </w:r>
    </w:p>
    <w:p>
      <w:pPr>
        <w:pStyle w:val="Normal"/>
        <w:rPr/>
      </w:pPr>
      <w:bookmarkStart w:id="9" w:name="SpotPrice"/>
      <w:r>
        <w:rPr/>
        <w:fldChar w:fldCharType="begin"/>
      </w:r>
      <w:r>
        <w:rPr/>
        <w:instrText xml:space="preserve"> SEQ AutoNr \* ARABIC </w:instrText>
      </w:r>
      <w:r>
        <w:rPr/>
        <w:fldChar w:fldCharType="separate"/>
      </w:r>
      <w:r>
        <w:rPr/>
        <w:t>29</w:t>
      </w:r>
      <w:r>
        <w:rPr/>
        <w:fldChar w:fldCharType="end"/>
      </w:r>
      <w:bookmarkEnd w:id="9"/>
      <w:r>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fldChar w:fldCharType="begin"/>
      </w:r>
      <w:r>
        <w:rPr/>
        <w:instrText xml:space="preserve"> SEQ spotprice \* roman </w:instrText>
      </w:r>
      <w:r>
        <w:rPr/>
        <w:fldChar w:fldCharType="separate"/>
      </w:r>
      <w:r>
        <w:rPr/>
        <w:t>i</w:t>
      </w:r>
      <w:r>
        <w:rPr/>
        <w:fldChar w:fldCharType="end"/>
      </w:r>
      <w:r>
        <w:rPr/>
        <w:t>) the price (determined as stated above) for the first Day for which a price or range of prices is published that next precedes the relevant Day; and (</w:t>
      </w:r>
      <w:r>
        <w:rPr/>
        <w:fldChar w:fldCharType="begin"/>
      </w:r>
      <w:r>
        <w:rPr/>
        <w:instrText xml:space="preserve"> SEQ spotprice \* roman </w:instrText>
      </w:r>
      <w:r>
        <w:rPr/>
        <w:fldChar w:fldCharType="separate"/>
      </w:r>
      <w:r>
        <w:rPr/>
        <w:t>ii</w:t>
      </w:r>
      <w:r>
        <w:rPr/>
        <w:fldChar w:fldCharType="end"/>
      </w:r>
      <w:r>
        <w:rPr/>
        <w:t>) the price (determined as stated above) for the first Day for which a price or range of prices is published that next follows the relevant Day.</w:t>
      </w:r>
    </w:p>
    <w:p>
      <w:pPr>
        <w:pStyle w:val="Normal"/>
        <w:rPr/>
      </w:pPr>
      <w:r>
        <w:rPr/>
        <w:fldChar w:fldCharType="begin"/>
      </w:r>
      <w:r>
        <w:rPr/>
        <w:instrText xml:space="preserve"> SEQ AutoNr \* ARABIC </w:instrText>
      </w:r>
      <w:r>
        <w:rPr/>
        <w:fldChar w:fldCharType="separate"/>
      </w:r>
      <w:r>
        <w:rPr/>
        <w:t>30</w:t>
      </w:r>
      <w:r>
        <w:rPr/>
        <w:fldChar w:fldCharType="end"/>
      </w:r>
      <w:r>
        <w:rPr/>
        <w:tab/>
        <w:t xml:space="preserve">"Transaction Confirmation" shall mean the document, substantially in the form of Exhibit </w:t>
      </w:r>
      <w:r>
        <w:fldChar w:fldCharType="begin"/>
      </w:r>
      <w:r>
        <w:rPr/>
        <w:instrText xml:space="preserve"> ConfirmationExhibit \* charformat</w:instrText>
      </w:r>
      <w:r>
        <w:rPr/>
      </w:r>
      <w:r>
        <w:rPr/>
        <w:fldChar w:fldCharType="separate"/>
      </w:r>
      <w:r>
        <w:rPr/>
        <w:t>A</w:t>
      </w:r>
      <w:r>
        <w:rPr/>
      </w:r>
      <w:r>
        <w:rPr/>
        <w:fldChar w:fldCharType="end"/>
      </w:r>
      <w:r>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t xml:space="preserve"> for a particular Delivery Period.</w:t>
      </w:r>
    </w:p>
    <w:p>
      <w:pPr>
        <w:pStyle w:val="Normal"/>
        <w:rPr/>
      </w:pPr>
      <w:r>
        <w:rPr/>
        <w:fldChar w:fldCharType="begin"/>
      </w:r>
      <w:r>
        <w:rPr/>
        <w:instrText xml:space="preserve"> SEQ AutoNr \* ARABIC </w:instrText>
      </w:r>
      <w:r>
        <w:rPr/>
        <w:fldChar w:fldCharType="separate"/>
      </w:r>
      <w:r>
        <w:rPr/>
        <w:t>31</w:t>
      </w:r>
      <w:r>
        <w:rPr/>
        <w:fldChar w:fldCharType="end"/>
      </w:r>
      <w:r>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fldChar w:fldCharType="begin"/>
      </w:r>
      <w:r>
        <w:rPr/>
        <w:instrText xml:space="preserve"> SEQ AutoNr \* ARABIC </w:instrText>
      </w:r>
      <w:r>
        <w:rPr/>
        <w:fldChar w:fldCharType="separate"/>
      </w:r>
      <w:r>
        <w:rPr/>
        <w:t>33</w:t>
      </w:r>
      <w:r>
        <w:rPr/>
        <w:fldChar w:fldCharType="end"/>
      </w:r>
      <w:r>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pPr>
      <w:r>
        <w:rPr/>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rPr>
      </w:pPr>
      <w:r>
        <w:rPr>
          <w:b/>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fldChar w:fldCharType="begin"/>
      </w:r>
      <w:r>
        <w:rPr/>
        <w:instrText xml:space="preserve"> SEQ AutoNr \* ARABIC </w:instrText>
      </w:r>
      <w:r>
        <w:rPr/>
        <w:fldChar w:fldCharType="separate"/>
      </w:r>
      <w:r>
        <w:rPr/>
        <w:t>34</w:t>
      </w:r>
      <w:r>
        <w:rPr/>
        <w:fldChar w:fldCharType="end"/>
      </w:r>
      <w:bookmarkEnd w:id="10"/>
      <w:r>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b/>
        </w:rPr>
      </w:pPr>
      <w:r>
        <w:rPr>
          <w:b/>
        </w:rPr>
        <w:t>Spot Price Standard:</w:t>
      </w:r>
    </w:p>
    <w:p>
      <w:pPr>
        <w:pStyle w:val="Normal"/>
        <w:pBdr>
          <w:top w:val="single" w:sz="6" w:space="1" w:color="000000"/>
          <w:left w:val="single" w:sz="6" w:space="1" w:color="000000"/>
          <w:bottom w:val="single" w:sz="6" w:space="1" w:color="000000"/>
          <w:right w:val="single" w:sz="6" w:space="1" w:color="000000"/>
        </w:pBdr>
        <w:rPr/>
      </w:pPr>
      <w:r>
        <w:rPr/>
        <w:t>3.2.</w:t>
        <w:tab/>
        <w:t>In addition to any liability for Imbalance Charges, which shall not be recovered twice by the following remedy, the exclusive and sole remedy of the parties in the event of a breach of a Firm obligation shall be recovery of the following:  (</w:t>
      </w:r>
      <w:r>
        <w:rPr/>
        <w:fldChar w:fldCharType="begin"/>
      </w:r>
      <w:r>
        <w:rPr/>
        <w:instrText xml:space="preserve"> SEQ breachseller \* roman </w:instrText>
      </w:r>
      <w:r>
        <w:rPr/>
        <w:fldChar w:fldCharType="separate"/>
      </w:r>
      <w:r>
        <w:rPr/>
        <w:t>i</w:t>
      </w:r>
      <w:r>
        <w:rPr/>
        <w:fldChar w:fldCharType="end"/>
      </w:r>
      <w:r>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or (</w:t>
      </w:r>
      <w:r>
        <w:rPr/>
        <w:fldChar w:fldCharType="begin"/>
      </w:r>
      <w:r>
        <w:rPr/>
        <w:instrText xml:space="preserve"> SEQ breachseller \* roman </w:instrText>
      </w:r>
      <w:r>
        <w:rPr/>
        <w:fldChar w:fldCharType="separate"/>
      </w:r>
      <w:r>
        <w:rPr/>
        <w:t>ii</w:t>
      </w:r>
      <w:r>
        <w:rPr/>
        <w:fldChar w:fldCharType="end"/>
      </w:r>
      <w:r>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fldChar w:fldCharType="begin"/>
      </w:r>
      <w:r>
        <w:rPr/>
        <w:instrText xml:space="preserve"> SEQ AutoNr \* ARABIC </w:instrText>
      </w:r>
      <w:r>
        <w:rPr/>
        <w:fldChar w:fldCharType="separate"/>
      </w:r>
      <w:r>
        <w:rPr/>
        <w:t>35</w:t>
      </w:r>
      <w:r>
        <w:rPr/>
        <w:fldChar w:fldCharType="end"/>
      </w:r>
      <w:r>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fldChar w:fldCharType="begin"/>
      </w:r>
      <w:r>
        <w:rPr/>
        <w:instrText xml:space="preserve"> SEQ AutoNr \* ARABIC </w:instrText>
      </w:r>
      <w:r>
        <w:rPr/>
        <w:fldChar w:fldCharType="separate"/>
      </w:r>
      <w:r>
        <w:rPr/>
        <w:t>37</w:t>
      </w:r>
      <w:r>
        <w:rPr/>
        <w:fldChar w:fldCharType="end"/>
      </w:r>
      <w:r>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fldChar w:fldCharType="begin"/>
      </w:r>
      <w:r>
        <w:rPr/>
        <w:instrText xml:space="preserve"> SEQ AutoNr \* ARABIC </w:instrText>
      </w:r>
      <w:r>
        <w:rPr/>
        <w:fldChar w:fldCharType="separate"/>
      </w:r>
      <w:r>
        <w:rPr/>
        <w:t>38</w:t>
      </w:r>
      <w:r>
        <w:rPr/>
        <w:fldChar w:fldCharType="end"/>
      </w:r>
      <w:bookmarkEnd w:id="11"/>
      <w:r>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fldChar w:fldCharType="begin"/>
      </w:r>
      <w:r>
        <w:rPr/>
        <w:instrText xml:space="preserve"> SEQ AutoNr \* ARABIC </w:instrText>
      </w:r>
      <w:r>
        <w:rPr/>
        <w:fldChar w:fldCharType="separate"/>
      </w:r>
      <w:r>
        <w:rPr/>
        <w:t>39</w:t>
      </w:r>
      <w:r>
        <w:rPr/>
        <w:fldChar w:fldCharType="end"/>
      </w:r>
      <w:bookmarkEnd w:id="12"/>
      <w:r>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pPr>
      <w:r>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pPr>
      <w:r>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pPr>
      <w:r>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rPr>
      </w:pPr>
      <w:r>
        <w:rPr>
          <w:b/>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rPr>
      </w:pPr>
      <w:r>
        <w:rPr>
          <w:b/>
        </w:rPr>
        <w:t>Buyer Pays At and After Delivery Point:</w:t>
      </w:r>
    </w:p>
    <w:p>
      <w:pPr>
        <w:pStyle w:val="Normal"/>
        <w:pBdr>
          <w:top w:val="single" w:sz="6" w:space="1" w:color="000000"/>
          <w:left w:val="single" w:sz="6" w:space="1" w:color="000000"/>
          <w:bottom w:val="single" w:sz="6" w:space="1" w:color="000000"/>
          <w:right w:val="single" w:sz="6" w:space="1" w:color="000000"/>
        </w:pBdr>
        <w:rPr/>
      </w:pPr>
      <w:r>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b/>
        </w:rPr>
      </w:pPr>
      <w:r>
        <w:rPr>
          <w:b/>
        </w:rPr>
        <w:t>Seller Pays Before and At Delivery Point:</w:t>
      </w:r>
    </w:p>
    <w:p>
      <w:pPr>
        <w:pStyle w:val="Normal"/>
        <w:pBdr>
          <w:top w:val="single" w:sz="6" w:space="1" w:color="000000"/>
          <w:left w:val="single" w:sz="6" w:space="1" w:color="000000"/>
          <w:bottom w:val="single" w:sz="6" w:space="1" w:color="000000"/>
          <w:right w:val="single" w:sz="6" w:space="1" w:color="000000"/>
        </w:pBdr>
        <w:rPr/>
      </w:pPr>
      <w:r>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fldChar w:fldCharType="begin"/>
      </w:r>
      <w:r>
        <w:rPr/>
        <w:instrText xml:space="preserve"> SEQ AutoNr \* ARABIC </w:instrText>
      </w:r>
      <w:r>
        <w:rPr/>
        <w:fldChar w:fldCharType="separate"/>
      </w:r>
      <w:r>
        <w:rPr/>
        <w:t>43</w:t>
      </w:r>
      <w:r>
        <w:rPr/>
        <w:fldChar w:fldCharType="end"/>
      </w:r>
      <w:r>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fldChar w:fldCharType="begin"/>
      </w:r>
      <w:r>
        <w:rPr/>
        <w:instrText xml:space="preserve"> SEQ AutoNr \* ARABIC </w:instrText>
      </w:r>
      <w:r>
        <w:rPr/>
        <w:fldChar w:fldCharType="separate"/>
      </w:r>
      <w:r>
        <w:rPr/>
        <w:t>44</w:t>
      </w:r>
      <w:r>
        <w:rPr/>
        <w:fldChar w:fldCharType="end"/>
      </w:r>
      <w:bookmarkEnd w:id="16"/>
      <w:r>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fldChar w:fldCharType="begin"/>
      </w:r>
      <w:r>
        <w:rPr/>
        <w:instrText xml:space="preserve"> SEQ interestrate \* roman </w:instrText>
      </w:r>
      <w:r>
        <w:rPr/>
        <w:fldChar w:fldCharType="separate"/>
      </w:r>
      <w:r>
        <w:rPr/>
        <w:t>i</w:t>
      </w:r>
      <w:r>
        <w:rPr/>
        <w:fldChar w:fldCharType="end"/>
      </w:r>
      <w:r>
        <w:rPr/>
        <w:t xml:space="preserve">) the then-effective prime rate of interest published under "Money Rates" by </w:t>
      </w:r>
      <w:r>
        <w:rPr>
          <w:u w:val="single"/>
        </w:rPr>
        <w:t>The Wall Street Journal</w:t>
      </w:r>
      <w:r>
        <w:rPr/>
        <w:t>, plus two percent per annum from the date due until the date of payment; or (</w:t>
      </w:r>
      <w:r>
        <w:rPr/>
        <w:fldChar w:fldCharType="begin"/>
      </w:r>
      <w:r>
        <w:rPr/>
        <w:instrText xml:space="preserve"> SEQ interestrate \* roman </w:instrText>
      </w:r>
      <w:r>
        <w:rPr/>
        <w:fldChar w:fldCharType="separate"/>
      </w:r>
      <w:r>
        <w:rPr/>
        <w:t>ii</w:t>
      </w:r>
      <w:r>
        <w:rPr/>
        <w:fldChar w:fldCharType="end"/>
      </w:r>
      <w:r>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fldChar w:fldCharType="begin"/>
      </w:r>
      <w:r>
        <w:rPr/>
        <w:instrText xml:space="preserve"> SEQ AutoNr \* ARABIC </w:instrText>
      </w:r>
      <w:r>
        <w:rPr/>
        <w:fldChar w:fldCharType="separate"/>
      </w:r>
      <w:r>
        <w:rPr/>
        <w:t>45</w:t>
      </w:r>
      <w:r>
        <w:rPr/>
        <w:fldChar w:fldCharType="end"/>
      </w:r>
      <w:r>
        <w:rPr/>
        <w:tab/>
        <w:t xml:space="preserve">In the event any payments are due Buyer hereunder, payment to Buyer shall be made in accordance with Section </w:t>
      </w:r>
      <w:r>
        <w:fldChar w:fldCharType="begin"/>
      </w:r>
      <w:r>
        <w:rPr/>
        <w:instrText xml:space="preserve"> paymentprocedures </w:instrText>
      </w:r>
      <w:r>
        <w:rPr/>
      </w:r>
      <w:r>
        <w:rPr/>
        <w:fldChar w:fldCharType="separate"/>
      </w:r>
      <w:r>
        <w:rPr/>
        <w:t>7.2.</w:t>
      </w:r>
      <w:r>
        <w:rPr/>
      </w:r>
      <w:r>
        <w:rPr/>
        <w:fldChar w:fldCharType="end"/>
      </w:r>
      <w:r>
        <w:rPr/>
        <w:t xml:space="preserve"> above.</w:t>
      </w:r>
    </w:p>
    <w:p>
      <w:pPr>
        <w:pStyle w:val="Normal"/>
        <w:rPr/>
      </w:pPr>
      <w:bookmarkStart w:id="17" w:name="RightToAudit"/>
      <w:r>
        <w:rPr/>
        <w:fldChar w:fldCharType="begin"/>
      </w:r>
      <w:r>
        <w:rPr/>
        <w:instrText xml:space="preserve"> SEQ AutoNr \* ARABIC </w:instrText>
      </w:r>
      <w:r>
        <w:rPr/>
        <w:fldChar w:fldCharType="separate"/>
      </w:r>
      <w:r>
        <w:rPr/>
        <w:t>46</w:t>
      </w:r>
      <w:r>
        <w:rPr/>
        <w:fldChar w:fldCharType="end"/>
      </w:r>
      <w:bookmarkEnd w:id="17"/>
      <w:r>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t xml:space="preserve"> shall be paid in full by the party owing payment within 30 days of notice and substantiation of such inaccuracy.</w:t>
      </w:r>
    </w:p>
    <w:p>
      <w:pPr>
        <w:pStyle w:val="Normal"/>
        <w:rPr/>
      </w:pPr>
      <w:r>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fldChar w:fldCharType="begin"/>
      </w:r>
      <w:r>
        <w:rPr/>
        <w:instrText xml:space="preserve"> SEQ AutoNr \* ARABIC </w:instrText>
      </w:r>
      <w:r>
        <w:rPr/>
        <w:fldChar w:fldCharType="separate"/>
      </w:r>
      <w:r>
        <w:rPr/>
        <w:t>48</w:t>
      </w:r>
      <w:r>
        <w:rPr/>
        <w:fldChar w:fldCharType="end"/>
      </w:r>
      <w:r>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fldChar w:fldCharType="begin"/>
      </w:r>
      <w:r>
        <w:rPr/>
        <w:instrText xml:space="preserve"> SEQ AutoNr \* ARABIC </w:instrText>
      </w:r>
      <w:r>
        <w:rPr/>
        <w:fldChar w:fldCharType="separate"/>
      </w:r>
      <w:r>
        <w:rPr/>
        <w:t>49</w:t>
      </w:r>
      <w:r>
        <w:rPr/>
        <w:fldChar w:fldCharType="end"/>
      </w:r>
      <w:r>
        <w:rPr/>
        <w:tab/>
        <w:t>Seller warrants that it will have the right to convey and will transfer good and merchantable title to all Gas sold hereunder and delivered by it to Buyer, free and clear of all liens, encumbrances, and claims.</w:t>
      </w:r>
    </w:p>
    <w:p>
      <w:pPr>
        <w:pStyle w:val="Normal"/>
        <w:rPr/>
      </w:pPr>
      <w:r>
        <w:rPr/>
        <w:fldChar w:fldCharType="begin"/>
      </w:r>
      <w:r>
        <w:rPr/>
        <w:instrText xml:space="preserve"> SEQ AutoNr \* ARABIC </w:instrText>
      </w:r>
      <w:r>
        <w:rPr/>
        <w:fldChar w:fldCharType="separate"/>
      </w:r>
      <w:r>
        <w:rPr/>
        <w:t>50</w:t>
      </w:r>
      <w:r>
        <w:rPr/>
        <w:fldChar w:fldCharType="end"/>
      </w:r>
      <w:r>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pPr>
      <w:r>
        <w:rPr/>
        <w:fldChar w:fldCharType="begin"/>
      </w:r>
      <w:r>
        <w:rPr/>
        <w:instrText xml:space="preserve"> SEQ AutoNr \* ARABIC </w:instrText>
      </w:r>
      <w:r>
        <w:rPr/>
        <w:fldChar w:fldCharType="separate"/>
      </w:r>
      <w:r>
        <w:rPr/>
        <w:t>51</w:t>
      </w:r>
      <w:r>
        <w:rPr/>
        <w:fldChar w:fldCharType="end"/>
      </w:r>
      <w:r>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fldChar w:fldCharType="begin"/>
      </w:r>
      <w:r>
        <w:rPr/>
        <w:instrText xml:space="preserve"> SEQ AutoNr \* ARABIC </w:instrText>
      </w:r>
      <w:r>
        <w:rPr/>
        <w:fldChar w:fldCharType="separate"/>
      </w:r>
      <w:r>
        <w:rPr/>
        <w:t>53</w:t>
      </w:r>
      <w:r>
        <w:rPr/>
        <w:fldChar w:fldCharType="end"/>
      </w:r>
      <w:r>
        <w:rPr/>
        <w:tab/>
        <w:t>All Transaction Confirmations, invoices, payments and other communications made pursuant to the Base Contract ("Notices") shall be made to the addresses specified in writing by the respective parties from time to time.</w:t>
      </w:r>
    </w:p>
    <w:p>
      <w:pPr>
        <w:pStyle w:val="Normal"/>
        <w:rPr/>
      </w:pPr>
      <w:r>
        <w:rPr/>
        <w:fldChar w:fldCharType="begin"/>
      </w:r>
      <w:r>
        <w:rPr/>
        <w:instrText xml:space="preserve"> SEQ AutoNr \* ARABIC </w:instrText>
      </w:r>
      <w:r>
        <w:rPr/>
        <w:fldChar w:fldCharType="separate"/>
      </w:r>
      <w:r>
        <w:rPr/>
        <w:t>54</w:t>
      </w:r>
      <w:r>
        <w:rPr/>
        <w:fldChar w:fldCharType="end"/>
      </w:r>
      <w:r>
        <w:rPr/>
        <w:tab/>
        <w:t>All Notices required hereunder may be sent by facsimile or mutually acceptable electronic means, a nationally recognized overnight courier service, first class mail or hand delivered.</w:t>
      </w:r>
    </w:p>
    <w:p>
      <w:pPr>
        <w:pStyle w:val="Normal"/>
        <w:rPr/>
      </w:pPr>
      <w:r>
        <w:rPr/>
        <w:fldChar w:fldCharType="begin"/>
      </w:r>
      <w:r>
        <w:rPr/>
        <w:instrText xml:space="preserve"> SEQ AutoNr \* ARABIC </w:instrText>
      </w:r>
      <w:r>
        <w:rPr/>
        <w:fldChar w:fldCharType="separate"/>
      </w:r>
      <w:r>
        <w:rPr/>
        <w:t>55</w:t>
      </w:r>
      <w:r>
        <w:rPr/>
        <w:fldChar w:fldCharType="end"/>
      </w:r>
      <w:r>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fldChar w:fldCharType="begin"/>
      </w:r>
      <w:r>
        <w:rPr/>
        <w:instrText xml:space="preserve"> SEQ AutoNr \* ARABIC </w:instrText>
      </w:r>
      <w:r>
        <w:rPr/>
        <w:fldChar w:fldCharType="separate"/>
      </w:r>
      <w:r>
        <w:rPr/>
        <w:t>57</w:t>
      </w:r>
      <w:r>
        <w:rPr/>
        <w:fldChar w:fldCharType="end"/>
      </w:r>
      <w:r>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fldChar w:fldCharType="begin"/>
      </w:r>
      <w:r>
        <w:rPr/>
        <w:instrText xml:space="preserve"> SEQ credit \* roman </w:instrText>
      </w:r>
      <w:r>
        <w:rPr/>
        <w:fldChar w:fldCharType="separate"/>
      </w:r>
      <w:r>
        <w:rPr/>
        <w:t>i</w:t>
      </w:r>
      <w:r>
        <w:rPr/>
        <w:fldChar w:fldCharType="end"/>
      </w:r>
      <w:r>
        <w:rPr/>
        <w:t>) make an assignment or any general arrangement for the benefit of creditors; (</w:t>
      </w:r>
      <w:r>
        <w:rPr/>
        <w:fldChar w:fldCharType="begin"/>
      </w:r>
      <w:r>
        <w:rPr/>
        <w:instrText xml:space="preserve"> SEQ credit \* roman </w:instrText>
      </w:r>
      <w:r>
        <w:rPr/>
        <w:fldChar w:fldCharType="separate"/>
      </w:r>
      <w:r>
        <w:rPr/>
        <w:t>ii</w:t>
      </w:r>
      <w:r>
        <w:rPr/>
        <w:fldChar w:fldCharType="end"/>
      </w:r>
      <w:r>
        <w:rPr/>
        <w:t>) default in the payment obligation to the other party; (</w:t>
      </w:r>
      <w:r>
        <w:rPr/>
        <w:fldChar w:fldCharType="begin"/>
      </w:r>
      <w:r>
        <w:rPr/>
        <w:instrText xml:space="preserve"> SEQ credit \* roman </w:instrText>
      </w:r>
      <w:r>
        <w:rPr/>
        <w:fldChar w:fldCharType="separate"/>
      </w:r>
      <w:r>
        <w:rPr/>
        <w:t>iii</w:t>
      </w:r>
      <w:r>
        <w:rPr/>
        <w:fldChar w:fldCharType="end"/>
      </w:r>
      <w:r>
        <w:rPr/>
        <w:t>) file a petition or otherwise commence, authorize, or acquiesce in the commencement of a proceeding or cause under any bankruptcy or similar law for the protection of creditors or have such petition filed or proceeding commenced against it; (</w:t>
      </w:r>
      <w:r>
        <w:rPr/>
        <w:fldChar w:fldCharType="begin"/>
      </w:r>
      <w:r>
        <w:rPr/>
        <w:instrText xml:space="preserve"> SEQ credit \* roman </w:instrText>
      </w:r>
      <w:r>
        <w:rPr/>
        <w:fldChar w:fldCharType="separate"/>
      </w:r>
      <w:r>
        <w:rPr/>
        <w:t>iv</w:t>
      </w:r>
      <w:r>
        <w:rPr/>
        <w:fldChar w:fldCharType="end"/>
      </w:r>
      <w:r>
        <w:rPr/>
        <w:t>) otherwise become bankrupt or insolvent (however evidenced); or (</w:t>
      </w:r>
      <w:r>
        <w:rPr/>
        <w:fldChar w:fldCharType="begin"/>
      </w:r>
      <w:r>
        <w:rPr/>
        <w:instrText xml:space="preserve"> SEQ credit \* roman </w:instrText>
      </w:r>
      <w:r>
        <w:rPr/>
        <w:fldChar w:fldCharType="separate"/>
      </w:r>
      <w:r>
        <w:rPr/>
        <w:t>v</w:t>
      </w:r>
      <w:r>
        <w:rPr/>
        <w:fldChar w:fldCharType="end"/>
      </w:r>
      <w:r>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fldChar w:fldCharType="begin"/>
      </w:r>
      <w:r>
        <w:rPr/>
        <w:instrText xml:space="preserve"> SEQ AutoNr \* ARABIC </w:instrText>
      </w:r>
      <w:r>
        <w:rPr/>
        <w:fldChar w:fldCharType="separate"/>
      </w:r>
      <w:r>
        <w:rPr/>
        <w:t>58</w:t>
      </w:r>
      <w:r>
        <w:rPr/>
        <w:fldChar w:fldCharType="end"/>
      </w:r>
      <w:r>
        <w:rPr/>
        <w:tab/>
        <w:t>Each party reserves to itself all rights, set-offs, counterclaims, and other defenses which it is or may be entitled to arising from the Contract.</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fldChar w:fldCharType="begin"/>
      </w:r>
      <w:r>
        <w:rPr/>
        <w:instrText xml:space="preserve"> SEQ AutoNr \* ARABIC </w:instrText>
      </w:r>
      <w:r>
        <w:rPr/>
        <w:fldChar w:fldCharType="separate"/>
      </w:r>
      <w:r>
        <w:rPr/>
        <w:t>60</w:t>
      </w:r>
      <w:r>
        <w:rPr/>
        <w:fldChar w:fldCharType="end"/>
      </w:r>
      <w:r>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fldChar w:fldCharType="begin"/>
      </w:r>
      <w:r>
        <w:rPr/>
        <w:instrText xml:space="preserve"> SEQ AutoNr \* ARABIC </w:instrText>
      </w:r>
      <w:r>
        <w:rPr/>
        <w:fldChar w:fldCharType="separate"/>
      </w:r>
      <w:r>
        <w:rPr/>
        <w:t>61</w:t>
      </w:r>
      <w:r>
        <w:rPr/>
        <w:fldChar w:fldCharType="end"/>
      </w:r>
      <w:bookmarkEnd w:id="19"/>
      <w:r>
        <w:rPr/>
        <w:tab/>
        <w:t>Force Majeure shall include but not be limited to the following:  (</w:t>
      </w:r>
      <w:r>
        <w:rPr/>
        <w:fldChar w:fldCharType="begin"/>
      </w:r>
      <w:r>
        <w:rPr/>
        <w:instrText xml:space="preserve"> SEQ fmlist \* roman </w:instrText>
      </w:r>
      <w:r>
        <w:rPr/>
        <w:fldChar w:fldCharType="separate"/>
      </w:r>
      <w:r>
        <w:rPr/>
        <w:t>i</w:t>
      </w:r>
      <w:r>
        <w:rPr/>
        <w:fldChar w:fldCharType="end"/>
      </w:r>
      <w:r>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fldChar w:fldCharType="begin"/>
      </w:r>
      <w:r>
        <w:rPr/>
        <w:instrText xml:space="preserve"> SEQ fmlist \* roman </w:instrText>
      </w:r>
      <w:r>
        <w:rPr/>
        <w:fldChar w:fldCharType="separate"/>
      </w:r>
      <w:r>
        <w:rPr/>
        <w:t>ii</w:t>
      </w:r>
      <w:r>
        <w:rPr/>
        <w:fldChar w:fldCharType="end"/>
      </w:r>
      <w:r>
        <w:rPr/>
        <w:t>) weather related events affecting an entire geographic region, such as low temperatures which cause freezing or failure of wells or lines of pipe; (</w:t>
      </w:r>
      <w:r>
        <w:rPr/>
        <w:fldChar w:fldCharType="begin"/>
      </w:r>
      <w:r>
        <w:rPr/>
        <w:instrText xml:space="preserve"> SEQ fmlist \* roman </w:instrText>
      </w:r>
      <w:r>
        <w:rPr/>
        <w:fldChar w:fldCharType="separate"/>
      </w:r>
      <w:r>
        <w:rPr/>
        <w:t>iii</w:t>
      </w:r>
      <w:r>
        <w:rPr/>
        <w:fldChar w:fldCharType="end"/>
      </w:r>
      <w:r>
        <w:rPr/>
        <w:t>) interruption of firm transportation and/or storage by Transporters; (</w:t>
      </w:r>
      <w:r>
        <w:rPr/>
        <w:fldChar w:fldCharType="begin"/>
      </w:r>
      <w:r>
        <w:rPr/>
        <w:instrText xml:space="preserve"> SEQ fmlist \* roman </w:instrText>
      </w:r>
      <w:r>
        <w:rPr/>
        <w:fldChar w:fldCharType="separate"/>
      </w:r>
      <w:r>
        <w:rPr/>
        <w:t>iv</w:t>
      </w:r>
      <w:r>
        <w:rPr/>
        <w:fldChar w:fldCharType="end"/>
      </w:r>
      <w:r>
        <w:rPr/>
        <w:t>) acts of others such as strikes, lockouts or other industrial disturbances, riots, sabotage, insurrections or wars; and; (</w:t>
      </w:r>
      <w:r>
        <w:rPr/>
        <w:fldChar w:fldCharType="begin"/>
      </w:r>
      <w:r>
        <w:rPr/>
        <w:instrText xml:space="preserve"> SEQ fmlist \* roman </w:instrText>
      </w:r>
      <w:r>
        <w:rPr/>
        <w:fldChar w:fldCharType="separate"/>
      </w:r>
      <w:r>
        <w:rPr/>
        <w:t>v</w:t>
      </w:r>
      <w:r>
        <w:rPr/>
        <w:fldChar w:fldCharType="end"/>
      </w:r>
      <w:r>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fldChar w:fldCharType="begin"/>
      </w:r>
      <w:r>
        <w:rPr/>
        <w:instrText xml:space="preserve"> SEQ AutoNr \* ARABIC </w:instrText>
      </w:r>
      <w:r>
        <w:rPr/>
        <w:fldChar w:fldCharType="separate"/>
      </w:r>
      <w:r>
        <w:rPr/>
        <w:t>62</w:t>
      </w:r>
      <w:r>
        <w:rPr/>
        <w:fldChar w:fldCharType="end"/>
      </w:r>
      <w:r>
        <w:rPr/>
        <w:tab/>
        <w:t>Neither party shall be entitled to the benefit of the provisions of Force Majeure to the extent performance is affected by any or all of the following circumstances:  (</w:t>
      </w:r>
      <w:r>
        <w:rPr/>
        <w:fldChar w:fldCharType="begin"/>
      </w:r>
      <w:r>
        <w:rPr/>
        <w:instrText xml:space="preserve"> SEQ fmexclusion \* roman </w:instrText>
      </w:r>
      <w:r>
        <w:rPr/>
        <w:fldChar w:fldCharType="separate"/>
      </w:r>
      <w:r>
        <w:rPr/>
        <w:t>i</w:t>
      </w:r>
      <w:r>
        <w:rPr/>
        <w:fldChar w:fldCharType="end"/>
      </w:r>
      <w:r>
        <w:rPr/>
        <w:t>) the curtailment of interruptible or secondary firm transportation unless primary, in-path, firm transportation is also curtailed; (</w:t>
      </w:r>
      <w:r>
        <w:rPr/>
        <w:fldChar w:fldCharType="begin"/>
      </w:r>
      <w:r>
        <w:rPr/>
        <w:instrText xml:space="preserve"> SEQ fmexclusion \* roman </w:instrText>
      </w:r>
      <w:r>
        <w:rPr/>
        <w:fldChar w:fldCharType="separate"/>
      </w:r>
      <w:r>
        <w:rPr/>
        <w:t>ii</w:t>
      </w:r>
      <w:r>
        <w:rPr/>
        <w:fldChar w:fldCharType="end"/>
      </w:r>
      <w:r>
        <w:rPr/>
        <w:t>) the party claiming excuse failed to remedy the condition and to resume the performance of such covenants or obligations with reasonable dispatch; or (</w:t>
      </w:r>
      <w:r>
        <w:rPr/>
        <w:fldChar w:fldCharType="begin"/>
      </w:r>
      <w:r>
        <w:rPr/>
        <w:instrText xml:space="preserve"> SEQ fmexclusion \* roman </w:instrText>
      </w:r>
      <w:r>
        <w:rPr/>
        <w:fldChar w:fldCharType="separate"/>
      </w:r>
      <w:r>
        <w:rPr/>
        <w:t>iii</w:t>
      </w:r>
      <w:r>
        <w:rPr/>
        <w:fldChar w:fldCharType="end"/>
      </w:r>
      <w:r>
        <w:rPr/>
        <w:t>) economic hardship.  The party claiming Force Majeure shall not be excused from its responsibility for Imbalance Charges.</w:t>
      </w:r>
    </w:p>
    <w:p>
      <w:pPr>
        <w:pStyle w:val="Normal"/>
        <w:rPr/>
      </w:pPr>
      <w:r>
        <w:rPr/>
        <w:fldChar w:fldCharType="begin"/>
      </w:r>
      <w:r>
        <w:rPr/>
        <w:instrText xml:space="preserve"> SEQ AutoNr \* ARABIC </w:instrText>
      </w:r>
      <w:r>
        <w:rPr/>
        <w:fldChar w:fldCharType="separate"/>
      </w:r>
      <w:r>
        <w:rPr/>
        <w:t>63</w:t>
      </w:r>
      <w:r>
        <w:rPr/>
        <w:fldChar w:fldCharType="end"/>
      </w:r>
      <w:r>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fldChar w:fldCharType="begin"/>
      </w:r>
      <w:r>
        <w:rPr/>
        <w:instrText xml:space="preserve"> SEQ AutoNr \* ARABIC </w:instrText>
      </w:r>
      <w:r>
        <w:rPr/>
        <w:fldChar w:fldCharType="separate"/>
      </w:r>
      <w:r>
        <w:rPr/>
        <w:t>64</w:t>
      </w:r>
      <w:r>
        <w:rPr/>
        <w:fldChar w:fldCharType="end"/>
      </w:r>
      <w:r>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instrText xml:space="preserve"> RightToAudit </w:instrText>
      </w:r>
      <w:r>
        <w:rPr/>
      </w:r>
      <w:r>
        <w:rPr/>
        <w:fldChar w:fldCharType="separate"/>
      </w:r>
      <w:r>
        <w:rPr/>
        <w:t>7.4.</w:t>
      </w:r>
      <w:r>
        <w:rPr/>
      </w:r>
      <w:r>
        <w:rPr/>
        <w:fldChar w:fldCharType="end"/>
      </w:r>
      <w:r>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pPr>
      <w:r>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fldChar w:fldCharType="begin"/>
      </w:r>
      <w:r>
        <w:rPr/>
        <w:instrText xml:space="preserve"> SEQ AutoNr \* ARABIC </w:instrText>
      </w:r>
      <w:r>
        <w:rPr/>
        <w:fldChar w:fldCharType="separate"/>
      </w:r>
      <w:r>
        <w:rPr/>
        <w:t>67</w:t>
      </w:r>
      <w:r>
        <w:rPr/>
        <w:fldChar w:fldCharType="end"/>
      </w:r>
      <w:r>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fldChar w:fldCharType="begin"/>
      </w:r>
      <w:r>
        <w:rPr/>
        <w:instrText xml:space="preserve"> SEQ AutoNr \* ARABIC </w:instrText>
      </w:r>
      <w:r>
        <w:rPr/>
        <w:fldChar w:fldCharType="separate"/>
      </w:r>
      <w:r>
        <w:rPr/>
        <w:t>68</w:t>
      </w:r>
      <w:r>
        <w:rPr/>
        <w:fldChar w:fldCharType="end"/>
      </w:r>
      <w:r>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fldChar w:fldCharType="begin"/>
      </w:r>
      <w:r>
        <w:rPr/>
        <w:instrText xml:space="preserve"> SEQ AutoNr \* ARABIC </w:instrText>
      </w:r>
      <w:r>
        <w:rPr/>
        <w:fldChar w:fldCharType="separate"/>
      </w:r>
      <w:r>
        <w:rPr/>
        <w:t>69</w:t>
      </w:r>
      <w:r>
        <w:rPr/>
        <w:fldChar w:fldCharType="end"/>
      </w:r>
      <w:r>
        <w:rPr/>
        <w:tab/>
        <w:t>No waiver of any breach of this Contract shall be held to be a waiver of any other or subsequent breach.</w:t>
      </w:r>
    </w:p>
    <w:p>
      <w:pPr>
        <w:pStyle w:val="Normal"/>
        <w:rPr/>
      </w:pPr>
      <w:r>
        <w:rPr/>
        <w:fldChar w:fldCharType="begin"/>
      </w:r>
      <w:r>
        <w:rPr/>
        <w:instrText xml:space="preserve"> SEQ AutoNr \* ARABIC </w:instrText>
      </w:r>
      <w:r>
        <w:rPr/>
        <w:fldChar w:fldCharType="separate"/>
      </w:r>
      <w:r>
        <w:rPr/>
        <w:t>70</w:t>
      </w:r>
      <w:r>
        <w:rPr/>
        <w:fldChar w:fldCharType="end"/>
      </w:r>
      <w:r>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fldChar w:fldCharType="begin"/>
      </w:r>
      <w:r>
        <w:rPr/>
        <w:instrText xml:space="preserve"> SEQ AutoNr \* ARABIC </w:instrText>
      </w:r>
      <w:r>
        <w:rPr/>
        <w:fldChar w:fldCharType="separate"/>
      </w:r>
      <w:r>
        <w:rPr/>
        <w:t>71</w:t>
      </w:r>
      <w:r>
        <w:rPr/>
        <w:fldChar w:fldCharType="end"/>
      </w:r>
      <w:bookmarkEnd w:id="20"/>
      <w:r>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fldChar w:fldCharType="begin"/>
      </w:r>
      <w:r>
        <w:rPr/>
        <w:instrText xml:space="preserve"> SEQ AutoNr \* ARABIC </w:instrText>
      </w:r>
      <w:r>
        <w:rPr/>
        <w:fldChar w:fldCharType="separate"/>
      </w:r>
      <w:r>
        <w:rPr/>
        <w:t>72</w:t>
      </w:r>
      <w:r>
        <w:rPr/>
        <w:fldChar w:fldCharType="end"/>
      </w:r>
      <w:r>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pPr>
      <w:r>
        <w:rPr/>
        <w:t>13.7</w:t>
        <w:tab/>
        <w:t>There is no third party beneficiary to this Contract.</w:t>
      </w:r>
    </w:p>
    <w:p>
      <w:pPr>
        <w:pStyle w:val="Normal"/>
        <w:rPr/>
      </w:pPr>
      <w:r>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headerReference w:type="default" r:id="rId2"/>
          <w:footerReference w:type="default" r:id="rId3"/>
          <w:type w:val="nextPage"/>
          <w:pgSz w:w="12240" w:h="15840"/>
          <w:pgMar w:left="720" w:right="720" w:gutter="0" w:header="720" w:top="776" w:footer="432" w:bottom="720"/>
          <w:pgNumType w:start="1" w:fmt="decimal"/>
          <w:formProt w:val="false"/>
          <w:textDirection w:val="lrTb"/>
          <w:docGrid w:type="default" w:linePitch="360" w:charSpace="0"/>
        </w:sectPr>
        <w:pStyle w:val="Normal"/>
        <w:rPr/>
      </w:pPr>
      <w:r>
        <w:rPr/>
      </w:r>
      <w:bookmarkStart w:id="21" w:name="EndOfTerms"/>
      <w:bookmarkStart w:id="22" w:name="EndOfTerms"/>
      <w:bookmarkEnd w:id="22"/>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BodyText"/>
        <w:rPr/>
      </w:pPr>
      <w:r>
        <w:rPr/>
        <w:t xml:space="preserve">In order to clarify the intentions of both Parties in Section 1.3, delete the third sentence in its entirety and replace it with the following: </w:t>
      </w:r>
    </w:p>
    <w:p>
      <w:pPr>
        <w:pStyle w:val="BodyText"/>
        <w:rPr/>
      </w:pPr>
      <w:r>
        <w:rPr/>
      </w:r>
    </w:p>
    <w:p>
      <w:pPr>
        <w:pStyle w:val="BodyText"/>
        <w:ind w:start="360" w:end="0"/>
        <w:rPr/>
      </w:pPr>
      <w:r>
        <w:rPr/>
        <w:t>“</w:t>
      </w:r>
      <w:r>
        <w:rPr/>
        <w:t>If there are any material differences between timely sent Transaction Confirmations governing the same transaction, then the oral agreement reached under Section 1.2 shall be controlling and satisfy the statute of frauds.”</w:t>
      </w:r>
    </w:p>
    <w:p>
      <w:pPr>
        <w:pStyle w:val="Normal"/>
        <w:rPr/>
      </w:pPr>
      <w:r>
        <w:rPr/>
      </w:r>
    </w:p>
    <w:p>
      <w:pPr>
        <w:pStyle w:val="Normal"/>
        <w:rPr/>
      </w:pPr>
      <w:r>
        <w:rPr/>
      </w:r>
    </w:p>
    <w:p>
      <w:pPr>
        <w:pStyle w:val="Normal"/>
        <w:rPr>
          <w:sz w:val="20"/>
        </w:rPr>
      </w:pPr>
      <w:r>
        <w:rPr>
          <w:sz w:val="20"/>
        </w:rPr>
        <w:t>Section 8.5 is added as a new section under Section 8 -Title, Warranty and Indemnity, as follows:</w:t>
      </w:r>
    </w:p>
    <w:p>
      <w:pPr>
        <w:pStyle w:val="Normal"/>
        <w:rPr>
          <w:sz w:val="20"/>
        </w:rPr>
      </w:pPr>
      <w:r>
        <w:rPr>
          <w:sz w:val="20"/>
        </w:rPr>
      </w:r>
    </w:p>
    <w:p>
      <w:pPr>
        <w:pStyle w:val="Normal"/>
        <w:ind w:start="360" w:end="0"/>
        <w:jc w:val="both"/>
        <w:rPr/>
      </w:pPr>
      <w:r>
        <w:rPr>
          <w:sz w:val="20"/>
        </w:rPr>
        <w:t>“</w:t>
      </w:r>
      <w:r>
        <w:rPr>
          <w:sz w:val="20"/>
        </w:rPr>
        <w:t xml:space="preserve">8.5  (i)  </w:t>
      </w:r>
      <w:r>
        <w:rPr>
          <w:sz w:val="20"/>
          <w:u w:val="single"/>
        </w:rPr>
        <w:t>Intrastate Warranted Gas</w:t>
      </w:r>
      <w:r>
        <w:rPr>
          <w:sz w:val="20"/>
        </w:rPr>
        <w:t xml:space="preserve">.  If the Delivery Point(s) for the Transaction are intrastate interconnections, (a) Seller represents and warrants to Buyer that all Gas will have been produced within the State of Texas and will not have been commingled by Seller with other Gas prior to the Delivery Point(s) which is or may be sold, consumed, transported or otherwise utilized in interstate commerce in such manner which would subject Buyer’s Transporter’s pipeline to the jurisdiction of the Federal Energy Regulatory Commission or an successor authority under the Natural Gas Act of 1938 and (b) Buyer represents and warrants to Seller that none of the Gas will be sold, consumed, transported or otherwise utilized outside the State of Texas or delivered to another party which will subsequently sell, consume, transport or otherwise use the Gas outside the State of Texas where such event would subject Buyer’s Transporter’s pipeline, Seller’s pipeline, or any portion of such pipelines to the jurisdiction of the Federal Energy Regulatory Commission or any successor authority under the Natural Gas Act of 1938.  </w:t>
      </w:r>
    </w:p>
    <w:p>
      <w:pPr>
        <w:pStyle w:val="Normal"/>
        <w:ind w:firstLine="360" w:start="360" w:end="0"/>
        <w:jc w:val="both"/>
        <w:rPr/>
      </w:pPr>
      <w:r>
        <w:rPr>
          <w:sz w:val="20"/>
        </w:rPr>
        <w:t xml:space="preserve">(ii)  </w:t>
      </w:r>
      <w:r>
        <w:rPr>
          <w:sz w:val="20"/>
          <w:u w:val="single"/>
        </w:rPr>
        <w:t>Non-Warranted Gas</w:t>
      </w:r>
      <w:r>
        <w:rPr>
          <w:sz w:val="20"/>
        </w:rPr>
        <w:t>.  Seller covenants to Buyer that the Gas which is sold to Buyer hereunder will not have been transported upstream of the Delivery Point(s), and Buyer covenants to Seller that the Gas which is purchased from Seller will not be transported downstream of the Delivery Point(s), in interstate commerce in such a manner as would subject Buyer’s Transporter’s pipeline, Seller’s pipeline, or any portion of such pipelines to the jurisdiction of the Federal Energy Regulation Commission or any successor authority under the Natural Gas Act of 1938.</w:t>
      </w:r>
    </w:p>
    <w:p>
      <w:pPr>
        <w:pStyle w:val="Normal"/>
        <w:rPr>
          <w:sz w:val="20"/>
        </w:rPr>
      </w:pPr>
      <w:r>
        <w:rPr>
          <w:sz w:val="20"/>
        </w:rPr>
      </w:r>
    </w:p>
    <w:p>
      <w:pPr>
        <w:pStyle w:val="BodyTextIndent2"/>
        <w:ind w:firstLine="360" w:end="0"/>
        <w:jc w:val="both"/>
        <w:rPr>
          <w:sz w:val="20"/>
        </w:rPr>
      </w:pPr>
      <w:r>
        <w:rPr>
          <w:sz w:val="20"/>
        </w:rPr>
        <w:t>iii)  Each Party agrees to indemnify and hold harmless the other Party from and against any and all suits, actions, damages, costs, losses and expenses sustained by a Party relative to any breach by the other Party of the covenants hereinabove expressed..”</w:t>
      </w:r>
    </w:p>
    <w:p>
      <w:pPr>
        <w:pStyle w:val="Normal"/>
        <w:ind w:start="360" w:end="0"/>
        <w:rPr>
          <w:sz w:val="20"/>
        </w:rPr>
      </w:pPr>
      <w:r>
        <w:rPr>
          <w:sz w:val="20"/>
        </w:rPr>
      </w:r>
    </w:p>
    <w:p>
      <w:pPr>
        <w:pStyle w:val="Normal"/>
        <w:rPr>
          <w:sz w:val="20"/>
        </w:rPr>
      </w:pPr>
      <w:r>
        <w:rPr>
          <w:sz w:val="20"/>
        </w:rPr>
      </w:r>
    </w:p>
    <w:p>
      <w:pPr>
        <w:pStyle w:val="Normal"/>
        <w:ind w:start="360" w:end="0"/>
        <w:rPr>
          <w:sz w:val="20"/>
        </w:rPr>
      </w:pPr>
      <w:r>
        <w:rPr>
          <w:sz w:val="20"/>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jc w:val="both"/>
        <w:rPr>
          <w:rFonts w:ascii="Times New Roman" w:hAnsi="Times New Roman" w:cs="Times New Roman"/>
          <w:sz w:val="22"/>
        </w:rPr>
      </w:pPr>
      <w:r>
        <w:rPr>
          <w:rFonts w:cs="Times New Roman"/>
          <w:sz w:val="22"/>
        </w:rPr>
      </w:r>
    </w:p>
    <w:p>
      <w:pPr>
        <w:pStyle w:val="Normal"/>
        <w:ind w:hanging="360" w:start="360" w:end="0"/>
        <w:jc w:val="both"/>
        <w:rPr>
          <w:sz w:val="20"/>
        </w:rPr>
      </w:pPr>
      <w:r>
        <w:rPr>
          <w:sz w:val="20"/>
        </w:rPr>
        <w:t>Section 13 is modified by inserting the following new Section 13.9:</w:t>
      </w:r>
    </w:p>
    <w:p>
      <w:pPr>
        <w:pStyle w:val="Normal"/>
        <w:ind w:start="360" w:end="0"/>
        <w:jc w:val="both"/>
        <w:rPr>
          <w:sz w:val="20"/>
        </w:rPr>
      </w:pPr>
      <w:r>
        <w:rPr>
          <w:sz w:val="20"/>
        </w:rPr>
      </w:r>
    </w:p>
    <w:p>
      <w:pPr>
        <w:pStyle w:val="Normal"/>
        <w:ind w:start="360" w:end="0"/>
        <w:jc w:val="both"/>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center" w:pos="5400" w:leader="none"/>
          <w:tab w:val="right" w:pos="10800" w:leader="none"/>
        </w:tabs>
        <w:rPr>
          <w:sz w:val="20"/>
        </w:rPr>
      </w:pPr>
      <w:r>
        <w:rPr>
          <w:sz w:val="20"/>
        </w:rPr>
      </w:r>
    </w:p>
    <w:p>
      <w:pPr>
        <w:pStyle w:val="Normal"/>
        <w:tabs>
          <w:tab w:val="clear" w:pos="720"/>
          <w:tab w:val="center" w:pos="5400" w:leader="none"/>
          <w:tab w:val="right" w:pos="10800" w:leader="none"/>
        </w:tabs>
        <w:rPr/>
      </w:pPr>
      <w:r>
        <w:rPr/>
      </w:r>
      <w:r>
        <w:br w:type="page"/>
      </w:r>
    </w:p>
    <w:p>
      <w:pPr>
        <w:pStyle w:val="Normal"/>
        <w:tabs>
          <w:tab w:val="clear" w:pos="720"/>
          <w:tab w:val="center" w:pos="5400" w:leader="none"/>
          <w:tab w:val="right" w:pos="1080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/mnt/main-storage/datasets/enron-docs/doc/ABB_POWER_GISB_ENA.doc</w:t>
      </w:r>
      <w:r>
        <w:rPr>
          <w:sz w:val="16"/>
        </w:rPr>
        <w:fldChar w:fldCharType="end"/>
      </w:r>
    </w:p>
    <w:p>
      <w:pPr>
        <w:pStyle w:val="Normal"/>
        <w:tabs>
          <w:tab w:val="clear" w:pos="720"/>
          <w:tab w:val="center" w:pos="5400" w:leader="none"/>
          <w:tab w:val="right" w:pos="10800" w:leader="none"/>
        </w:tabs>
        <w:rPr/>
      </w:pPr>
      <w:r>
        <w:rPr/>
        <w:tab/>
      </w:r>
      <w:r>
        <w:rPr>
          <w:b/>
        </w:rPr>
        <w:t>TRANSACTION CONFIRMATION</w:t>
        <w:tab/>
        <w:t xml:space="preserve">EXHIBIT </w:t>
      </w:r>
      <w:bookmarkStart w:id="23" w:name="ConfirmationExhibit"/>
      <w:r>
        <w:rPr>
          <w:b/>
        </w:rPr>
        <w:t>A</w:t>
      </w:r>
      <w:bookmarkEnd w:id="23"/>
      <w:r>
        <w:rPr>
          <w:b/>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rHeight w:val="1227" w:hRule="atLeast"/>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b/>
              </w:rPr>
            </w:pPr>
            <w:r>
              <w:rPr>
                <w:b/>
              </w:rPr>
              <w:t>Letterhead/Logo</w:t>
            </w:r>
          </w:p>
        </w:tc>
        <w:tc>
          <w:tcPr>
            <w:tcW w:w="1800" w:type="dxa"/>
            <w:tcBorders/>
          </w:tcPr>
          <w:p>
            <w:pPr>
              <w:pStyle w:val="Normal"/>
              <w:snapToGrid w:val="false"/>
              <w:spacing w:before="480" w:after="480"/>
              <w:jc w:val="center"/>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pPr>
            <w:r>
              <w:rPr>
                <w:b/>
              </w:rPr>
              <w:t xml:space="preserve">Date: </w:t>
              <w:tab/>
            </w:r>
            <w:r>
              <w:rPr>
                <w:b/>
                <w:u w:val="single"/>
              </w:rPr>
              <w:t>                             , 2000.</w:t>
            </w:r>
            <w:r>
              <w:rPr>
                <w:b/>
              </w:rPr>
              <w:br/>
              <w:t xml:space="preserve">Transaction Confirmation #: </w:t>
            </w:r>
            <w:r>
              <w:rPr>
                <w:b/>
                <w:u w:val="single"/>
              </w:rPr>
              <w:tab/>
            </w:r>
          </w:p>
        </w:tc>
      </w:tr>
    </w:tbl>
    <w:p>
      <w:pPr>
        <w:pStyle w:val="Normal"/>
        <w:tabs>
          <w:tab w:val="clear" w:pos="720"/>
          <w:tab w:val="center" w:pos="4680" w:leader="none"/>
          <w:tab w:val="right" w:pos="9360" w:leader="none"/>
        </w:tabs>
        <w:rPr/>
      </w:pPr>
      <w:r>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t>This Transaction Confirmation is subject to the Base Contract between Seller and Buyer dated January 26, 2000.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pPr>
            <w:r>
              <w:rPr>
                <w:b/>
              </w:rPr>
              <w:t>SELLER:</w:t>
              <w:br/>
            </w:r>
            <w:r>
              <w:rPr>
                <w:u w:val="single"/>
              </w:rPr>
              <w:tab/>
            </w:r>
            <w:r>
              <w:rPr/>
              <w:br/>
            </w:r>
            <w:r>
              <w:rPr>
                <w:u w:val="single"/>
              </w:rPr>
              <w:t xml:space="preserve">Attn: </w:t>
              <w:tab/>
            </w:r>
            <w:r>
              <w:rPr/>
              <w:br/>
            </w:r>
            <w:r>
              <w:rPr>
                <w:u w:val="single"/>
              </w:rPr>
              <w:t xml:space="preserve">Phone: </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pPr>
            <w:r>
              <w:rPr>
                <w:b/>
              </w:rPr>
              <w:t>BUYER:</w:t>
              <w:br/>
            </w:r>
            <w:r>
              <w:rPr>
                <w:u w:val="single"/>
              </w:rPr>
              <w:tab/>
            </w:r>
            <w:r>
              <w:rPr/>
              <w:br/>
            </w:r>
            <w:r>
              <w:rPr>
                <w:u w:val="single"/>
              </w:rPr>
              <w:t xml:space="preserve">Attn: </w:t>
              <w:tab/>
            </w:r>
            <w:r>
              <w:rPr/>
              <w:br/>
            </w:r>
            <w:r>
              <w:rPr>
                <w:u w:val="single"/>
              </w:rPr>
              <w:t xml:space="preserve">Phone: </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Contract Price:</w:t>
            </w:r>
            <w:r>
              <w:rPr/>
              <w:t xml:space="preserve">  $</w:t>
            </w:r>
            <w:r>
              <w:rPr>
                <w:u w:val="single"/>
              </w:rPr>
              <w:t>            </w:t>
            </w:r>
            <w:r>
              <w:rPr/>
              <w:t xml:space="preserve">/MMBtu or </w:t>
            </w:r>
            <w:r>
              <w:rPr>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rPr>
            </w:pPr>
            <w:r>
              <w:rPr>
                <w:b/>
              </w:rPr>
              <w:t>Delivery Period:</w:t>
            </w:r>
            <w:r>
              <w:rPr/>
              <w:t xml:space="preserve">  Begin: </w:t>
            </w:r>
            <w:r>
              <w:rPr>
                <w:u w:val="single"/>
              </w:rPr>
              <w:t>                       </w:t>
            </w:r>
            <w:r>
              <w:rPr/>
              <w:t xml:space="preserve">, 2000 </w:t>
              <w:tab/>
              <w:t xml:space="preserve">End: </w:t>
            </w:r>
            <w:r>
              <w:rPr>
                <w:u w:val="single"/>
              </w:rPr>
              <w:t>                   </w:t>
            </w:r>
            <w:r>
              <w:rPr/>
              <w:t>, 2000</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3240" w:leader="none"/>
                <w:tab w:val="left" w:pos="7560" w:leader="none"/>
              </w:tabs>
              <w:rPr/>
            </w:pPr>
            <w:r>
              <w:rPr>
                <w:b/>
              </w:rPr>
              <w:t>Performance Obligation and Contract Quantity:</w:t>
            </w:r>
            <w:r>
              <w:rPr/>
              <w:t xml:space="preserve">  (Select One)</w:t>
              <w:br/>
              <w:br/>
            </w:r>
            <w:r>
              <w:rPr>
                <w:b/>
              </w:rPr>
              <w:t>Firm (Fixed Quantity):</w:t>
              <w:tab/>
              <w:t>Firm (Variable Quantity):</w:t>
              <w:tab/>
              <w:t>Interruptible:</w:t>
            </w:r>
            <w:r>
              <w:rPr/>
              <w:br/>
              <w:br/>
            </w:r>
            <w:r>
              <w:rPr>
                <w:u w:val="single"/>
              </w:rPr>
              <w:t>           </w:t>
            </w:r>
            <w:r>
              <w:rPr/>
              <w:t xml:space="preserve"> MMBtus/day</w:t>
              <w:tab/>
            </w:r>
            <w:r>
              <w:rPr>
                <w:u w:val="single"/>
              </w:rPr>
              <w:t>           </w:t>
            </w:r>
            <w:r>
              <w:rPr/>
              <w:t xml:space="preserve"> MMBtus/day Minimum</w:t>
              <w:tab/>
              <w:t xml:space="preserve">Up to </w:t>
            </w:r>
            <w:r>
              <w:rPr>
                <w:u w:val="single"/>
              </w:rPr>
              <w:t>          </w:t>
            </w:r>
            <w:r>
              <w:rPr/>
              <w:t xml:space="preserve"> MMBtus/day</w:t>
              <w:br/>
              <w:t xml:space="preserve">     EFP</w:t>
              <w:tab/>
            </w:r>
            <w:r>
              <w:rPr>
                <w:u w:val="single"/>
              </w:rPr>
              <w:t>           </w:t>
            </w:r>
            <w:r>
              <w:rPr/>
              <w:t xml:space="preserve"> MMBtus/day Maximum</w:t>
              <w:br/>
              <w:tab/>
              <w:t xml:space="preserve">subject to Section </w:t>
            </w:r>
            <w:r>
              <w:fldChar w:fldCharType="begin"/>
            </w:r>
            <w:r>
              <w:rPr/>
              <w:instrText xml:space="preserve"> noms </w:instrText>
            </w:r>
            <w:r>
              <w:rPr/>
            </w:r>
            <w:r>
              <w:rPr/>
              <w:fldChar w:fldCharType="separate"/>
            </w:r>
            <w:r>
              <w:rPr/>
              <w:t>4.2.</w:t>
            </w:r>
            <w:r>
              <w:rPr/>
            </w:r>
            <w:r>
              <w:rPr/>
              <w:fldChar w:fldCharType="end"/>
            </w:r>
            <w:r>
              <w:rPr/>
              <w:t xml:space="preserve"> at election of 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 xml:space="preserve">Delivery Point(s): </w:t>
            </w:r>
            <w:r>
              <w:rPr>
                <w:u w:val="single"/>
              </w:rPr>
              <w:tab/>
            </w:r>
            <w:r>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b/>
              </w:rPr>
              <w:t xml:space="preserve">Special Conditions:  </w:t>
            </w:r>
            <w:r>
              <w:rPr>
                <w:sz w:val="20"/>
              </w:rPr>
              <w:t>One of the below lines must be checked for each Transaction Confirmation:</w:t>
            </w:r>
          </w:p>
          <w:p>
            <w:pPr>
              <w:pStyle w:val="Normal"/>
              <w:tabs>
                <w:tab w:val="clear" w:pos="720"/>
                <w:tab w:val="center" w:pos="4680" w:leader="none"/>
                <w:tab w:val="right" w:pos="9360" w:leader="none"/>
              </w:tabs>
              <w:spacing w:before="60" w:after="60"/>
              <w:ind w:start="720" w:end="0"/>
              <w:rPr>
                <w:sz w:val="20"/>
              </w:rPr>
            </w:pPr>
            <w:r>
              <w:rPr>
                <w:sz w:val="20"/>
              </w:rPr>
              <w:t>________  Intrastate Warranted Gas as provided in Section 8.5 (i).</w:t>
            </w:r>
          </w:p>
          <w:p>
            <w:pPr>
              <w:pStyle w:val="Normal"/>
              <w:tabs>
                <w:tab w:val="clear" w:pos="720"/>
                <w:tab w:val="center" w:pos="4680" w:leader="none"/>
                <w:tab w:val="right" w:pos="9360" w:leader="none"/>
              </w:tabs>
              <w:spacing w:before="60" w:after="60"/>
              <w:ind w:start="720" w:end="0"/>
              <w:rPr>
                <w:sz w:val="20"/>
              </w:rPr>
            </w:pPr>
            <w:r>
              <w:rPr>
                <w:sz w:val="20"/>
              </w:rPr>
              <w:t>________  Non-Warranted Gas as provided in Section 8.5 (ii).</w:t>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pPr>
            <w:r>
              <w:rPr>
                <w:b/>
              </w:rPr>
              <w:t xml:space="preserve">Seller: </w:t>
            </w:r>
            <w:r>
              <w:rPr>
                <w:b/>
                <w:u w:val="single"/>
              </w:rPr>
              <w:tab/>
            </w:r>
            <w:r>
              <w:rPr/>
              <w:br/>
              <w:br/>
              <w:t xml:space="preserve">By: </w:t>
            </w:r>
            <w:r>
              <w:rPr>
                <w:u w:val="single"/>
              </w:rPr>
              <w:tab/>
            </w:r>
            <w:r>
              <w:rPr/>
              <w:br/>
              <w:br/>
              <w:t xml:space="preserve">Title: </w:t>
            </w:r>
            <w:r>
              <w:rPr>
                <w:u w:val="single"/>
              </w:rPr>
              <w:tab/>
            </w:r>
            <w:r>
              <w:rPr/>
              <w:br/>
              <w:br/>
              <w:t xml:space="preserve">Date: </w:t>
            </w:r>
            <w:r>
              <w:rPr>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pPr>
            <w:r>
              <w:rPr>
                <w:b/>
              </w:rPr>
              <w:t xml:space="preserve">Buyer: </w:t>
            </w:r>
            <w:r>
              <w:rPr>
                <w:b/>
                <w:u w:val="single"/>
              </w:rPr>
              <w:tab/>
            </w:r>
            <w:r>
              <w:rPr/>
              <w:br/>
              <w:br/>
              <w:t xml:space="preserve">By: </w:t>
            </w:r>
            <w:r>
              <w:rPr>
                <w:u w:val="single"/>
              </w:rPr>
              <w:tab/>
            </w:r>
            <w:r>
              <w:rPr/>
              <w:br/>
              <w:br/>
              <w:t xml:space="preserve">Title: </w:t>
            </w:r>
            <w:r>
              <w:rPr>
                <w:u w:val="single"/>
              </w:rPr>
              <w:tab/>
            </w:r>
            <w:r>
              <w:rPr/>
              <w:br/>
              <w:br/>
              <w:t xml:space="preserve">Date: </w:t>
            </w:r>
            <w:r>
              <w:rPr>
                <w:u w:val="single"/>
              </w:rPr>
              <w:tab/>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72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jc w:val="end"/>
      <w:rPr/>
    </w:pPr>
    <w:r>
      <w:rPr>
        <w:rStyle w:val="PageNumber"/>
      </w:rPr>
      <w:t>GISB Standard 6.3.1, May 13, 1996</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jc w:val="end"/>
      <w:rPr/>
    </w:pPr>
    <w:r>
      <w:rPr>
        <w:rStyle w:val="PageNumber"/>
      </w:rPr>
      <w:t>GISB Standard 6.3.1, May 13, 1996</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tabs>
        <w:tab w:val="clear" w:pos="720"/>
        <w:tab w:val="center" w:pos="5760" w:leader="none"/>
      </w:tabs>
      <w:ind w:hanging="0" w:start="3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2000-05-17T13:38:00Z</dcterms:created>
  <dc:creator>dperlin</dc:creator>
  <dc:description/>
  <dc:language>en-CA</dc:language>
  <cp:lastModifiedBy>dperlin</cp:lastModifiedBy>
  <cp:lastPrinted>2000-05-19T10:02:00Z</cp:lastPrinted>
  <dcterms:modified xsi:type="dcterms:W3CDTF">2000-05-19T12:35:00Z</dcterms:modified>
  <cp:revision>5</cp:revision>
  <dc:subject/>
  <dc:title>BASE CONTRACT FOR SHORT-TERM</dc:title>
</cp:coreProperties>
</file>