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ABB N2 turbines</w:t>
      </w:r>
    </w:p>
    <w:p>
      <w:pPr>
        <w:pStyle w:val="Normal"/>
        <w:rPr/>
      </w:pPr>
      <w:r>
        <w:rPr/>
      </w:r>
    </w:p>
    <w:p>
      <w:pPr>
        <w:pStyle w:val="Heading2"/>
        <w:ind w:hanging="0" w:start="0"/>
        <w:rPr>
          <w:b/>
          <w:u w:val="single"/>
        </w:rPr>
      </w:pPr>
      <w:r>
        <w:rPr>
          <w:b/>
          <w:u w:val="single"/>
        </w:rPr>
        <w:t>Enron Canada Conditions Precedent for agreement with Peoples</w:t>
      </w:r>
    </w:p>
    <w:p>
      <w:pPr>
        <w:pStyle w:val="Normal"/>
        <w:rPr>
          <w:b/>
          <w:u w:val="single"/>
        </w:rPr>
      </w:pPr>
      <w:r>
        <w:rPr>
          <w:b/>
          <w:u w:val="single"/>
        </w:rPr>
      </w:r>
    </w:p>
    <w:p>
      <w:pPr>
        <w:pStyle w:val="Normal"/>
        <w:rPr>
          <w:sz w:val="24"/>
        </w:rPr>
      </w:pPr>
      <w:r>
        <w:rPr>
          <w:sz w:val="24"/>
        </w:rPr>
        <w:t>July 13, 2000</w:t>
      </w:r>
    </w:p>
    <w:p>
      <w:pPr>
        <w:pStyle w:val="Normal"/>
        <w:rPr>
          <w:sz w:val="24"/>
        </w:rPr>
      </w:pPr>
      <w:r>
        <w:rPr>
          <w:sz w:val="24"/>
        </w:rPr>
      </w:r>
    </w:p>
    <w:p>
      <w:pPr>
        <w:pStyle w:val="Normal"/>
        <w:rPr>
          <w:sz w:val="24"/>
        </w:rPr>
      </w:pPr>
      <w:r>
        <w:rPr>
          <w:sz w:val="24"/>
        </w:rPr>
        <w:t xml:space="preserve">The items below are the key items we would like covered in the agreement.  Items 11 through 14 are of lower priority.  We have not included a large number of items identified (please refer to the June 7, 2000 note from Greg Johnston) that would normally be required by Enron Canada, however, we recognize that we are dealing with a contract that is in place, and that we need to keep Peoples and ABB focused on the key items. </w:t>
      </w:r>
    </w:p>
    <w:p>
      <w:pPr>
        <w:pStyle w:val="Normal"/>
        <w:rPr>
          <w:sz w:val="24"/>
        </w:rPr>
      </w:pPr>
      <w:r>
        <w:rPr>
          <w:sz w:val="24"/>
        </w:rPr>
      </w:r>
    </w:p>
    <w:p>
      <w:pPr>
        <w:pStyle w:val="Normal"/>
        <w:numPr>
          <w:ilvl w:val="0"/>
          <w:numId w:val="2"/>
        </w:numPr>
        <w:rPr>
          <w:sz w:val="24"/>
        </w:rPr>
      </w:pPr>
      <w:r>
        <w:rPr>
          <w:sz w:val="24"/>
        </w:rPr>
        <w:t>Price of $56 MM US shall include delivery to the Moore Project site in Moore Township in southwestern Ontario (roughly 20 miles south of Sarnia, Ontario).</w:t>
      </w:r>
    </w:p>
    <w:p>
      <w:pPr>
        <w:pStyle w:val="Normal"/>
        <w:numPr>
          <w:ilvl w:val="0"/>
          <w:numId w:val="2"/>
        </w:numPr>
        <w:rPr>
          <w:sz w:val="24"/>
        </w:rPr>
      </w:pPr>
      <w:r>
        <w:rPr>
          <w:sz w:val="24"/>
        </w:rPr>
        <w:t>Price of $56 MM US includes the items set forth in section 4.2 d).</w:t>
      </w:r>
    </w:p>
    <w:p>
      <w:pPr>
        <w:pStyle w:val="Normal"/>
        <w:numPr>
          <w:ilvl w:val="0"/>
          <w:numId w:val="2"/>
        </w:numPr>
        <w:rPr>
          <w:sz w:val="24"/>
        </w:rPr>
      </w:pPr>
      <w:r>
        <w:rPr>
          <w:sz w:val="24"/>
        </w:rPr>
        <w:t>The exciter modifications to a static exciter system as required by Ontario’s grid company Hydro One, shall be made at no extra cost to Enron Canada, in the field or in the shop, at ABB’s discretion (scheduling coordinated with Enron Canada if in the field), but in no case shall the turbine delivery to site be delayed past November 2000.</w:t>
      </w:r>
    </w:p>
    <w:p>
      <w:pPr>
        <w:pStyle w:val="Normal"/>
        <w:numPr>
          <w:ilvl w:val="0"/>
          <w:numId w:val="2"/>
        </w:numPr>
        <w:rPr>
          <w:sz w:val="24"/>
        </w:rPr>
      </w:pPr>
      <w:r>
        <w:rPr>
          <w:sz w:val="24"/>
        </w:rPr>
        <w:t>The takeover and drawings LD Option has been exercised and this cost is included in the $56 MM.</w:t>
      </w:r>
    </w:p>
    <w:p>
      <w:pPr>
        <w:pStyle w:val="Normal"/>
        <w:numPr>
          <w:ilvl w:val="0"/>
          <w:numId w:val="2"/>
        </w:numPr>
        <w:rPr>
          <w:sz w:val="24"/>
        </w:rPr>
      </w:pPr>
      <w:r>
        <w:rPr>
          <w:sz w:val="24"/>
        </w:rPr>
        <w:t>Duties and taxes per section 6 related to import into Canada will remain the responsibility of Seller.</w:t>
      </w:r>
    </w:p>
    <w:p>
      <w:pPr>
        <w:pStyle w:val="Normal"/>
        <w:numPr>
          <w:ilvl w:val="0"/>
          <w:numId w:val="2"/>
        </w:numPr>
        <w:rPr>
          <w:sz w:val="24"/>
        </w:rPr>
      </w:pPr>
      <w:r>
        <w:rPr>
          <w:sz w:val="24"/>
        </w:rPr>
        <w:t>While the guarantees on heat rate, output, failed starts and forced outages are deficient compared to other contracts, as a minimum the output minimum level should be raised to 97%, and failed starts should be limited to 7 in year one and 5 in year two for less than 100 starts each year.</w:t>
      </w:r>
    </w:p>
    <w:p>
      <w:pPr>
        <w:pStyle w:val="Normal"/>
        <w:numPr>
          <w:ilvl w:val="0"/>
          <w:numId w:val="2"/>
        </w:numPr>
        <w:rPr>
          <w:sz w:val="24"/>
        </w:rPr>
      </w:pPr>
      <w:r>
        <w:rPr>
          <w:sz w:val="24"/>
        </w:rPr>
        <w:t>The repair/replace terms of the contract shall be modified such that Enron Canada shall be able to choose, at its sole discretion, to replace parts versus repairing them, in order to maximize run-time (and the determination as to the best course of action shall be at Enron Canada’s sole discretion).</w:t>
      </w:r>
    </w:p>
    <w:p>
      <w:pPr>
        <w:pStyle w:val="Normal"/>
        <w:numPr>
          <w:ilvl w:val="0"/>
          <w:numId w:val="2"/>
        </w:numPr>
        <w:rPr>
          <w:sz w:val="24"/>
        </w:rPr>
      </w:pPr>
      <w:r>
        <w:rPr>
          <w:sz w:val="24"/>
        </w:rPr>
        <w:t>Enron will require documentation on all change orders made to date, completed and outstanding.</w:t>
      </w:r>
    </w:p>
    <w:p>
      <w:pPr>
        <w:pStyle w:val="Normal"/>
        <w:numPr>
          <w:ilvl w:val="0"/>
          <w:numId w:val="2"/>
        </w:numPr>
        <w:rPr>
          <w:sz w:val="24"/>
        </w:rPr>
      </w:pPr>
      <w:r>
        <w:rPr>
          <w:sz w:val="24"/>
        </w:rPr>
        <w:t>The definition of law shall be amended to Canadian law, and the work must comply with all applicable laws.</w:t>
      </w:r>
    </w:p>
    <w:p>
      <w:pPr>
        <w:pStyle w:val="Normal"/>
        <w:numPr>
          <w:ilvl w:val="0"/>
          <w:numId w:val="2"/>
        </w:numPr>
        <w:rPr>
          <w:sz w:val="24"/>
        </w:rPr>
      </w:pPr>
      <w:r>
        <w:rPr>
          <w:sz w:val="24"/>
        </w:rPr>
        <w:t>All equipment will need to conform to CSA and Ontario laws and codes and standards in order to be installed in Ontario, Canada, and ABB will be required to warrant accordingly.</w:t>
      </w:r>
    </w:p>
    <w:p>
      <w:pPr>
        <w:pStyle w:val="Normal"/>
        <w:numPr>
          <w:ilvl w:val="0"/>
          <w:numId w:val="2"/>
        </w:numPr>
        <w:rPr>
          <w:sz w:val="24"/>
        </w:rPr>
      </w:pPr>
      <w:r>
        <w:rPr>
          <w:sz w:val="24"/>
        </w:rPr>
        <w:t>Per Articles 2 and 3, delivery is determined as the time that the Equipment is delivered to the Delivery Point or placed into storage at Purchaser’s request.  Under the agreement, if it was determined that the equipment was damaged prior to delivery, warranty provisions would kick in, and we would lose our rights to delay LD’s.  Delivery should be deemed only at the Delivery Point (Site).</w:t>
      </w:r>
    </w:p>
    <w:p>
      <w:pPr>
        <w:pStyle w:val="Normal"/>
        <w:numPr>
          <w:ilvl w:val="0"/>
          <w:numId w:val="2"/>
        </w:numPr>
        <w:rPr>
          <w:sz w:val="24"/>
        </w:rPr>
      </w:pPr>
      <w:r>
        <w:rPr>
          <w:sz w:val="24"/>
        </w:rPr>
        <w:t>Section 2.1 can add significant expense as it deems removal from storage to be at Purchaser’s expense, even if the equipment is put into storage due to an event of Force Majeure.</w:t>
      </w:r>
    </w:p>
    <w:p>
      <w:pPr>
        <w:pStyle w:val="Normal"/>
        <w:numPr>
          <w:ilvl w:val="0"/>
          <w:numId w:val="2"/>
        </w:numPr>
        <w:rPr>
          <w:sz w:val="24"/>
        </w:rPr>
      </w:pPr>
      <w:r>
        <w:rPr>
          <w:sz w:val="24"/>
        </w:rPr>
        <w:t>In section 13.1(d), Seller should be responsible for costs related to disassembly/reassembly for warranty work.</w:t>
      </w:r>
    </w:p>
    <w:p>
      <w:pPr>
        <w:pStyle w:val="Normal"/>
        <w:numPr>
          <w:ilvl w:val="0"/>
          <w:numId w:val="2"/>
        </w:numPr>
        <w:rPr>
          <w:sz w:val="24"/>
        </w:rPr>
      </w:pPr>
      <w:r>
        <w:rPr>
          <w:sz w:val="24"/>
        </w:rPr>
        <w:t>In section 13.1(f) the references to Seller in subparagraph 1, 2,and 7 should read “by, through or under Seller or its subcontractors” to ensure that warranties apply even if a subcontractor improperly repairs the equipment.</w:t>
      </w:r>
    </w:p>
    <w:p>
      <w:pPr>
        <w:pStyle w:val="Normal"/>
        <w:rPr>
          <w:sz w:val="24"/>
        </w:rPr>
      </w:pPr>
      <w:r>
        <w:rPr>
          <w:sz w:val="24"/>
        </w:rPr>
      </w:r>
    </w:p>
    <w:p>
      <w:pPr>
        <w:pStyle w:val="Normal"/>
        <w:rPr>
          <w:sz w:val="24"/>
        </w:rPr>
      </w:pPr>
      <w:r>
        <w:rPr>
          <w:sz w:val="24"/>
        </w:rPr>
      </w:r>
    </w:p>
    <w:p>
      <w:pPr>
        <w:pStyle w:val="Normal"/>
        <w:rPr>
          <w:sz w:val="24"/>
        </w:rPr>
      </w:pPr>
      <w:r>
        <w:rPr>
          <w:sz w:val="24"/>
        </w:rPr>
        <w:t>The Agreement, although held under a West LB off-balance sheet structure should be reviewed by Enron legal and accounting and Arthur Anderson to ensure that it is appropriately worded to ensure off-balance sheet treatment (if that hasn’t already been done).</w:t>
      </w:r>
    </w:p>
    <w:p>
      <w:pPr>
        <w:pStyle w:val="Normal"/>
        <w:rPr>
          <w:sz w:val="24"/>
        </w:rPr>
      </w:pPr>
      <w:r>
        <w:rPr>
          <w:sz w:val="24"/>
        </w:rPr>
      </w:r>
    </w:p>
    <w:p>
      <w:pPr>
        <w:pStyle w:val="Normal"/>
        <w:rPr>
          <w:sz w:val="24"/>
        </w:rPr>
      </w:pPr>
      <w:r>
        <w:rPr>
          <w:sz w:val="24"/>
        </w:rPr>
      </w:r>
    </w:p>
    <w:p>
      <w:pPr>
        <w:pStyle w:val="Normal"/>
        <w:rPr/>
      </w:pPr>
      <w:r>
        <w:rPr/>
        <w:t xml:space="p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4"/>
      <w:u w:val="single"/>
    </w:rPr>
  </w:style>
  <w:style w:type="paragraph" w:styleId="Heading2">
    <w:name w:val="heading 2"/>
    <w:basedOn w:val="Normal"/>
    <w:next w:val="Normal"/>
    <w:qFormat/>
    <w:pPr>
      <w:keepNext w:val="true"/>
      <w:numPr>
        <w:ilvl w:val="1"/>
        <w:numId w:val="1"/>
      </w:numPr>
      <w:outlineLvl w:val="1"/>
    </w:pPr>
    <w:rPr>
      <w:sz w:val="24"/>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2000-07-14T15:01:00Z</dcterms:created>
  <dc:creator>eledain</dc:creator>
  <dc:description/>
  <dc:language>en-CA</dc:language>
  <cp:lastModifiedBy>eledain</cp:lastModifiedBy>
  <dcterms:modified xsi:type="dcterms:W3CDTF">2000-07-14T15:01:00Z</dcterms:modified>
  <cp:revision>2</cp:revision>
  <dc:subject/>
  <dc:title>ABB N2 turbines</dc:title>
</cp:coreProperties>
</file>