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t>ABB GT11N Turbine Sale</w:t>
      </w:r>
    </w:p>
    <w:p>
      <w:pPr>
        <w:pStyle w:val="Normal"/>
        <w:rPr>
          <w:b/>
          <w:bCs/>
          <w:sz w:val="28"/>
        </w:rPr>
      </w:pPr>
      <w:r>
        <w:rPr>
          <w:b/>
          <w:bCs/>
          <w:sz w:val="28"/>
        </w:rPr>
        <w:t>Proposal for moving the units into ENA turbine pool</w:t>
      </w:r>
    </w:p>
    <w:p>
      <w:pPr>
        <w:pStyle w:val="Normal"/>
        <w:rPr>
          <w:b/>
          <w:bCs/>
          <w:sz w:val="28"/>
        </w:rPr>
      </w:pPr>
      <w:r>
        <w:rPr>
          <w:b/>
          <w:bCs/>
          <w:sz w:val="28"/>
        </w:rPr>
      </w:r>
    </w:p>
    <w:p>
      <w:pPr>
        <w:pStyle w:val="Normal"/>
        <w:rPr/>
      </w:pPr>
      <w:r>
        <w:rPr/>
        <w:t>July 3, 2001 Revision 2</w:t>
      </w:r>
    </w:p>
    <w:p>
      <w:pPr>
        <w:pStyle w:val="Normal"/>
        <w:rPr/>
      </w:pPr>
      <w:r>
        <w:rPr/>
      </w:r>
    </w:p>
    <w:p>
      <w:pPr>
        <w:pStyle w:val="Normal"/>
        <w:numPr>
          <w:ilvl w:val="0"/>
          <w:numId w:val="1"/>
        </w:numPr>
        <w:spacing w:lineRule="auto" w:line="480"/>
        <w:rPr/>
      </w:pPr>
      <w:r>
        <w:rPr/>
        <w:t>Enron Canada Corp. (ECC) would continue to market the units through to September 1, 2001 given that many of the active counterparties are moving to close the sale.  Chris Calger and Ben Jacoby would during this period look at incorporating the units into sites across the Americas.</w:t>
      </w:r>
    </w:p>
    <w:p>
      <w:pPr>
        <w:pStyle w:val="Normal"/>
        <w:spacing w:lineRule="auto" w:line="480"/>
        <w:ind w:start="360" w:end="0"/>
        <w:rPr/>
      </w:pPr>
      <w:r>
        <w:rPr/>
      </w:r>
    </w:p>
    <w:p>
      <w:pPr>
        <w:pStyle w:val="Normal"/>
        <w:numPr>
          <w:ilvl w:val="0"/>
          <w:numId w:val="1"/>
        </w:numPr>
        <w:spacing w:lineRule="auto" w:line="480"/>
        <w:rPr/>
      </w:pPr>
      <w:r>
        <w:rPr/>
        <w:t xml:space="preserve">Effective September 1, 2001, the prime responsibility for selling the units would move over to the turbine book under Chris Calger and Ben Jacoby. </w:t>
      </w:r>
    </w:p>
    <w:p>
      <w:pPr>
        <w:pStyle w:val="Normal"/>
        <w:spacing w:lineRule="auto" w:line="480"/>
        <w:rPr/>
      </w:pPr>
      <w:r>
        <w:rPr/>
      </w:r>
    </w:p>
    <w:p>
      <w:pPr>
        <w:pStyle w:val="Normal"/>
        <w:numPr>
          <w:ilvl w:val="0"/>
          <w:numId w:val="1"/>
        </w:numPr>
        <w:spacing w:lineRule="auto" w:line="480"/>
        <w:rPr/>
      </w:pPr>
      <w:r>
        <w:rPr/>
        <w:t>The units would be transferred at a deemed value of $30 MM US  (the “Transfer Price”).  ECC would take a write down on the cost base value in IBIS as of September 1, 2001 (approximately $36.2 MM US net of all HST which will be refunded) versus the $30 MM US.  Effective September 1, 2001, Chris/Ben would assume the downside risk of a sale below $30 MM US.</w:t>
      </w:r>
    </w:p>
    <w:p>
      <w:pPr>
        <w:pStyle w:val="Normal"/>
        <w:spacing w:lineRule="auto" w:line="480"/>
        <w:rPr/>
      </w:pPr>
      <w:r>
        <w:rPr/>
      </w:r>
    </w:p>
    <w:p>
      <w:pPr>
        <w:pStyle w:val="Normal"/>
        <w:numPr>
          <w:ilvl w:val="0"/>
          <w:numId w:val="1"/>
        </w:numPr>
        <w:spacing w:lineRule="auto" w:line="480"/>
        <w:rPr/>
      </w:pPr>
      <w:r>
        <w:rPr/>
        <w:t>If after September 1, 2001 any of the parties ECC is currently dealing with on its short list dated June 25 ultimately buys the units, including Calpine, ECC would get all of the origination above the Transfer Price less carrying costs from September 1, 2001 less a $1 MM US brokerage fee to be paid to Chris and Ben.</w:t>
      </w:r>
    </w:p>
    <w:p>
      <w:pPr>
        <w:pStyle w:val="Normal"/>
        <w:spacing w:lineRule="auto" w:line="480"/>
        <w:rPr/>
      </w:pPr>
      <w:r>
        <w:rPr/>
      </w:r>
    </w:p>
    <w:p>
      <w:pPr>
        <w:pStyle w:val="Normal"/>
        <w:numPr>
          <w:ilvl w:val="0"/>
          <w:numId w:val="1"/>
        </w:numPr>
        <w:spacing w:lineRule="auto" w:line="480"/>
        <w:rPr/>
      </w:pPr>
      <w:r>
        <w:rPr/>
        <w:t>If after September 1, 2001 the units are sold to a party not currently in discussions with ECC, ECC would receive no origination.</w:t>
      </w:r>
    </w:p>
    <w:p>
      <w:pPr>
        <w:pStyle w:val="Normal"/>
        <w:spacing w:lineRule="auto" w:line="480"/>
        <w:rPr/>
      </w:pPr>
      <w:r>
        <w:rPr/>
      </w:r>
    </w:p>
    <w:sectPr>
      <w:type w:val="nextPage"/>
      <w:pgSz w:w="12240" w:h="15840"/>
      <w:pgMar w:left="1728" w:right="1728" w:gutter="0" w:header="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2001-07-05T20:24:00Z</dcterms:created>
  <dc:creator>eledain</dc:creator>
  <dc:description/>
  <dc:language>en-CA</dc:language>
  <cp:lastModifiedBy>ccalger</cp:lastModifiedBy>
  <cp:lastPrinted>2001-07-03T16:04:00Z</cp:lastPrinted>
  <dcterms:modified xsi:type="dcterms:W3CDTF">2001-07-05T20:24:00Z</dcterms:modified>
  <cp:revision>2</cp:revision>
  <dc:subject/>
  <dc:title>ABB GT11N Turbine Sale</dc:title>
</cp:coreProperties>
</file>