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ENRON RISK ASSESSMENT AND CONTROL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>
        <w:rPr>
          <w:b/>
          <w:sz w:val="32"/>
        </w:rPr>
        <w:t>DEAL APPROVAL SHEET</w:t>
      </w:r>
    </w:p>
    <w:p>
      <w:pPr>
        <w:pStyle w:val="Normal"/>
        <w:rPr>
          <w:b/>
          <w:sz w:val="32"/>
        </w:rPr>
      </w:pPr>
      <w:r>
        <w:rPr>
          <w:b/>
          <w:sz w:val="32"/>
        </w:rPr>
      </w:r>
    </w:p>
    <w:tbl>
      <w:tblPr>
        <w:tblW w:w="1044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90"/>
        <w:gridCol w:w="4950"/>
      </w:tblGrid>
      <w:tr>
        <w:trPr>
          <w:trHeight w:val="1656" w:hRule="atLeast"/>
        </w:trPr>
        <w:tc>
          <w:tcPr>
            <w:tcW w:w="549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end="792"/>
              <w:rPr>
                <w:b/>
              </w:rPr>
            </w:pPr>
            <w:r>
              <w:rPr>
                <w:b/>
              </w:rPr>
              <w:t>DEAL NAME:   EOL Turbine Option</w:t>
            </w:r>
          </w:p>
          <w:p>
            <w:pPr>
              <w:pStyle w:val="Normal"/>
              <w:ind w:end="792"/>
              <w:rPr/>
            </w:pPr>
            <w:r>
              <w:rPr/>
              <w:t>Counterparty:  TBD</w:t>
            </w:r>
          </w:p>
          <w:p>
            <w:pPr>
              <w:pStyle w:val="Normal"/>
              <w:rPr/>
            </w:pPr>
            <w:r>
              <w:rPr/>
              <w:t>Business Unit:  ENA West Origination</w:t>
            </w:r>
          </w:p>
          <w:p>
            <w:pPr>
              <w:pStyle w:val="Normal"/>
              <w:rPr/>
            </w:pPr>
            <w:r>
              <w:rPr/>
              <w:t>Business Unit Originator:  Steve Thome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rPr/>
            </w:pP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Public</w:t>
              <w:tab/>
            </w:r>
            <w:r>
              <w:rPr>
                <w:rFonts w:cs="Wingdings" w:ascii="Wingdings" w:hAnsi="Wingdings"/>
              </w:rPr>
              <w:sym w:font="Wingdings" w:char="f078"/>
            </w:r>
            <w:r>
              <w:rPr/>
              <w:t>Private</w:t>
            </w:r>
          </w:p>
          <w:p>
            <w:pPr>
              <w:pStyle w:val="Normal"/>
              <w:tabs>
                <w:tab w:val="clear" w:pos="720"/>
                <w:tab w:val="left" w:pos="1530" w:leader="none"/>
              </w:tabs>
              <w:ind w:end="-738"/>
              <w:rPr/>
            </w:pPr>
            <w:r>
              <w:rPr>
                <w:rFonts w:cs="Wingdings" w:ascii="Wingdings" w:hAnsi="Wingdings"/>
              </w:rPr>
              <w:sym w:font="Wingdings" w:char="f078"/>
            </w:r>
            <w:r>
              <w:rPr/>
              <w:t>Merchant</w:t>
              <w:tab/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Strategic</w:t>
            </w:r>
          </w:p>
          <w:p>
            <w:pPr>
              <w:pStyle w:val="Header"/>
              <w:tabs>
                <w:tab w:val="left" w:pos="1530" w:leader="none"/>
                <w:tab w:val="center" w:pos="4320" w:leader="none"/>
                <w:tab w:val="right" w:pos="8640" w:leader="none"/>
              </w:tabs>
              <w:rPr/>
            </w:pPr>
            <w:r>
              <w:rPr>
                <w:rFonts w:cs="Wingdings" w:ascii="Wingdings" w:hAnsi="Wingdings"/>
              </w:rPr>
              <w:sym w:font="Wingdings" w:char="f078"/>
            </w:r>
            <w:r>
              <w:rPr/>
              <w:t>Conforming</w:t>
              <w:tab/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>Nonconforming</w:t>
            </w:r>
          </w:p>
        </w:tc>
        <w:tc>
          <w:tcPr>
            <w:tcW w:w="49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firstLine="90" w:start="-198" w:end="-738"/>
              <w:rPr/>
            </w:pPr>
            <w:r>
              <w:rPr/>
              <w:t>Date DASH Completed:  21 September 2001</w:t>
            </w:r>
          </w:p>
          <w:p>
            <w:pPr>
              <w:pStyle w:val="Normal"/>
              <w:ind w:firstLine="90" w:start="-198" w:end="-1095"/>
              <w:rPr/>
            </w:pPr>
            <w:r>
              <w:rPr/>
              <w:t>RAC Analyst:  N/A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>Investment Type:  Divestiture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>Capital Funding Source(s):  N/A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>Expected Closing Date:  TBD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>Expected Funding Date:  N/A</w:t>
            </w:r>
          </w:p>
          <w:p>
            <w:pPr>
              <w:pStyle w:val="Normal"/>
              <w:ind w:firstLine="90" w:start="-198" w:end="-738"/>
              <w:rPr/>
            </w:pPr>
            <w:r>
              <w:rPr/>
              <w:t xml:space="preserve">Board Approval: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 xml:space="preserve">Pending 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 xml:space="preserve">Received  </w:t>
            </w:r>
            <w:r>
              <w:rPr>
                <w:rFonts w:cs="Wingdings" w:ascii="Wingdings" w:hAnsi="Wingdings"/>
              </w:rPr>
              <w:sym w:font="Wingdings" w:char="f070"/>
            </w:r>
            <w:r>
              <w:rPr/>
              <w:t xml:space="preserve">Denied  </w:t>
            </w:r>
            <w:r>
              <w:rPr>
                <w:rFonts w:cs="Wingdings" w:ascii="Wingdings" w:hAnsi="Wingdings"/>
              </w:rPr>
              <w:sym w:font="Wingdings" w:char="f078"/>
            </w:r>
            <w:r>
              <w:rPr/>
              <w:t>N/A</w:t>
            </w:r>
          </w:p>
        </w:tc>
      </w:tr>
    </w:tbl>
    <w:p>
      <w:pPr>
        <w:pStyle w:val="Normal"/>
        <w:rPr/>
      </w:pPr>
      <w:r>
        <w:rPr/>
        <w:t xml:space="preserve">RAC Recommendation: </w:t>
      </w:r>
      <w:r>
        <w:rPr>
          <w:rFonts w:cs="Wingdings" w:ascii="Wingdings" w:hAnsi="Wingdings"/>
        </w:rPr>
        <w:sym w:font="Wingdings" w:char="f078"/>
      </w:r>
      <w:r>
        <w:rPr/>
        <w:t xml:space="preserve">Proceed with Transaction    </w:t>
      </w:r>
      <w:r>
        <w:rPr>
          <w:rFonts w:cs="Wingdings" w:ascii="Wingdings" w:hAnsi="Wingdings"/>
        </w:rPr>
        <w:sym w:font="Wingdings" w:char="f070"/>
      </w:r>
      <w:r>
        <w:rPr/>
        <w:t xml:space="preserve">Returns below Capital Price   </w:t>
      </w:r>
      <w:r>
        <w:rPr>
          <w:rFonts w:cs="Wingdings" w:ascii="Wingdings" w:hAnsi="Wingdings"/>
        </w:rPr>
        <w:sym w:font="Wingdings" w:char="f070"/>
      </w:r>
      <w:r>
        <w:rPr/>
        <w:t>Do not Proceed</w:t>
      </w:r>
    </w:p>
    <w:p>
      <w:pPr>
        <w:pStyle w:val="Heading4"/>
        <w:pBdr>
          <w:top w:val="single" w:sz="8" w:space="1" w:color="000000"/>
        </w:pBdr>
        <w:tabs>
          <w:tab w:val="clear" w:pos="9990"/>
          <w:tab w:val="left" w:pos="10260" w:leader="none"/>
        </w:tabs>
        <w:rPr/>
      </w:pPr>
      <w:r>
        <w:rPr/>
        <w:t>APPROVAL AMOUNT REQUESTED</w:t>
      </w:r>
    </w:p>
    <w:p>
      <w:pPr>
        <w:pStyle w:val="Normal"/>
        <w:ind w:start="360" w:end="-306"/>
        <w:rPr/>
      </w:pPr>
      <w:r>
        <w:rPr/>
        <w:t>None</w:t>
      </w:r>
    </w:p>
    <w:p>
      <w:pPr>
        <w:pStyle w:val="Normal"/>
        <w:rPr/>
      </w:pPr>
      <w:r>
        <w:rPr/>
      </w:r>
    </w:p>
    <w:p>
      <w:pPr>
        <w:pStyle w:val="Heading1"/>
        <w:pBdr>
          <w:top w:val="single" w:sz="8" w:space="1" w:color="000000"/>
        </w:pBdr>
        <w:ind w:hanging="0" w:start="0" w:end="-36"/>
        <w:rPr/>
      </w:pPr>
      <w:r>
        <w:rPr/>
        <w:t>EXPOSURE SUMMARY</w:t>
      </w:r>
    </w:p>
    <w:p>
      <w:pPr>
        <w:pStyle w:val="Normal"/>
        <w:ind w:start="360" w:end="0"/>
        <w:rPr/>
      </w:pPr>
      <w:r>
        <w:rPr/>
        <w:t>This transaction:</w:t>
        <w:tab/>
        <w:tab/>
        <w:t>$37,000,000</w:t>
      </w:r>
    </w:p>
    <w:p>
      <w:pPr>
        <w:pStyle w:val="Normal"/>
        <w:ind w:start="360" w:end="0"/>
        <w:rPr/>
      </w:pPr>
      <w:r>
        <w:rPr/>
        <w:t>Total</w:t>
        <w:tab/>
        <w:tab/>
        <w:tab/>
        <w:t>$37,000,000</w:t>
      </w:r>
    </w:p>
    <w:p>
      <w:pPr>
        <w:pStyle w:val="Normal"/>
        <w:ind w:end="-36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i w:val="false"/>
          <w:i w:val="false"/>
        </w:rPr>
      </w:pPr>
      <w:r>
        <w:rPr>
          <w:i w:val="false"/>
        </w:rPr>
        <w:t>DEAL DESCRIPTION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 xml:space="preserve">As agent for Ibis Turbine Corporation, ENA is listing a 30-day call option on EOL for the purchase of two ABB GT11N1 Turbines and their associated equipment and contracts.  Upon selection of the EOL product, a buyer is required to pay a $450,000 fee and is entitled to purchase the turbine </w:t>
      </w:r>
      <w:r>
        <w:rPr>
          <w:rFonts w:cs="Times" w:ascii="Times" w:hAnsi="Times"/>
        </w:rPr>
        <w:t>equipment package for $37 MM.  Turbine equipment package includes:</w:t>
      </w:r>
    </w:p>
    <w:p>
      <w:pPr>
        <w:pStyle w:val="Normal"/>
        <w:rPr>
          <w:rFonts w:ascii="Times" w:hAnsi="Times" w:cs="Times"/>
        </w:rPr>
      </w:pPr>
      <w:r>
        <w:rPr>
          <w:rFonts w:cs="Times" w:ascii="Times" w:hAnsi="Times"/>
        </w:rPr>
      </w:r>
    </w:p>
    <w:p>
      <w:pPr>
        <w:pStyle w:val="Normal"/>
        <w:numPr>
          <w:ilvl w:val="0"/>
          <w:numId w:val="2"/>
        </w:numPr>
        <w:autoSpaceDE w:val="false"/>
        <w:ind w:hanging="380" w:start="1500" w:end="0"/>
        <w:rPr>
          <w:rFonts w:ascii="Times" w:hAnsi="Times" w:cs="Arial"/>
        </w:rPr>
      </w:pPr>
      <w:r>
        <w:rPr>
          <w:rFonts w:cs="Arial" w:ascii="Times" w:hAnsi="Times"/>
        </w:rPr>
        <w:t>Two GT-11N1 turbines and associated balance of plant.</w:t>
      </w:r>
    </w:p>
    <w:p>
      <w:pPr>
        <w:pStyle w:val="Normal"/>
        <w:numPr>
          <w:ilvl w:val="0"/>
          <w:numId w:val="2"/>
        </w:numPr>
        <w:autoSpaceDE w:val="false"/>
        <w:ind w:hanging="380" w:start="1500" w:end="0"/>
        <w:rPr>
          <w:rFonts w:ascii="Times" w:hAnsi="Times" w:cs="Arial"/>
        </w:rPr>
      </w:pPr>
      <w:r>
        <w:rPr>
          <w:rFonts w:cs="Arial" w:ascii="Times" w:hAnsi="Times"/>
        </w:rPr>
        <w:t>NBP Maintenance Contract</w:t>
      </w:r>
    </w:p>
    <w:p>
      <w:pPr>
        <w:pStyle w:val="Normal"/>
        <w:numPr>
          <w:ilvl w:val="0"/>
          <w:numId w:val="2"/>
        </w:numPr>
        <w:autoSpaceDE w:val="false"/>
        <w:ind w:hanging="380" w:start="1500" w:end="0"/>
        <w:rPr>
          <w:rFonts w:ascii="Times" w:hAnsi="Times" w:cs="Arial"/>
        </w:rPr>
      </w:pPr>
      <w:r>
        <w:rPr>
          <w:rFonts w:cs="Arial" w:ascii="Times" w:hAnsi="Times"/>
        </w:rPr>
        <w:t>PSM Upgrade Contract, on which $1.26 MM (15% of $8.4 MM contract value) is outstanding.</w:t>
      </w:r>
    </w:p>
    <w:p>
      <w:pPr>
        <w:pStyle w:val="Normal"/>
        <w:rPr>
          <w:rFonts w:ascii="Times" w:hAnsi="Times" w:cs="Arial"/>
        </w:rPr>
      </w:pPr>
      <w:r>
        <w:rPr>
          <w:rFonts w:cs="Arial" w:ascii="Times" w:hAnsi="Times"/>
        </w:rPr>
      </w:r>
    </w:p>
    <w:p>
      <w:pPr>
        <w:pStyle w:val="Normal"/>
        <w:rPr/>
      </w:pPr>
      <w:r>
        <w:rPr/>
        <w:t>The option is an agreement between ENA, as agent for Ibis, and optionee.  Actual purchase of the turbine package must occur within 30 days, unless optionee elects to purchase one-time 30-day option extension for $250,000.  Final turbine sale is direct between buyer and Ibis.  In order to exercise this option, buyer is required to put $1,000,000 down prior to option term and sign the turbine purchase agreement within 5 days of exercise.  Closing shall be no later than 45 days from exercise.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Ibis Turbine Corporation is a wholly-owned subsidiary of Whitewing, LLP.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i w:val="false"/>
          <w:i w:val="false"/>
        </w:rPr>
      </w:pPr>
      <w:r>
        <w:rPr>
          <w:i w:val="false"/>
        </w:rPr>
        <w:t>TRANSACTION SOURCES AND USES OF FUNDS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The following is a breakdown of Ibis’s costs since its purchase of the assets from West LB in December 2000.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/>
      </w:r>
    </w:p>
    <w:p>
      <w:pPr>
        <w:pStyle w:val="Normal"/>
        <w:autoSpaceDE w:val="false"/>
        <w:ind w:firstLine="360" w:start="360" w:end="0"/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  <w:t>37,750,000  paid for assets</w:t>
      </w:r>
    </w:p>
    <w:p>
      <w:pPr>
        <w:pStyle w:val="Normal"/>
        <w:autoSpaceDE w:val="false"/>
        <w:ind w:start="360" w:end="0"/>
        <w:rPr/>
      </w:pPr>
      <w:r>
        <w:rPr>
          <w:rFonts w:cs="Arial" w:ascii="Times" w:hAnsi="Times"/>
          <w:color w:val="000000"/>
        </w:rPr>
        <w:tab/>
      </w:r>
      <w:r>
        <w:rPr>
          <w:rFonts w:cs="Arial" w:ascii="Times" w:hAnsi="Times"/>
          <w:color w:val="000000"/>
          <w:u w:val="single"/>
        </w:rPr>
        <w:t xml:space="preserve"> (3,641,663)</w:t>
      </w:r>
      <w:r>
        <w:rPr>
          <w:rFonts w:cs="Arial" w:ascii="Times" w:hAnsi="Times"/>
          <w:color w:val="000000"/>
        </w:rPr>
        <w:t xml:space="preserve"> rebated tax</w:t>
      </w:r>
    </w:p>
    <w:p>
      <w:pPr>
        <w:pStyle w:val="Normal"/>
        <w:autoSpaceDE w:val="false"/>
        <w:ind w:start="360" w:end="0"/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  <w:tab/>
        <w:t>34,108,337  asset cost</w:t>
      </w:r>
    </w:p>
    <w:p>
      <w:pPr>
        <w:pStyle w:val="Normal"/>
        <w:autoSpaceDE w:val="false"/>
        <w:ind w:start="360" w:end="0"/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</w:r>
    </w:p>
    <w:p>
      <w:pPr>
        <w:pStyle w:val="Normal"/>
        <w:autoSpaceDE w:val="false"/>
        <w:ind w:start="360" w:end="0"/>
        <w:rPr/>
      </w:pPr>
      <w:r>
        <w:rPr>
          <w:rFonts w:cs="Arial" w:ascii="Times" w:hAnsi="Times"/>
          <w:color w:val="000000"/>
        </w:rPr>
        <w:tab/>
        <w:t xml:space="preserve">    </w:t>
      </w:r>
      <w:r>
        <w:rPr>
          <w:rFonts w:cs="Arial" w:ascii="Times" w:hAnsi="Times"/>
          <w:color w:val="000000"/>
          <w:u w:val="single"/>
        </w:rPr>
        <w:t xml:space="preserve"> 840,000</w:t>
      </w:r>
      <w:r>
        <w:rPr>
          <w:rFonts w:cs="Arial" w:ascii="Times" w:hAnsi="Times"/>
          <w:color w:val="000000"/>
        </w:rPr>
        <w:t xml:space="preserve">  paid to PSM under combustor conversion contract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  <w:tab/>
        <w:t>34,948,337  net cost before interest expense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/>
      </w:pPr>
      <w:r>
        <w:rPr>
          <w:rFonts w:cs="Arial" w:ascii="Times" w:hAnsi="Times"/>
          <w:color w:val="000000"/>
        </w:rPr>
        <w:tab/>
        <w:t xml:space="preserve">  </w:t>
      </w:r>
      <w:r>
        <w:rPr>
          <w:rFonts w:cs="Arial" w:ascii="Times" w:hAnsi="Times"/>
          <w:color w:val="000000"/>
          <w:u w:val="single"/>
        </w:rPr>
        <w:t>2,183,000</w:t>
      </w:r>
      <w:r>
        <w:rPr>
          <w:rFonts w:cs="Arial" w:ascii="Times" w:hAnsi="Times"/>
          <w:color w:val="000000"/>
        </w:rPr>
        <w:t xml:space="preserve">  financing expense as of  22 SEP 2001 (Ibis financing cost is 8.33%)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  <w:tab/>
        <w:t>37,131,337  Total expenditure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  <w:t xml:space="preserve">Under agency agreement between Ibis and ECC, ECC is obligated to make up difference between rebate and $3,750,000, a total of $108,337.  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  <w:t>Net loss to Ibis after tax rebate true-up is -$23,000.</w:t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</w:r>
    </w:p>
    <w:p>
      <w:pPr>
        <w:pStyle w:val="Header"/>
        <w:widowControl/>
        <w:tabs>
          <w:tab w:val="left" w:pos="720" w:leader="none"/>
          <w:tab w:val="center" w:pos="4320" w:leader="none"/>
          <w:tab w:val="right" w:pos="8640" w:leader="none"/>
        </w:tabs>
        <w:rPr>
          <w:rFonts w:ascii="Times" w:hAnsi="Times" w:cs="Arial"/>
          <w:color w:val="000000"/>
        </w:rPr>
      </w:pPr>
      <w:r>
        <w:rPr>
          <w:rFonts w:cs="Arial" w:ascii="Times" w:hAnsi="Times"/>
          <w:color w:val="000000"/>
        </w:rPr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i w:val="false"/>
          <w:i w:val="false"/>
          <w:iCs/>
        </w:rPr>
      </w:pPr>
      <w:r>
        <w:rPr>
          <w:i w:val="false"/>
          <w:iCs/>
        </w:rPr>
        <w:t>RETURN SUMMARY</w:t>
      </w:r>
    </w:p>
    <w:p>
      <w:pPr>
        <w:pStyle w:val="Normal"/>
        <w:rPr>
          <w:i/>
          <w:i/>
          <w:iCs/>
          <w:lang w:val="en-CA" w:eastAsia="en-CA"/>
        </w:rPr>
      </w:pPr>
      <w:r>
        <w:rPr>
          <w:i/>
          <w:iCs/>
          <w:lang w:val="en-CA" w:eastAsia="en-CA"/>
        </w:rPr>
      </w:r>
    </w:p>
    <w:p>
      <w:pPr>
        <w:pStyle w:val="Normal"/>
        <w:rPr>
          <w:lang w:val="en-CA" w:eastAsia="en-CA"/>
        </w:rPr>
      </w:pPr>
      <w:r>
        <w:rPr>
          <w:lang w:val="en-CA" w:eastAsia="en-CA"/>
        </w:rPr>
        <w:t>Enron Corp is not a direct principal in the undelying turbine sale transaction.  Returns to Ibis Turbine Corporation are negligible.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pBdr>
          <w:top w:val="single" w:sz="8" w:space="0" w:color="000000"/>
        </w:pBdr>
        <w:ind w:hanging="0" w:start="0" w:end="-36"/>
        <w:rPr/>
      </w:pPr>
      <w:r>
        <w:rPr/>
        <w:t>CASH FLOW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Immediate cash flow to Enron North America is $450,000.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Cash flow to IBIS is $37 MM.</w:t>
      </w:r>
    </w:p>
    <w:p>
      <w:pPr>
        <w:pStyle w:val="Normal"/>
        <w:rPr/>
      </w:pPr>
      <w:r>
        <w:rPr/>
      </w:r>
    </w:p>
    <w:p>
      <w:pPr>
        <w:pStyle w:val="Heading2"/>
        <w:widowControl/>
        <w:pBdr>
          <w:top w:val="single" w:sz="8" w:space="1" w:color="000000"/>
        </w:pBdr>
        <w:ind w:hanging="0" w:start="0" w:end="-36"/>
        <w:rPr>
          <w:b w:val="false"/>
          <w:i w:val="false"/>
          <w:i w:val="false"/>
        </w:rPr>
      </w:pPr>
      <w:r>
        <w:rPr>
          <w:i w:val="false"/>
        </w:rPr>
        <w:t xml:space="preserve">RISK MATRIX </w:t>
      </w:r>
    </w:p>
    <w:p>
      <w:pPr>
        <w:pStyle w:val="Header"/>
        <w:widowControl/>
        <w:tabs>
          <w:tab w:val="clear" w:pos="4320"/>
          <w:tab w:val="clear" w:pos="8640"/>
        </w:tabs>
        <w:rPr>
          <w:b/>
          <w:i/>
          <w:i/>
        </w:rPr>
      </w:pPr>
      <w:r>
        <w:rPr>
          <w:b/>
          <w:i/>
        </w:rPr>
      </w:r>
    </w:p>
    <w:tbl>
      <w:tblPr>
        <w:tblW w:w="9990" w:type="dxa"/>
        <w:jc w:val="start"/>
        <w:tblInd w:w="37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432"/>
        <w:gridCol w:w="5670"/>
      </w:tblGrid>
      <w:tr>
        <w:trPr/>
        <w:tc>
          <w:tcPr>
            <w:tcW w:w="4320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DESCRIPTION</w:t>
            </w:r>
          </w:p>
        </w:tc>
        <w:tc>
          <w:tcPr>
            <w:tcW w:w="56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MITIGATION/COMMENTS</w:t>
            </w:r>
          </w:p>
        </w:tc>
      </w:tr>
      <w:tr>
        <w:trPr/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/>
              <w:tabs>
                <w:tab w:val="left" w:pos="720" w:leader="none"/>
                <w:tab w:val="center" w:pos="4320" w:leader="none"/>
                <w:tab w:val="right" w:pos="8640" w:leader="none"/>
              </w:tabs>
              <w:rPr/>
            </w:pPr>
            <w:r>
              <w:rPr/>
              <w:t>Counterparty Credit Risk</w:t>
            </w:r>
          </w:p>
        </w:tc>
        <w:tc>
          <w:tcPr>
            <w:tcW w:w="610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Transaction only obligates Enron to sell the call option.  Should a party not remit the option fee, Enron can continue to market turbines.  Closing deadline limits risk of continued carrying costs should counterparty fail to acquire financing for purchase.</w:t>
            </w:r>
          </w:p>
        </w:tc>
      </w:tr>
      <w:tr>
        <w:trPr/>
        <w:tc>
          <w:tcPr>
            <w:tcW w:w="38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er"/>
              <w:widowControl/>
              <w:tabs>
                <w:tab w:val="left" w:pos="720" w:leader="none"/>
                <w:tab w:val="center" w:pos="4320" w:leader="none"/>
                <w:tab w:val="right" w:pos="8640" w:leader="none"/>
              </w:tabs>
              <w:rPr/>
            </w:pPr>
            <w:r>
              <w:rPr/>
              <w:t>Taxation Risk</w:t>
            </w:r>
          </w:p>
        </w:tc>
        <w:tc>
          <w:tcPr>
            <w:tcW w:w="6102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 xml:space="preserve">Any capital gains from the sale of Ibis’s assets will be subject to double taxation in repatriating the assets to Whitewing.   Small loss creates negligible tax position. 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pBdr>
          <w:top w:val="single" w:sz="8" w:space="1" w:color="000000"/>
        </w:pBdr>
        <w:ind w:hanging="0" w:start="0"/>
        <w:rPr/>
      </w:pPr>
      <w:r>
        <w:rPr/>
        <w:t>KEY SUCCESS FACTORS</w:t>
      </w:r>
    </w:p>
    <w:p>
      <w:pPr>
        <w:pStyle w:val="Normal"/>
        <w:rPr/>
      </w:pPr>
      <w:r>
        <w:rPr/>
      </w:r>
    </w:p>
    <w:tbl>
      <w:tblPr>
        <w:tblW w:w="102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40"/>
        <w:gridCol w:w="1170"/>
        <w:gridCol w:w="5850"/>
      </w:tblGrid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rFonts w:eastAsia="Arial Unicode MS"/>
              </w:rPr>
            </w:pPr>
            <w:r>
              <w:rPr/>
              <w:t>Poor                                                                                        Excellent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widowControl/>
              <w:tabs>
                <w:tab w:val="left" w:pos="720" w:leader="none"/>
                <w:tab w:val="center" w:pos="4320" w:leader="none"/>
                <w:tab w:val="right" w:pos="8640" w:leader="none"/>
              </w:tabs>
              <w:rPr/>
            </w:pPr>
            <w:r>
              <w:rPr/>
              <w:t>Core Business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 </w:t>
            </w:r>
            <w:r>
              <w:rPr/>
              <w:t>X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Strategic Fit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</w:t>
            </w:r>
            <w:r>
              <w:rPr/>
              <w:t>X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Upside Potential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</w:t>
            </w:r>
            <w:r>
              <w:rPr/>
              <w:t>X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Management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</w:t>
            </w:r>
            <w:r>
              <w:rPr/>
              <w:t>X</w:t>
            </w:r>
          </w:p>
        </w:tc>
      </w:tr>
      <w:tr>
        <w:trPr/>
        <w:tc>
          <w:tcPr>
            <w:tcW w:w="32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Risk Mitigation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                                                                                          </w:t>
            </w:r>
            <w:r>
              <w:rPr/>
              <w:t>X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48"/>
        <w:gridCol w:w="360"/>
        <w:gridCol w:w="2932"/>
        <w:gridCol w:w="354"/>
        <w:gridCol w:w="2924"/>
        <w:gridCol w:w="293"/>
        <w:gridCol w:w="1057"/>
      </w:tblGrid>
      <w:tr>
        <w:trPr>
          <w:trHeight w:val="405" w:hRule="atLeast"/>
        </w:trPr>
        <w:tc>
          <w:tcPr>
            <w:tcW w:w="2448" w:type="dxa"/>
            <w:tcBorders>
              <w:top w:val="single" w:sz="4" w:space="0" w:color="000000"/>
            </w:tcBorders>
            <w:vAlign w:val="bottom"/>
          </w:tcPr>
          <w:p>
            <w:pPr>
              <w:pStyle w:val="Heading1"/>
              <w:ind w:hanging="0" w:start="0"/>
              <w:rPr>
                <w:i/>
                <w:i/>
              </w:rPr>
            </w:pPr>
            <w:r>
              <w:rPr/>
              <w:t>APPROVALS</w:t>
            </w:r>
          </w:p>
        </w:tc>
        <w:tc>
          <w:tcPr>
            <w:tcW w:w="360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rPr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932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5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92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293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57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keepNext w:val="true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>
        <w:trPr>
          <w:trHeight w:val="297" w:hRule="atLeast"/>
        </w:trPr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Regional Mgmt.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Chris Calger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Tax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Morris Clark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Legal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Mark Haedicke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RAC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Dave Gorte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Enron Capital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Jeff McMahon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ENA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Louise Kitchen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  <w:tr>
        <w:trPr/>
        <w:tc>
          <w:tcPr>
            <w:tcW w:w="2448" w:type="dxa"/>
            <w:tcBorders/>
          </w:tcPr>
          <w:p>
            <w:pPr>
              <w:pStyle w:val="Normal"/>
              <w:spacing w:before="120" w:after="0"/>
              <w:rPr/>
            </w:pPr>
            <w:r>
              <w:rPr/>
              <w:t>ENE Management</w:t>
            </w:r>
          </w:p>
        </w:tc>
        <w:tc>
          <w:tcPr>
            <w:tcW w:w="360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2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pacing w:before="120" w:after="0"/>
              <w:rPr/>
            </w:pPr>
            <w:r>
              <w:rPr/>
              <w:t>Greg Whalley</w:t>
            </w:r>
          </w:p>
        </w:tc>
        <w:tc>
          <w:tcPr>
            <w:tcW w:w="354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24" w:type="dxa"/>
            <w:tcBorders>
              <w:top w:val="single" w:sz="6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293" w:type="dxa"/>
            <w:tcBorders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  <w:tc>
          <w:tcPr>
            <w:tcW w:w="1057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720" w:top="776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/mnt/main-storage/datasets/enron-docs/doc/ABB_GT11N1_dash.doc</w:t>
    </w:r>
    <w:r>
      <w:rPr>
        <w:sz w:val="16"/>
      </w:rPr>
      <w:fldChar w:fldCharType="end"/>
    </w:r>
    <w:r>
      <w:rPr>
        <w:sz w:val="16"/>
      </w:rPr>
      <w:tab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tabs>
        <w:tab w:val="clear" w:pos="4320"/>
        <w:tab w:val="clear" w:pos="8640"/>
        <w:tab w:val="right" w:pos="7920" w:leader="none"/>
      </w:tabs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i/>
      <w:sz w:val="20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-1196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/>
      </w:pBdr>
      <w:tabs>
        <w:tab w:val="clear" w:pos="720"/>
        <w:tab w:val="left" w:pos="9990" w:leader="none"/>
      </w:tabs>
      <w:ind w:hanging="0" w:start="0" w:end="-36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end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outlineLvl w:val="6"/>
    </w:pPr>
    <w:rPr>
      <w:b/>
      <w:i/>
      <w:sz w:val="20"/>
    </w:rPr>
  </w:style>
  <w:style w:type="paragraph" w:styleId="Heading9">
    <w:name w:val="heading 9"/>
    <w:basedOn w:val="Normal"/>
    <w:next w:val="Normal"/>
    <w:qFormat/>
    <w:pPr>
      <w:keepNext w:val="true"/>
      <w:widowControl w:val="false"/>
      <w:numPr>
        <w:ilvl w:val="8"/>
        <w:numId w:val="1"/>
      </w:numPr>
      <w:tabs>
        <w:tab w:val="clear" w:pos="720"/>
        <w:tab w:val="left" w:pos="2870" w:leader="none"/>
        <w:tab w:val="left" w:pos="3617" w:leader="none"/>
      </w:tabs>
      <w:ind w:hanging="0" w:start="420" w:end="-217"/>
      <w:outlineLvl w:val="8"/>
    </w:pPr>
    <w:rPr>
      <w:b/>
      <w:sz w:val="20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3">
    <w:name w:val="Body Text 3"/>
    <w:basedOn w:val="Normal"/>
    <w:qFormat/>
    <w:pPr>
      <w:widowControl w:val="false"/>
    </w:pPr>
    <w:rPr>
      <w:color w:val="FF0000"/>
      <w:sz w:val="20"/>
    </w:rPr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BodyText2">
    <w:name w:val="Body Text 2"/>
    <w:basedOn w:val="Normal"/>
    <w:qFormat/>
    <w:pPr/>
    <w:rPr>
      <w:color w:val="FF0000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2001-09-21T17:52:00Z</dcterms:created>
  <dc:creator>mruane</dc:creator>
  <dc:description>MR: 9-20-99 added tax signoff</dc:description>
  <dc:language>en-CA</dc:language>
  <cp:lastModifiedBy>sthome</cp:lastModifiedBy>
  <cp:lastPrinted>2001-09-21T13:16:00Z</cp:lastPrinted>
  <dcterms:modified xsi:type="dcterms:W3CDTF">2001-09-21T17:56:00Z</dcterms:modified>
  <cp:revision>3</cp:revision>
  <dc:subject/>
  <dc:title>ENRON RISK ASSESSMENT AND CONTROL</dc:title>
</cp:coreProperties>
</file>