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10 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by Seller of </w:t>
      </w:r>
      <w:r>
        <w:rPr>
          <w:b w:val="false"/>
          <w:spacing w:val="-2"/>
          <w:sz w:val="22"/>
        </w:rPr>
        <w:t>$3,701,640.00 as calculated in this Change Order Number 1</w:t>
      </w:r>
      <w:r>
        <w:rPr>
          <w:b w:val="false"/>
          <w:sz w:val="22"/>
        </w:rPr>
        <w:t>, Agent and Seller agree to the cancellation of Units LNL 9517-5 and LNL9517-6, and that the Purchase Amount less the Retainage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($1,840,900.00)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$176,400.00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Retainage: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$3,701,640.00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$3,701,640.00 shall be due and payable upon execution of this Change Order, which satisfies all payments of the Purchase Amount as of the date hereof other than the Retainage.</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4.</w:t>
        <w:tab/>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2000-12-08T20:28:00Z</dcterms:created>
  <dc:creator>krenko</dc:creator>
  <dc:description/>
  <dc:language>en-CA</dc:language>
  <cp:lastModifiedBy>Valued Sony Customer</cp:lastModifiedBy>
  <cp:lastPrinted>2000-11-13T09:15:00Z</cp:lastPrinted>
  <dcterms:modified xsi:type="dcterms:W3CDTF">2000-12-08T20:28:00Z</dcterms:modified>
  <cp:revision>2</cp:revision>
  <dc:subject/>
  <dc:title>S&amp;S GT CHINA [PRC294, CO#1]</dc:title>
</cp:coreProperties>
</file>