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tterhead"/>
        <w:rPr>
          <w:sz w:val="24"/>
        </w:rPr>
      </w:pPr>
      <w:r>
        <w:rPr/>
        <w:t>AN</w:t>
      </w:r>
      <w:r>
        <w:fldChar w:fldCharType="begin"/>
      </w:r>
      <w:r>
        <w:rPr/>
        <w:instrText xml:space="preserve">ADVANCE \l 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DR</w:t>
      </w:r>
      <w:r>
        <w:fldChar w:fldCharType="begin"/>
      </w:r>
      <w:r>
        <w:rPr/>
        <w:instrText xml:space="preserve">ADVANCE \l 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 xml:space="preserve">EwS 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>
          <w:rFonts w:cs="GoudyOlSt BT" w:ascii="GoudyOlSt BT" w:hAnsi="GoudyOlSt BT"/>
        </w:rPr>
        <w:t>&amp;</w:t>
      </w:r>
      <w:r>
        <w:fldChar w:fldCharType="begin"/>
      </w:r>
      <w:r>
        <w:rPr>
          <w:rFonts w:cs="GoudyOlSt BT" w:ascii="GoudyOlSt BT" w:hAnsi="GoudyOlSt BT"/>
        </w:rPr>
        <w:instrText xml:space="preserve">ADVANCE \l 1</w:instrText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  <w:fldChar w:fldCharType="separate"/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</w:r>
      <w:r>
        <w:rPr>
          <w:rFonts w:cs="GoudyOlSt BT" w:ascii="GoudyOlSt BT" w:hAnsi="GoudyOlSt BT"/>
        </w:rPr>
        <w:fldChar w:fldCharType="end"/>
      </w:r>
      <w:r>
        <w:rPr/>
        <w:t xml:space="preserve"> KU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R</w:t>
      </w:r>
      <w:r>
        <w:fldChar w:fldCharType="begin"/>
      </w:r>
      <w:r>
        <w:rPr/>
        <w:instrText xml:space="preserve">ADVANCE \l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TH L.L.P</w:t>
      </w:r>
      <w:r>
        <w:fldChar w:fldCharType="begin"/>
      </w:r>
      <w:r>
        <w:rPr/>
        <w:instrText xml:space="preserve">ADVANCE \l 2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.</w:t>
      </w:r>
    </w:p>
    <w:p>
      <w:pPr>
        <w:pStyle w:val="MemoAddress"/>
        <w:rPr>
          <w:sz w:val="30"/>
        </w:rPr>
      </w:pPr>
      <w:r>
        <w:rPr/>
        <w:t>ATTORNEY</w:t>
      </w:r>
      <w:r>
        <w:fldChar w:fldCharType="begin"/>
      </w:r>
      <w:r>
        <w:rPr/>
        <w:instrText xml:space="preserve">ADVANCE \r 0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S</w:t>
      </w:r>
    </w:p>
    <w:p>
      <w:pPr>
        <w:pStyle w:val="MemoAddress"/>
        <w:rPr>
          <w:sz w:val="10"/>
        </w:rPr>
      </w:pPr>
      <w:r>
        <w:rPr>
          <w:sz w:val="10"/>
        </w:rPr>
      </w:r>
    </w:p>
    <w:p>
      <w:pPr>
        <w:pStyle w:val="MemoAddress"/>
        <w:rPr>
          <w:rFonts w:ascii="GoudyTrajanRegular" w:hAnsi="GoudyTrajanRegular" w:cs="GoudyTrajanRegular"/>
          <w:sz w:val="13"/>
        </w:rPr>
      </w:pPr>
      <w:r>
        <w:rPr>
          <w:rFonts w:cs="GoudyOlSt BT" w:ascii="GoudyOlSt BT" w:hAnsi="GoudyOlSt BT"/>
        </w:rPr>
        <w:t xml:space="preserve">1701 </w:t>
      </w:r>
      <w:r>
        <w:rPr>
          <w:rFonts w:cs="GoudyTrajanRegular" w:ascii="GoudyTrajanRegular" w:hAnsi="GoudyTrajanRegular"/>
        </w:rPr>
        <w:t>PENNSYLVANIE AVENUE, N.W., Suite 300</w:t>
      </w:r>
    </w:p>
    <w:p>
      <w:pPr>
        <w:pStyle w:val="MemoAddress"/>
        <w:rPr>
          <w:rFonts w:ascii="GoudyTrajanRegular" w:hAnsi="GoudyTrajanRegular" w:cs="GoudyTrajanRegular"/>
          <w:sz w:val="13"/>
        </w:rPr>
      </w:pPr>
      <w:r>
        <w:rPr>
          <w:rFonts w:cs="GoudyTrajanRegular" w:ascii="GoudyTrajanRegular" w:hAnsi="GoudyTrajanRegular"/>
          <w:sz w:val="13"/>
        </w:rPr>
        <w:t xml:space="preserve">Washington, D.C. </w:t>
      </w:r>
      <w:r>
        <w:rPr>
          <w:rFonts w:cs="GoudyOlSt BT" w:ascii="GoudyOlSt BT" w:hAnsi="GoudyOlSt BT"/>
          <w:sz w:val="13"/>
        </w:rPr>
        <w:t>20006-5805</w:t>
      </w:r>
    </w:p>
    <w:p>
      <w:pPr>
        <w:pStyle w:val="Normal"/>
        <w:jc w:val="center"/>
        <w:rPr>
          <w:rFonts w:ascii="GoudyTrajanBold" w:hAnsi="GoudyTrajanBold" w:cs="GoudyTrajanBold"/>
          <w:sz w:val="30"/>
        </w:rPr>
      </w:pPr>
      <w:r>
        <w:rPr>
          <w:rFonts w:cs="GoudyTrajanBold" w:ascii="GoudyTrajanBold" w:hAnsi="GoudyTrajanBold"/>
          <w:sz w:val="30"/>
        </w:rPr>
      </w:r>
    </w:p>
    <w:p>
      <w:pPr>
        <w:pStyle w:val="MemoTitle"/>
        <w:rPr/>
      </w:pPr>
      <w:r>
        <w:rPr/>
        <w:t>memorandum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50"/>
        <w:gridCol w:w="8226"/>
      </w:tblGrid>
      <w:tr>
        <w:trPr/>
        <w:tc>
          <w:tcPr>
            <w:tcW w:w="1350" w:type="dxa"/>
            <w:tcBorders>
              <w:top w:val="double" w:sz="4" w:space="0" w:color="000000"/>
            </w:tcBorders>
          </w:tcPr>
          <w:p>
            <w:pPr>
              <w:pStyle w:val="memoheads"/>
              <w:rPr/>
            </w:pPr>
            <w:r>
              <w:rPr/>
              <w:t xml:space="preserve">TO: </w:t>
            </w:r>
          </w:p>
        </w:tc>
        <w:tc>
          <w:tcPr>
            <w:tcW w:w="8226" w:type="dxa"/>
            <w:tcBorders>
              <w:top w:val="double" w:sz="4" w:space="0" w:color="000000"/>
            </w:tcBorders>
          </w:tcPr>
          <w:p>
            <w:pPr>
              <w:pStyle w:val="tabletext"/>
              <w:rPr/>
            </w:pPr>
            <w:r>
              <w:rPr/>
              <w:t>Kay Mann</w:t>
            </w:r>
          </w:p>
        </w:tc>
      </w:tr>
      <w:tr>
        <w:trPr/>
        <w:tc>
          <w:tcPr>
            <w:tcW w:w="1350" w:type="dxa"/>
            <w:tcBorders/>
            <w:tcMar>
              <w:top w:w="173" w:type="dxa"/>
            </w:tcMar>
          </w:tcPr>
          <w:p>
            <w:pPr>
              <w:pStyle w:val="memoheads"/>
              <w:rPr/>
            </w:pPr>
            <w:r>
              <w:rPr/>
              <w:t xml:space="preserve">FROM: </w:t>
            </w:r>
          </w:p>
        </w:tc>
        <w:tc>
          <w:tcPr>
            <w:tcW w:w="8226" w:type="dxa"/>
            <w:tcBorders/>
            <w:tcMar>
              <w:top w:w="173" w:type="dxa"/>
            </w:tcMar>
          </w:tcPr>
          <w:p>
            <w:pPr>
              <w:pStyle w:val="tabletext"/>
              <w:rPr/>
            </w:pPr>
            <w:r>
              <w:rPr/>
              <w:t>Peter Thompson</w:t>
            </w:r>
          </w:p>
          <w:p>
            <w:pPr>
              <w:pStyle w:val="tabletext"/>
              <w:rPr/>
            </w:pPr>
            <w:r>
              <w:rPr/>
              <w:t>Chris Cobb</w:t>
            </w:r>
          </w:p>
        </w:tc>
      </w:tr>
      <w:tr>
        <w:trPr/>
        <w:tc>
          <w:tcPr>
            <w:tcW w:w="1350" w:type="dxa"/>
            <w:tcBorders/>
            <w:tcMar>
              <w:top w:w="173" w:type="dxa"/>
            </w:tcMar>
          </w:tcPr>
          <w:p>
            <w:pPr>
              <w:pStyle w:val="memoheads"/>
              <w:rPr/>
            </w:pPr>
            <w:r>
              <w:rPr/>
              <w:t xml:space="preserve">DATE: </w:t>
            </w:r>
          </w:p>
        </w:tc>
        <w:tc>
          <w:tcPr>
            <w:tcW w:w="8226" w:type="dxa"/>
            <w:tcBorders/>
            <w:tcMar>
              <w:top w:w="173" w:type="dxa"/>
            </w:tcMar>
          </w:tcPr>
          <w:p>
            <w:pPr>
              <w:pStyle w:val="tabletext"/>
              <w:rPr/>
            </w:pPr>
            <w:r>
              <w:rPr/>
              <w:t>November 15, 2000</w:t>
            </w:r>
          </w:p>
        </w:tc>
      </w:tr>
      <w:tr>
        <w:trPr/>
        <w:tc>
          <w:tcPr>
            <w:tcW w:w="1350" w:type="dxa"/>
            <w:tcBorders>
              <w:bottom w:val="double" w:sz="4" w:space="0" w:color="000000"/>
            </w:tcBorders>
            <w:tcMar>
              <w:top w:w="173" w:type="dxa"/>
            </w:tcMar>
          </w:tcPr>
          <w:p>
            <w:pPr>
              <w:pStyle w:val="memoheads"/>
              <w:rPr/>
            </w:pPr>
            <w:r>
              <w:rPr/>
              <w:t xml:space="preserve">SUBJECT: </w:t>
            </w:r>
          </w:p>
        </w:tc>
        <w:tc>
          <w:tcPr>
            <w:tcW w:w="8226" w:type="dxa"/>
            <w:tcBorders>
              <w:bottom w:val="double" w:sz="4" w:space="0" w:color="000000"/>
            </w:tcBorders>
            <w:tcMar>
              <w:top w:w="173" w:type="dxa"/>
            </w:tcMar>
          </w:tcPr>
          <w:p>
            <w:pPr>
              <w:pStyle w:val="tabletext"/>
              <w:rPr>
                <w:rFonts w:ascii="EngraversGothic BT" w:hAnsi="EngraversGothic BT" w:cs="EngraversGothic BT"/>
              </w:rPr>
            </w:pPr>
            <w:r>
              <w:rPr/>
              <w:t>Site-Specific Information in ABB Power Transformer Packages Agreement</w:t>
            </w:r>
          </w:p>
        </w:tc>
      </w:tr>
    </w:tbl>
    <w:p>
      <w:pPr>
        <w:pStyle w:val="spacer"/>
        <w:rPr/>
      </w:pPr>
      <w:r>
        <w:rPr/>
      </w:r>
    </w:p>
    <w:p>
      <w:pPr>
        <w:pStyle w:val="BodyTextFirstIndent"/>
        <w:rPr/>
      </w:pPr>
      <w:bookmarkStart w:id="0" w:name="StartHere"/>
      <w:bookmarkStart w:id="1" w:name="SUBJECT"/>
      <w:bookmarkEnd w:id="0"/>
      <w:bookmarkEnd w:id="1"/>
      <w:r>
        <w:rPr/>
        <w:t>The following is a list of blank fields and site-specific sections of the ABB Agreement.  Before the Agreement is executed, the relevant information must be inserted into these fields or into the Exhibits they reference, where applicable.</w:t>
      </w:r>
    </w:p>
    <w:p>
      <w:pPr>
        <w:pStyle w:val="BodyTextFirstIndent"/>
        <w:rPr/>
      </w:pPr>
      <w:r>
        <w:rPr/>
        <w:t xml:space="preserve">Agreement  </w:t>
        <w:tab/>
        <w:t>(date, Purchaser, and Purchaser’s State of incorporation)</w:t>
        <w:tab/>
      </w:r>
    </w:p>
    <w:p>
      <w:pPr>
        <w:pStyle w:val="BodyTextFirstIndent"/>
        <w:rPr/>
      </w:pPr>
      <w:r>
        <w:rPr/>
        <w:t xml:space="preserve">Recitals </w:t>
        <w:tab/>
        <w:t>(Plant capacity &amp; location)</w:t>
      </w:r>
    </w:p>
    <w:p>
      <w:pPr>
        <w:pStyle w:val="BodyTextFirstIndent"/>
        <w:rPr/>
      </w:pPr>
      <w:r>
        <w:rPr/>
        <w:t xml:space="preserve">3.8(c) </w:t>
        <w:tab/>
        <w:tab/>
        <w:t>Scope of Work to Comply with Applicable Laws  (date)</w:t>
      </w:r>
    </w:p>
    <w:p>
      <w:pPr>
        <w:pStyle w:val="BodyTextFirstIndent"/>
        <w:rPr/>
      </w:pPr>
      <w:r>
        <w:rPr/>
        <w:t xml:space="preserve">5.1.1 </w:t>
        <w:tab/>
        <w:tab/>
        <w:t>Purchase Amount  (Exhibit N)</w:t>
      </w:r>
    </w:p>
    <w:p>
      <w:pPr>
        <w:pStyle w:val="BodyTextFirstIndent"/>
        <w:rPr/>
      </w:pPr>
      <w:r>
        <w:rPr/>
        <w:t>6.1.2</w:t>
        <w:tab/>
        <w:tab/>
        <w:t>Payment Milestones</w:t>
      </w:r>
    </w:p>
    <w:p>
      <w:pPr>
        <w:pStyle w:val="BodyTextFirstIndent"/>
        <w:rPr/>
      </w:pPr>
      <w:r>
        <w:rPr/>
        <w:t>6.7.1</w:t>
        <w:tab/>
        <w:tab/>
        <w:t>Contract Reference</w:t>
      </w:r>
    </w:p>
    <w:p>
      <w:pPr>
        <w:pStyle w:val="BodyTextFirstIndent"/>
        <w:rPr/>
      </w:pPr>
      <w:r>
        <w:rPr/>
        <w:t>6.7.2</w:t>
        <w:tab/>
        <w:tab/>
        <w:t>Address for Invoices</w:t>
      </w:r>
    </w:p>
    <w:p>
      <w:pPr>
        <w:pStyle w:val="BodyTextFirstIndent"/>
        <w:rPr/>
      </w:pPr>
      <w:r>
        <w:rPr/>
        <w:t>7.1</w:t>
        <w:tab/>
        <w:tab/>
        <w:t xml:space="preserve">Effective Date </w:t>
      </w:r>
    </w:p>
    <w:p>
      <w:pPr>
        <w:pStyle w:val="BodyTextFirstIndent"/>
        <w:rPr/>
      </w:pPr>
      <w:r>
        <w:rPr/>
        <w:t>10.1</w:t>
        <w:tab/>
        <w:tab/>
        <w:t>Delivery of Documentation  (Exhibit B-2)</w:t>
      </w:r>
    </w:p>
    <w:p>
      <w:pPr>
        <w:pStyle w:val="BodyTextFirstIndent"/>
        <w:rPr/>
      </w:pPr>
      <w:r>
        <w:rPr/>
        <w:t>10.2.1</w:t>
        <w:tab/>
        <w:tab/>
        <w:t>Guaranteed Installation Date  (Exhibit C)</w:t>
      </w:r>
    </w:p>
    <w:p>
      <w:pPr>
        <w:pStyle w:val="BodyTextFirstIndent"/>
        <w:rPr/>
      </w:pPr>
      <w:r>
        <w:rPr/>
        <w:t>10.4.1</w:t>
        <w:tab/>
        <w:tab/>
        <w:t>Electrical Losses Guarantee  (Exhibit A)</w:t>
      </w:r>
    </w:p>
    <w:p>
      <w:pPr>
        <w:pStyle w:val="BodyTextFirstIndent"/>
        <w:rPr/>
      </w:pPr>
      <w:r>
        <w:rPr/>
        <w:t>10.4.3</w:t>
        <w:tab/>
        <w:tab/>
        <w:t>Electrical Losses Liquidated Damages (Exhibit A)</w:t>
      </w:r>
    </w:p>
    <w:p>
      <w:pPr>
        <w:pStyle w:val="BodyTextFirstIndent"/>
        <w:rPr/>
      </w:pPr>
      <w:r>
        <w:rPr/>
        <w:t>25.1</w:t>
        <w:tab/>
        <w:tab/>
        <w:t>Notices</w:t>
      </w:r>
    </w:p>
    <w:p>
      <w:pPr>
        <w:pStyle w:val="BodyTextFirstIndent"/>
        <w:rPr/>
      </w:pPr>
      <w:r>
        <w:rPr/>
        <w:t>25.3</w:t>
        <w:tab/>
        <w:tab/>
        <w:t>Technical Communications</w:t>
      </w:r>
    </w:p>
    <w:p>
      <w:pPr>
        <w:pStyle w:val="BodyTextFirstIndent"/>
        <w:rPr/>
      </w:pPr>
      <w:r>
        <w:rPr/>
        <w:t>Art. 28</w:t>
        <w:tab/>
        <w:tab/>
        <w:t>Drug and Alcohol Policy  (policy number and date)</w:t>
      </w:r>
    </w:p>
    <w:p>
      <w:pPr>
        <w:pStyle w:val="BodyTextFirstIndent"/>
        <w:spacing w:before="0" w:after="240"/>
        <w:rPr/>
      </w:pPr>
      <w:r>
        <w:rPr/>
        <w:t>Note:</w:t>
        <w:tab/>
        <w:t xml:space="preserve">Most if not all of the Exhibits to the Agreement will contain facility-specific </w:t>
        <w:tab/>
        <w:tab/>
        <w:tab/>
        <w:t>information and have not been listed here.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296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ngraversGothic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GoudyTrajanBold">
    <w:charset w:val="00" w:characterSet="windows-1252"/>
    <w:family w:val="auto"/>
    <w:pitch w:val="variable"/>
  </w:font>
  <w:font w:name="GoudyTrajanRegular">
    <w:charset w:val="00" w:characterSet="windows-1252"/>
    <w:family w:val="auto"/>
    <w:pitch w:val="variable"/>
  </w:font>
  <w:font w:name="GoudyOlSt BT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915035</wp:posOffset>
              </wp:positionH>
              <wp:positionV relativeFrom="page">
                <wp:posOffset>9693275</wp:posOffset>
              </wp:positionV>
              <wp:extent cx="640080" cy="91440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91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2" w:name="bkEndId"/>
                          <w:bookmarkEnd w:id="2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WAS:82893.1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0.4pt;height:7.2pt;mso-wrap-distance-left:0pt;mso-wrap-distance-right:0pt;mso-wrap-distance-top:0pt;mso-wrap-distance-bottom:0pt;margin-top:763.25pt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3" w:name="bkEndId"/>
                    <w:bookmarkEnd w:id="3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WAS:82893.1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posOffset>9693275</wp:posOffset>
              </wp:positionV>
              <wp:extent cx="616585" cy="29337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93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  <w:sz w:val="16"/>
                            </w:rPr>
                          </w:pPr>
                          <w:bookmarkStart w:id="4" w:name="bkFooterDocID"/>
                          <w:bookmarkEnd w:id="4"/>
                          <w:r>
                            <w:rPr>
                              <w:rStyle w:val="DocI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  <w:sz w:val="16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  <w:sz w:val="16"/>
                            </w:rPr>
                            <w:t>WAS:82893.1 </w:t>
                          </w:r>
                          <w:r>
                            <w:rPr>
                              <w:rStyle w:val="DocI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.55pt;height:23.1pt;mso-wrap-distance-left:0pt;mso-wrap-distance-right:0pt;mso-wrap-distance-top:0pt;mso-wrap-distance-bottom:0pt;margin-top:763.25pt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  <w:sz w:val="16"/>
                      </w:rPr>
                    </w:pPr>
                    <w:bookmarkStart w:id="5" w:name="bkFooterDocID"/>
                    <w:bookmarkEnd w:id="5"/>
                    <w:r>
                      <w:rPr>
                        <w:rStyle w:val="DocID"/>
                        <w:sz w:val="16"/>
                      </w:rPr>
                      <w:fldChar w:fldCharType="begin"/>
                    </w:r>
                    <w:r>
                      <w:rPr>
                        <w:rStyle w:val="DocID"/>
                        <w:sz w:val="16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  <w:sz w:val="16"/>
                      </w:rPr>
                      <w:fldChar w:fldCharType="separate"/>
                    </w:r>
                    <w:r>
                      <w:rPr>
                        <w:rStyle w:val="DocID"/>
                        <w:sz w:val="16"/>
                      </w:rPr>
                      <w:t>WAS:82893.1 </w:t>
                    </w:r>
                    <w:r>
                      <w:rPr>
                        <w:rStyle w:val="DocID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MemoSecondPage"/>
      <w:rPr/>
    </w:pPr>
    <w:r>
      <w:rPr/>
      <w:t xml:space="preserve">Andrews </w:t>
    </w:r>
    <w:r>
      <w:rPr>
        <w:rFonts w:cs="GoudyOlSt BT" w:ascii="GoudyOlSt BT" w:hAnsi="GoudyOlSt BT"/>
      </w:rPr>
      <w:t>&amp;</w:t>
    </w:r>
    <w:r>
      <w:rPr/>
      <w:t xml:space="preserve"> Kurth</w:t>
    </w:r>
  </w:p>
  <w:p>
    <w:pPr>
      <w:pStyle w:val="MemoSecondPage"/>
      <w:rPr/>
    </w:pPr>
    <w:r>
      <w:rPr/>
      <w:t>l.l.p.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ToFont">
    <w:name w:val="ToFont"/>
    <w:basedOn w:val="DefaultParagraphFont"/>
    <w:qFormat/>
    <w:rPr>
      <w:rFonts w:ascii="EngraversGothic BT" w:hAnsi="EngraversGothic BT" w:cs="EngraversGothic BT"/>
      <w:sz w:val="24"/>
    </w:rPr>
  </w:style>
  <w:style w:type="character" w:styleId="DocID">
    <w:name w:val="DocID"/>
    <w:basedOn w:val="DefaultParagraphFont"/>
    <w:qFormat/>
    <w:rPr>
      <w:sz w:val="1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tterhead">
    <w:name w:val="Letterhead"/>
    <w:basedOn w:val="Normal"/>
    <w:qFormat/>
    <w:pPr>
      <w:jc w:val="center"/>
    </w:pPr>
    <w:rPr>
      <w:rFonts w:ascii="GoudyTrajanBold" w:hAnsi="GoudyTrajanBold" w:cs="GoudyTrajanBold"/>
      <w:sz w:val="30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MemoAddress">
    <w:name w:val="MemoAddress"/>
    <w:basedOn w:val="Normal"/>
    <w:qFormat/>
    <w:pPr>
      <w:jc w:val="center"/>
    </w:pPr>
    <w:rPr>
      <w:rFonts w:ascii="GoudyTrajanBold" w:hAnsi="GoudyTrajanBold" w:cs="GoudyTrajanBold"/>
      <w:sz w:val="14"/>
    </w:rPr>
  </w:style>
  <w:style w:type="paragraph" w:styleId="MemoTitle">
    <w:name w:val="MemoTitle"/>
    <w:basedOn w:val="Normal"/>
    <w:qFormat/>
    <w:pPr>
      <w:spacing w:before="0" w:after="240"/>
      <w:jc w:val="center"/>
    </w:pPr>
    <w:rPr>
      <w:rFonts w:ascii="EngraversGothic BT" w:hAnsi="EngraversGothic BT" w:cs="EngraversGothic BT"/>
      <w:sz w:val="30"/>
    </w:rPr>
  </w:style>
  <w:style w:type="paragraph" w:styleId="BodyTextFirstIndent">
    <w:name w:val="Body Text First Indent"/>
    <w:basedOn w:val="BodyText"/>
    <w:qFormat/>
    <w:pPr>
      <w:spacing w:before="0" w:after="240"/>
      <w:ind w:firstLine="720" w:start="0" w:end="0"/>
    </w:pPr>
    <w:rPr/>
  </w:style>
  <w:style w:type="paragraph" w:styleId="spacer">
    <w:name w:val="spacer"/>
    <w:basedOn w:val="BodyTextFirstIndent"/>
    <w:qFormat/>
    <w:pPr>
      <w:spacing w:before="0" w:after="0"/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emoSecondPage">
    <w:name w:val="MemoSecondPage"/>
    <w:basedOn w:val="Header"/>
    <w:qFormat/>
    <w:pPr>
      <w:jc w:val="center"/>
    </w:pPr>
    <w:rPr>
      <w:rFonts w:ascii="GoudyTrajanRegular" w:hAnsi="GoudyTrajanRegular" w:cs="GoudyTrajanRegular"/>
      <w:sz w:val="18"/>
    </w:rPr>
  </w:style>
  <w:style w:type="paragraph" w:styleId="MemoTo">
    <w:name w:val="MemoTo"/>
    <w:basedOn w:val="Normal"/>
    <w:qFormat/>
    <w:pPr>
      <w:spacing w:before="0" w:after="240"/>
    </w:pPr>
    <w:rPr>
      <w:sz w:val="24"/>
    </w:rPr>
  </w:style>
  <w:style w:type="paragraph" w:styleId="memoheads">
    <w:name w:val="memoheads"/>
    <w:basedOn w:val="Normal"/>
    <w:qFormat/>
    <w:pPr/>
    <w:rPr>
      <w:rFonts w:ascii="EngraversGothic BT" w:hAnsi="EngraversGothic BT" w:cs="EngraversGothic BT"/>
      <w:sz w:val="24"/>
    </w:rPr>
  </w:style>
  <w:style w:type="paragraph" w:styleId="tabletext">
    <w:name w:val="tabletext"/>
    <w:basedOn w:val="BodyText"/>
    <w:qFormat/>
    <w:pPr>
      <w:spacing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Andrews &amp; Kurth Memo.dot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2000-11-15T18:23:00Z</dcterms:created>
  <dc:creator>A&amp;K</dc:creator>
  <dc:description/>
  <dc:language>en-CA</dc:language>
  <cp:lastModifiedBy>A&amp;K</cp:lastModifiedBy>
  <cp:lastPrinted>2000-11-14T18:57:00Z</cp:lastPrinted>
  <dcterms:modified xsi:type="dcterms:W3CDTF">2000-11-15T18:23:00Z</dcterms:modified>
  <cp:revision>2</cp:revision>
  <dc:subject/>
  <dc:title>A&amp;K Memo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dded">
    <vt:lpwstr>1</vt:lpwstr>
  </property>
  <property fmtid="{D5CDD505-2E9C-101B-9397-08002B2CF9AE}" pid="3" name="Cus_DocIDValue">
    <vt:lpwstr>WAS:82893.1 </vt:lpwstr>
  </property>
</Properties>
</file>