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spacing w:lineRule="auto" w:line="480"/>
        <w:rPr/>
      </w:pPr>
      <w:r>
        <w:rPr/>
        <w:t>We acted in accordance with AB1890</w:t>
      </w:r>
    </w:p>
    <w:p>
      <w:pPr>
        <w:pStyle w:val="Normal"/>
        <w:numPr>
          <w:ilvl w:val="0"/>
          <w:numId w:val="1"/>
        </w:numPr>
        <w:spacing w:lineRule="auto" w:line="480"/>
        <w:rPr/>
      </w:pPr>
      <w:r>
        <w:rPr/>
        <w:t>AB 1890 had as its premise that bundled utility customers and direct access customers were treated the same</w:t>
      </w:r>
    </w:p>
    <w:p>
      <w:pPr>
        <w:pStyle w:val="Normal"/>
        <w:numPr>
          <w:ilvl w:val="0"/>
          <w:numId w:val="1"/>
        </w:numPr>
        <w:spacing w:lineRule="auto" w:line="480"/>
        <w:rPr/>
      </w:pPr>
      <w:r>
        <w:rPr/>
        <w:t>The utilities (PG&amp;E &amp; SCE) crisis resulted in their inability to perform their operational and financial obligations to electric service providers</w:t>
      </w:r>
    </w:p>
    <w:p>
      <w:pPr>
        <w:pStyle w:val="Normal"/>
        <w:numPr>
          <w:ilvl w:val="0"/>
          <w:numId w:val="1"/>
        </w:numPr>
        <w:spacing w:lineRule="auto" w:line="480"/>
        <w:rPr/>
      </w:pPr>
      <w:r>
        <w:rPr/>
        <w:t>We attempted to receive payments, e.g., PX credits from the utilities, but they were not able to make payment</w:t>
      </w:r>
    </w:p>
    <w:p>
      <w:pPr>
        <w:pStyle w:val="Normal"/>
        <w:numPr>
          <w:ilvl w:val="0"/>
          <w:numId w:val="1"/>
        </w:numPr>
        <w:spacing w:lineRule="auto" w:line="480"/>
        <w:rPr/>
      </w:pPr>
      <w:r>
        <w:rPr/>
        <w:t>In addition, with the PX terminating operations and utilities buying from retained generation, there has been increased uncertainty in how the physical market will continue to operate in California</w:t>
      </w:r>
    </w:p>
    <w:p>
      <w:pPr>
        <w:pStyle w:val="Normal"/>
        <w:numPr>
          <w:ilvl w:val="0"/>
          <w:numId w:val="1"/>
        </w:numPr>
        <w:spacing w:lineRule="auto" w:line="480"/>
        <w:rPr/>
      </w:pPr>
      <w:r>
        <w:rPr/>
        <w:t>We transferred the customers to the utilities in accordance with utility tariffs and other applicable laws and regulations. Almost all other electric service providers had already left the market, e.g., utility.com, New West Energy, and others are leaving, e.g., Green Mountain</w:t>
      </w:r>
    </w:p>
    <w:p>
      <w:pPr>
        <w:pStyle w:val="Normal"/>
        <w:numPr>
          <w:ilvl w:val="0"/>
          <w:numId w:val="1"/>
        </w:numPr>
        <w:spacing w:lineRule="auto" w:line="480"/>
        <w:rPr/>
      </w:pPr>
      <w:r>
        <w:rPr/>
        <w:t>However, unlike the other providers, we are not leaving California.  We stand behind our contractual commitments and discounted prices to our customers and our customers will not see an increase prices as a result of this action.  We continue to work with them to provide demand side management and other non-scheduling services.  We are selling products in California today.  Once this period of regulatory uncertainty is over, our activities in this market are expected to increase</w:t>
      </w:r>
    </w:p>
    <w:p>
      <w:pPr>
        <w:pStyle w:val="Normal"/>
        <w:numPr>
          <w:ilvl w:val="0"/>
          <w:numId w:val="1"/>
        </w:numPr>
        <w:spacing w:lineRule="auto" w:line="480"/>
        <w:rPr/>
      </w:pPr>
      <w:r>
        <w:rPr/>
        <w:t>We did not take these actions with our customer’s in Sempra’s service area (transition period ended, no failure of regulatory structure). There, the market is working and we have every intention of remaining the physical suppliers</w:t>
      </w:r>
    </w:p>
    <w:p>
      <w:pPr>
        <w:pStyle w:val="Normal"/>
        <w:numPr>
          <w:ilvl w:val="0"/>
          <w:numId w:val="1"/>
        </w:numPr>
        <w:spacing w:lineRule="auto" w:line="480"/>
        <w:rPr/>
      </w:pPr>
      <w:r>
        <w:rPr/>
        <w:t>The average load related to these customers is 870 kw hours, about 3-4 % of total IOU retail load in California</w:t>
      </w:r>
    </w:p>
    <w:p>
      <w:pPr>
        <w:pStyle w:val="Normal"/>
        <w:numPr>
          <w:ilvl w:val="0"/>
          <w:numId w:val="1"/>
        </w:numPr>
        <w:spacing w:lineRule="auto" w:line="480"/>
        <w:rPr/>
      </w:pPr>
      <w:r>
        <w:rPr/>
        <w:t>We purchased our power for these customers in the day ahead market through bilateral contracts and from the PX</w:t>
      </w:r>
    </w:p>
    <w:p>
      <w:pPr>
        <w:pStyle w:val="Normal"/>
        <w:numPr>
          <w:ilvl w:val="0"/>
          <w:numId w:val="1"/>
        </w:numPr>
        <w:spacing w:lineRule="auto" w:line="480"/>
        <w:rPr/>
      </w:pPr>
      <w:r>
        <w:rPr/>
        <w:t>There was no “dedicated capacity” that was turned back as a result of our actions</w:t>
      </w:r>
    </w:p>
    <w:p>
      <w:pPr>
        <w:pStyle w:val="Normal"/>
        <w:numPr>
          <w:ilvl w:val="0"/>
          <w:numId w:val="1"/>
        </w:numPr>
        <w:spacing w:lineRule="auto" w:line="480"/>
        <w:rPr/>
      </w:pPr>
      <w:r>
        <w:rPr/>
        <w:t>We hope, when this period of uncertainty is over, to return to physical delivery service capability.  As we understand it, AB1X limits our ability to do so.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2001-02-05T12:01:00Z</dcterms:created>
  <dc:creator>gdernehl</dc:creator>
  <dc:description/>
  <dc:language>en-CA</dc:language>
  <cp:lastModifiedBy>gdernehl</cp:lastModifiedBy>
  <cp:lastPrinted>2001-02-05T09:12:00Z</cp:lastPrinted>
  <dcterms:modified xsi:type="dcterms:W3CDTF">2001-02-05T13:01:00Z</dcterms:modified>
  <cp:revision>22</cp:revision>
  <dc:subject/>
  <dc:title>·</dc:title>
</cp:coreProperties>
</file>