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before="100" w:after="100"/>
        <w:rPr/>
      </w:pPr>
      <w:r>
        <w:rPr>
          <w:rFonts w:cs="Book Antiqua" w:ascii="Book Antiqua" w:hAnsi="Book Antiqua"/>
        </w:rPr>
        <w:t>3.2.1 Different Functional Currencies for Entities in the Same Country</w:t>
      </w:r>
      <w:r>
        <w:rPr/>
        <w:br/>
        <w:br/>
      </w:r>
      <w:r>
        <w:rPr>
          <w:rFonts w:cs="Book Antiqua" w:ascii="Book Antiqua" w:hAnsi="Book Antiqua"/>
        </w:rPr>
        <w:t>One such situation exists if a particular firm has two or more foreign operations in a given country and determines different functional currencies for these entities. One question probed the extent of this situation in our respondents and found that 49 firms (27.5 percent of the 178 responding firms) had situations in which different functional currencies were used for different foreign entities within the same country. We expected larger multinationals to have more foreign operations and thus to encounter this situation more often than smaller multinationals. This situation did occur more frequently in the Fortune 500 firms (31.0 percent) than in the non-Fortune 500 firms (13.5 percent). It also occurred more frequently in the firms with a large number of different functional currencies</w:t>
      </w:r>
      <w:r>
        <w:rPr>
          <w:rFonts w:cs="Book Antiqua" w:ascii="Book Antiqua" w:hAnsi="Book Antiqua"/>
          <w:vertAlign w:val="superscript"/>
        </w:rPr>
        <w:t>1</w:t>
      </w:r>
      <w:r>
        <w:rPr>
          <w:rFonts w:cs="Book Antiqua" w:ascii="Book Antiqua" w:hAnsi="Book Antiqua"/>
        </w:rPr>
        <w:t xml:space="preserve"> (41.6 percent) than in the firms with a small number of different functional currencies (13.5 percent).</w:t>
      </w:r>
    </w:p>
    <w:p>
      <w:pPr>
        <w:pStyle w:val="Normal"/>
        <w:autoSpaceDE w:val="false"/>
        <w:spacing w:before="100" w:after="100"/>
        <w:ind w:start="360" w:end="0"/>
        <w:rPr/>
      </w:pPr>
      <w:r>
        <w:rPr>
          <w:rFonts w:cs="Book Antiqua" w:ascii="Book Antiqua" w:hAnsi="Book Antiqua"/>
          <w:vertAlign w:val="superscript"/>
        </w:rPr>
        <w:t>1.</w:t>
      </w:r>
      <w:r>
        <w:rPr>
          <w:rFonts w:cs="Book Antiqua" w:ascii="Book Antiqua" w:hAnsi="Book Antiqua"/>
        </w:rPr>
        <w:t>As described in Chapter 2, one test of significance was conducted by partitioning the firms into two groups based on the number of different functional currencies used in 1983. Those firms with more than 10 were included in the "firms with a large number of different functional currencies" class.</w:t>
      </w:r>
    </w:p>
    <w:p>
      <w:pPr>
        <w:pStyle w:val="Normal"/>
        <w:autoSpaceDE w:val="false"/>
        <w:spacing w:before="100" w:after="100"/>
        <w:rPr/>
      </w:pPr>
      <w:r>
        <w:rPr/>
        <w:br/>
      </w:r>
      <w:r>
        <w:rPr>
          <w:rFonts w:cs="Book Antiqua" w:ascii="Book Antiqua" w:hAnsi="Book Antiqua"/>
        </w:rPr>
        <w:t>Firms that used different functional currencies for different foreign entities in the same country provided additional details. In all cases, the multiple currencies consisted of the U.S. dollar and the local currency or a third currency. That situation was cited by respondents most frequently for Canada, Switzerland, and the United Kingdom. In general, the circumstances were that the two different foreign entities operated in the different industries or had different relationships to the parent firm (such as a sales branch and an operating subsidiary in the same country), thus justifying different functional currencies.</w:t>
      </w:r>
      <w:r>
        <w:rPr/>
        <w:br/>
        <w:br/>
      </w:r>
      <w:r>
        <w:rPr>
          <w:rFonts w:cs="Book Antiqua" w:ascii="Book Antiqua" w:hAnsi="Book Antiqua"/>
        </w:rPr>
        <w:t>The most common situation occurred when the American firm has a subsidiary in a foreign country that produces for the local market and another subsidiary in the same country whose operations are fundamentally different. For example, one respondent explained that this situation exists in Switzerland where they have a financial subsidiary that deals in the Eurodollar market (U.S. dollar functional currency) and a separate sales operation that uses the Swiss franc as the functional currency.</w:t>
      </w:r>
      <w:r>
        <w:rPr/>
        <w:br/>
        <w:br/>
      </w:r>
      <w:r>
        <w:rPr>
          <w:rFonts w:cs="Book Antiqua" w:ascii="Book Antiqua" w:hAnsi="Book Antiqua"/>
        </w:rPr>
        <w:t>3.2.2 Splitting a Foreign Entity into Two or More Functional Currencies</w:t>
      </w:r>
      <w:r>
        <w:rPr/>
        <w:br/>
        <w:br/>
      </w:r>
      <w:r>
        <w:rPr>
          <w:rFonts w:cs="Book Antiqua" w:ascii="Book Antiqua" w:hAnsi="Book Antiqua"/>
        </w:rPr>
        <w:t>Another complicated situation would exist if one foreign entity is split into two or more functional currencies. Of the 179 respondents to a question about this, 22 firms (12.3 percent) indicated that they had such a situation in their firm.</w:t>
      </w:r>
      <w:r>
        <w:rPr/>
        <w:br/>
        <w:br/>
      </w:r>
      <w:r>
        <w:rPr>
          <w:rFonts w:cs="Book Antiqua" w:ascii="Book Antiqua" w:hAnsi="Book Antiqua"/>
        </w:rPr>
        <w:t>We asked the respondents to provide the following details about the splitting of their foreign entities into two or more functional currencies: location of the foreign entity, multiple functional currencies determined, and the underlying circumstances that support the practice. The most frequently cited nations where this occurred were Canada (mentioned six times), West Germany (five), The Netherlands (three), and United Kingdom (three). Some respondents reported splitting in more than one country.</w:t>
      </w:r>
      <w:r>
        <w:rPr/>
        <w:br/>
        <w:br/>
      </w:r>
      <w:r>
        <w:rPr>
          <w:rFonts w:cs="Book Antiqua" w:ascii="Book Antiqua" w:hAnsi="Book Antiqua"/>
        </w:rPr>
        <w:t>The most frequently cited currencies involved in the splitting were the U.S. dollar, Canadian dollar, and deutsche mark. Several respondents reported splitting one foreign entity into more than two currencies.</w:t>
      </w:r>
      <w:r>
        <w:rPr/>
        <w:br/>
        <w:br/>
      </w:r>
      <w:r>
        <w:rPr>
          <w:rFonts w:cs="Book Antiqua" w:ascii="Book Antiqua" w:hAnsi="Book Antiqua"/>
        </w:rPr>
        <w:t>The most common reason given to justify this practice was that a segment of a foreign entity dealt primarily with a third country or the U.S. parent, resulting in the selection of the third country's currency or the U.S. dollar as the functional currency for that segment, whereas the local currency was selected as the functional currency for the foreign entity's other operations. For example, respondents provided the following descriptions of situations where "splits" occurred:</w:t>
      </w:r>
    </w:p>
    <w:p>
      <w:pPr>
        <w:pStyle w:val="Normal"/>
        <w:autoSpaceDE w:val="false"/>
        <w:spacing w:before="100" w:after="100"/>
        <w:ind w:start="360" w:end="0"/>
        <w:rPr>
          <w:rFonts w:ascii="Book Antiqua" w:hAnsi="Book Antiqua" w:cs="Book Antiqua"/>
        </w:rPr>
      </w:pPr>
      <w:r>
        <w:rPr>
          <w:rFonts w:cs="Book Antiqua" w:ascii="Book Antiqua" w:hAnsi="Book Antiqua"/>
        </w:rPr>
        <w:t>A Swedish corporation (functional currency -- Swedish krona) has a Norwegian branch (functional currency -- Norwegian krone).</w:t>
      </w:r>
    </w:p>
    <w:p>
      <w:pPr>
        <w:pStyle w:val="Normal"/>
        <w:autoSpaceDE w:val="false"/>
        <w:spacing w:before="100" w:after="100"/>
        <w:ind w:start="360" w:end="0"/>
        <w:rPr>
          <w:rFonts w:ascii="Book Antiqua" w:hAnsi="Book Antiqua" w:cs="Book Antiqua"/>
        </w:rPr>
      </w:pPr>
      <w:r>
        <w:rPr>
          <w:rFonts w:cs="Book Antiqua" w:ascii="Book Antiqua" w:hAnsi="Book Antiqua"/>
        </w:rPr>
        <w:t>One division's operations are truly self-supporting so we selected the d-mark. The other divisions are essentially distribution centers for U.S.-sourced product, so we selected the U.S. dollar.</w:t>
      </w:r>
    </w:p>
    <w:p>
      <w:pPr>
        <w:pStyle w:val="Normal"/>
        <w:autoSpaceDE w:val="false"/>
        <w:spacing w:before="100" w:after="100"/>
        <w:rPr/>
      </w:pPr>
      <w:r>
        <w:rPr/>
        <w:br/>
      </w:r>
      <w:r>
        <w:rPr>
          <w:rFonts w:cs="Book Antiqua" w:ascii="Book Antiqua" w:hAnsi="Book Antiqua"/>
        </w:rPr>
        <w:t>Another frequently encountered situation in the response to this question was the existence of a headquarters operation and operating units in a foreign country, all in the same foreign entity. The functional currency for the operating units is the local currency, but the functional currency for the regional headquarters (administrative) units is the U.S. dollar.</w:t>
      </w:r>
      <w:r>
        <w:rPr/>
        <w:br/>
        <w:br/>
      </w:r>
      <w:r>
        <w:rPr>
          <w:rFonts w:cs="Book Antiqua" w:ascii="Book Antiqua" w:hAnsi="Book Antiqua"/>
        </w:rPr>
        <w:t>3.3 External Auditor Involvement</w:t>
      </w:r>
      <w:r>
        <w:rPr/>
        <w:br/>
        <w:br/>
      </w:r>
      <w:r>
        <w:rPr>
          <w:rFonts w:cs="Book Antiqua" w:ascii="Book Antiqua" w:hAnsi="Book Antiqua"/>
        </w:rPr>
        <w:t>One interesting issue is the role of the external auditor in determining the functional currency. We expected that the external auditor would have reviewed management's functional currency determinations as part of the audit program. However, of the 180 respondents, 40 firms (22.2 percent) reported that their firm's external auditor did not specifically review the functional currency determination process. This reported lack of review by the external auditor existed relatively more often in the non-Fortune 500 firms (35.1 percent) than in the Fortune 500 firms (18.8 percent).</w:t>
      </w:r>
      <w:r>
        <w:rPr/>
        <w:br/>
        <w:br/>
      </w:r>
      <w:r>
        <w:rPr>
          <w:rFonts w:cs="Book Antiqua" w:ascii="Book Antiqua" w:hAnsi="Book Antiqua"/>
        </w:rPr>
        <w:t>We asked respondents that indicated that their external auditor reviewed this area to estimate the percentage of individual functional currency decisions that were reviewed. Of the 140 respondents who indicated that their external auditor reviewed this area, 128 firms indicated the extent of this review. The range of responses was from 10 percent to 100 percent, with an average of 93.2 percent. A total of 86.7 percent of the respondents indicated that their auditor reviewed 100 percent of the functional currency determinations.</w:t>
      </w:r>
      <w:r>
        <w:rPr/>
        <w:br/>
        <w:br/>
      </w:r>
      <w:r>
        <w:rPr>
          <w:rFonts w:cs="Book Antiqua" w:ascii="Book Antiqua" w:hAnsi="Book Antiqua"/>
        </w:rPr>
        <w:t>We also asked about situations in which the external auditor challenged the management's choice of functional currency for a specific foreign entity. Of the 140 firms, 18 (12.9 percent) indicated that their external auditor did challenge their choice of functional currency. We then asked those 18 firms to indicate the number of cases involved. The average was 2.1, with a range from 1 to 12.</w:t>
      </w:r>
      <w:r>
        <w:rPr/>
        <w:br/>
        <w:br/>
      </w:r>
      <w:r>
        <w:rPr>
          <w:rFonts w:cs="Book Antiqua" w:ascii="Book Antiqua" w:hAnsi="Book Antiqua"/>
        </w:rPr>
        <w:t>The 18 firms responding to this question cited a total of 27 cases in which the external auditor challenged the firm's choice of the functional currency. In only 1 of these 27 cases did the auditor's original view prevail.</w:t>
      </w:r>
      <w:r>
        <w:rPr/>
        <w:br/>
        <w:br/>
      </w:r>
      <w:r>
        <w:rPr>
          <w:rFonts w:cs="Book Antiqua" w:ascii="Book Antiqua" w:hAnsi="Book Antiqua"/>
        </w:rPr>
        <w:t>3.4 Changes in Functional Currency</w:t>
      </w:r>
      <w:r>
        <w:rPr/>
        <w:br/>
        <w:br/>
      </w:r>
      <w:r>
        <w:rPr>
          <w:rFonts w:cs="Book Antiqua" w:ascii="Book Antiqua" w:hAnsi="Book Antiqua"/>
        </w:rPr>
        <w:t>Because the functional currency determination is based on fact, the underlying circumstances may change and require a change in the functional currency. We found that this situation was not widespread among our respondents. Only 15 of 180 firms (8.3 percent) indicated that they changed any of their functional currencies for reasons other than the classification of an economy as highly inflationary since their adoption of Statement 52. Almost 7 times as many firms with a large number of different functional currencies reported changes compared to firms with a small number of different functional currencies (14.3 percent versus 2.3 percent). For the vast majority of our respondents, over this initial three-year period, the functional currencies have not changed.</w:t>
      </w:r>
      <w:r>
        <w:rPr/>
        <w:br/>
        <w:br/>
      </w:r>
      <w:r>
        <w:rPr>
          <w:rFonts w:cs="Book Antiqua" w:ascii="Book Antiqua" w:hAnsi="Book Antiqua"/>
        </w:rPr>
        <w:t>Thirteen respondents provided details about the reasons for changes in functional currencies. Some commonly cited reasons were that the currency mix of the revenue for a given foreign entity changed or that the debt of a given foreign entity was refinanced into a different currency. A number of respondents simply cited "changes in economic factors" as the reason for the change. Respondents provided the following details:</w:t>
      </w:r>
    </w:p>
    <w:p>
      <w:pPr>
        <w:pStyle w:val="Normal"/>
        <w:autoSpaceDE w:val="false"/>
        <w:spacing w:before="100" w:after="100"/>
        <w:ind w:start="360" w:end="0"/>
        <w:rPr>
          <w:rFonts w:ascii="Book Antiqua" w:hAnsi="Book Antiqua" w:cs="Book Antiqua"/>
        </w:rPr>
      </w:pPr>
      <w:r>
        <w:rPr>
          <w:rFonts w:cs="Book Antiqua" w:ascii="Book Antiqua" w:hAnsi="Book Antiqua"/>
        </w:rPr>
        <w:t>The Irish operation was a startup in 1982, and long-term plans then indicated that the Irish pound would be the functional currency. However, in 1983 it was decided to purchase and sell primarily in the U.S. dollar.</w:t>
      </w:r>
    </w:p>
    <w:p>
      <w:pPr>
        <w:pStyle w:val="Normal"/>
        <w:autoSpaceDE w:val="false"/>
        <w:spacing w:before="100" w:after="100"/>
        <w:ind w:start="360" w:end="0"/>
        <w:rPr>
          <w:rFonts w:ascii="Book Antiqua" w:hAnsi="Book Antiqua" w:cs="Book Antiqua"/>
        </w:rPr>
      </w:pPr>
      <w:r>
        <w:rPr>
          <w:rFonts w:cs="Book Antiqua" w:ascii="Book Antiqua" w:hAnsi="Book Antiqua"/>
        </w:rPr>
        <w:t>Changes in the cost base of raw materials, currency cash flows, and the company's markets became primarily regional in nature in 1984.</w:t>
      </w:r>
    </w:p>
    <w:p>
      <w:pPr>
        <w:pStyle w:val="Normal"/>
        <w:autoSpaceDE w:val="false"/>
        <w:spacing w:before="100" w:after="100"/>
        <w:rPr/>
      </w:pPr>
      <w:r>
        <w:rPr/>
        <w:br/>
      </w:r>
      <w:r>
        <w:rPr>
          <w:rFonts w:cs="Book Antiqua" w:ascii="Book Antiqua" w:hAnsi="Book Antiqua"/>
        </w:rPr>
        <w:t>Seven of the changes occurred in 1983. The remaining six changes were equally divided between 1982 and 1984. In the majority of the cases, the new functional currency was the U.S. dollar.</w:t>
      </w:r>
      <w:r>
        <w:rPr/>
        <w:br/>
        <w:br/>
      </w:r>
      <w:r>
        <w:rPr>
          <w:rFonts w:cs="Book Antiqua" w:ascii="Book Antiqua" w:hAnsi="Book Antiqua"/>
        </w:rPr>
        <w:t>3.5 FASB Guidance</w:t>
      </w:r>
      <w:r>
        <w:rPr/>
        <w:br/>
        <w:br/>
      </w:r>
      <w:r>
        <w:rPr>
          <w:rFonts w:cs="Book Antiqua" w:ascii="Book Antiqua" w:hAnsi="Book Antiqua"/>
        </w:rPr>
        <w:t>The FASB's guidance for the determination of the functional currency is provided in Appendix A of Statement 52 and consists of a list of six "salient economic factors" to be used "both individually and collectively" in determining the functional currency.</w:t>
      </w:r>
      <w:r>
        <w:rPr/>
        <w:br/>
        <w:br/>
      </w:r>
      <w:r>
        <w:rPr>
          <w:rFonts w:cs="Book Antiqua" w:ascii="Book Antiqua" w:hAnsi="Book Antiqua"/>
        </w:rPr>
        <w:t>One objective of this study was to provide information on the apparent utilization of these factors in the determination of the functional currency. Included in the questionnaire was a matrix with a list of 10 salient economic factors for non-highly inflationary economies (the 6 salient economic factors in Statement 52 with subdivisions within 4 of the factors).</w:t>
      </w:r>
      <w:r>
        <w:rPr/>
        <w:br/>
        <w:br/>
      </w:r>
      <w:r>
        <w:rPr>
          <w:rFonts w:cs="Book Antiqua" w:ascii="Book Antiqua" w:hAnsi="Book Antiqua"/>
        </w:rPr>
        <w:t>We asked the respondent to indicate the relative weight associated with each factor in determining the functional currencies for his or her firm's foreign entities in non-highly inflationary economies, first on an overall basis and then for the four geographical areas used throughout this report. The respondent used the following code to weight the factors: 0-did not use; 1-low weight; 2-medium weight; and 3-high weight. Thus, the higher the average score for a given factor, the heavier its weighting. If a firm did not have operations in a specific area listed, we asked the respondent to place an "X" through the column in the matrix.</w:t>
      </w:r>
      <w:r>
        <w:rPr/>
        <w:br/>
        <w:br/>
      </w:r>
      <w:r>
        <w:rPr>
          <w:rFonts w:cs="Book Antiqua" w:ascii="Book Antiqua" w:hAnsi="Book Antiqua"/>
        </w:rPr>
        <w:t>The results are shown in Table 3.4. The analysis will first focus on the factors from an overall standpoint.</w:t>
      </w:r>
      <w:r>
        <w:rPr/>
        <w:br/>
        <w:br/>
      </w:r>
      <w:r>
        <w:rPr>
          <w:rFonts w:cs="Courier New" w:ascii="Courier New" w:hAnsi="Courier New"/>
          <w:sz w:val="20"/>
          <w:szCs w:val="20"/>
        </w:rPr>
        <w:t>Table 3.4</w:t>
      </w:r>
      <w:r>
        <w:rPr/>
        <w:br/>
      </w:r>
      <w:r>
        <w:rPr>
          <w:rFonts w:cs="Courier New" w:ascii="Courier New" w:hAnsi="Courier New"/>
          <w:sz w:val="20"/>
          <w:szCs w:val="20"/>
        </w:rPr>
        <w:t>Weighting of Salient Economic Factors</w:t>
      </w:r>
      <w:r>
        <w:rPr/>
        <w:br/>
      </w:r>
      <w:r>
        <w:rPr>
          <w:rFonts w:cs="Courier New" w:ascii="Courier New" w:hAnsi="Courier New"/>
          <w:sz w:val="20"/>
          <w:szCs w:val="20"/>
        </w:rPr>
        <w:t>Summer 1984</w:t>
      </w:r>
      <w:r>
        <w:rPr/>
        <w:br/>
      </w:r>
      <w:r>
        <w:rPr>
          <w:rFonts w:cs="Courier New" w:ascii="Courier New" w:hAnsi="Courier New"/>
          <w:sz w:val="20"/>
          <w:szCs w:val="20"/>
        </w:rPr>
        <w:t>AVERAGE WEIGHTS(*)</w:t>
      </w:r>
      <w:r>
        <w:rPr/>
        <w:br/>
      </w:r>
      <w:r>
        <w:rPr>
          <w:rFonts w:cs="Courier New" w:ascii="Courier New" w:hAnsi="Courier New"/>
          <w:sz w:val="20"/>
          <w:szCs w:val="20"/>
        </w:rPr>
        <w:t>---------------------------------------------------------------------------------</w:t>
      </w:r>
      <w:r>
        <w:rPr/>
        <w:br/>
      </w:r>
      <w:r>
        <w:rPr>
          <w:rFonts w:cs="Courier New" w:ascii="Courier New" w:hAnsi="Courier New"/>
          <w:sz w:val="20"/>
          <w:szCs w:val="20"/>
        </w:rPr>
        <w:t>Mexico, Africa,</w:t>
      </w:r>
      <w:r>
        <w:rPr/>
        <w:br/>
      </w:r>
      <w:r>
        <w:rPr>
          <w:rFonts w:cs="Courier New" w:ascii="Courier New" w:hAnsi="Courier New"/>
          <w:sz w:val="20"/>
          <w:szCs w:val="20"/>
        </w:rPr>
        <w:t>Salient Economic Factors for Central &amp; Far &amp;</w:t>
      </w:r>
      <w:r>
        <w:rPr/>
        <w:br/>
      </w:r>
      <w:r>
        <w:rPr>
          <w:rFonts w:cs="Courier New" w:ascii="Courier New" w:hAnsi="Courier New"/>
          <w:sz w:val="20"/>
          <w:szCs w:val="20"/>
        </w:rPr>
        <w:t>Non-Highly Inflationary South Middle</w:t>
      </w:r>
      <w:r>
        <w:rPr/>
        <w:br/>
      </w:r>
      <w:r>
        <w:rPr>
          <w:rFonts w:cs="Courier New" w:ascii="Courier New" w:hAnsi="Courier New"/>
          <w:sz w:val="20"/>
          <w:szCs w:val="20"/>
        </w:rPr>
        <w:t>Economies Overall Canada Europe America East</w:t>
      </w:r>
      <w:r>
        <w:rPr/>
        <w:br/>
      </w:r>
      <w:r>
        <w:rPr>
          <w:rFonts w:cs="Courier New" w:ascii="Courier New" w:hAnsi="Courier New"/>
          <w:sz w:val="20"/>
          <w:szCs w:val="20"/>
        </w:rPr>
        <w:t>------------------------------------------------------------------------</w:t>
      </w:r>
      <w:r>
        <w:rPr/>
        <w:br/>
      </w:r>
      <w:r>
        <w:rPr>
          <w:rFonts w:cs="Courier New" w:ascii="Courier New" w:hAnsi="Courier New"/>
          <w:sz w:val="20"/>
          <w:szCs w:val="20"/>
        </w:rPr>
        <w:t>Cash flow indicators:</w:t>
      </w:r>
      <w:r>
        <w:rPr/>
        <w:br/>
      </w:r>
      <w:r>
        <w:rPr>
          <w:rFonts w:cs="Courier New" w:ascii="Courier New" w:hAnsi="Courier New"/>
          <w:sz w:val="20"/>
          <w:szCs w:val="20"/>
        </w:rPr>
        <w:t>a. denomination of cash flows 2.40 2.33 2.35 2.05 2.29</w:t>
      </w:r>
      <w:r>
        <w:rPr/>
        <w:br/>
      </w:r>
      <w:r>
        <w:rPr>
          <w:rFonts w:cs="Courier New" w:ascii="Courier New" w:hAnsi="Courier New"/>
          <w:sz w:val="20"/>
          <w:szCs w:val="20"/>
        </w:rPr>
        <w:t>b. impact on parent's cash</w:t>
      </w:r>
      <w:r>
        <w:rPr/>
        <w:br/>
      </w:r>
      <w:r>
        <w:rPr>
          <w:rFonts w:cs="Courier New" w:ascii="Courier New" w:hAnsi="Courier New"/>
          <w:sz w:val="20"/>
          <w:szCs w:val="20"/>
        </w:rPr>
        <w:t>flows 1.55 1.46 1.41 1.30 1.44</w:t>
      </w:r>
      <w:r>
        <w:rPr/>
        <w:br/>
        <w:br/>
      </w:r>
      <w:r>
        <w:rPr>
          <w:rFonts w:cs="Courier New" w:ascii="Courier New" w:hAnsi="Courier New"/>
          <w:sz w:val="20"/>
          <w:szCs w:val="20"/>
        </w:rPr>
        <w:t>Sales price indicators:</w:t>
      </w:r>
      <w:r>
        <w:rPr/>
        <w:br/>
      </w:r>
      <w:r>
        <w:rPr>
          <w:rFonts w:cs="Courier New" w:ascii="Courier New" w:hAnsi="Courier New"/>
          <w:sz w:val="20"/>
          <w:szCs w:val="20"/>
        </w:rPr>
        <w:t>a. responsiveness of sales</w:t>
      </w:r>
      <w:r>
        <w:rPr/>
        <w:br/>
      </w:r>
      <w:r>
        <w:rPr>
          <w:rFonts w:cs="Courier New" w:ascii="Courier New" w:hAnsi="Courier New"/>
          <w:sz w:val="20"/>
          <w:szCs w:val="20"/>
        </w:rPr>
        <w:t>price to changes in exchange</w:t>
      </w:r>
      <w:r>
        <w:rPr/>
        <w:br/>
      </w:r>
      <w:r>
        <w:rPr>
          <w:rFonts w:cs="Courier New" w:ascii="Courier New" w:hAnsi="Courier New"/>
          <w:sz w:val="20"/>
          <w:szCs w:val="20"/>
        </w:rPr>
        <w:t>rates 1.32 1.30 1.33 1.24 1.31</w:t>
      </w:r>
      <w:r>
        <w:rPr/>
        <w:br/>
      </w:r>
      <w:r>
        <w:rPr>
          <w:rFonts w:cs="Courier New" w:ascii="Courier New" w:hAnsi="Courier New"/>
          <w:sz w:val="20"/>
          <w:szCs w:val="20"/>
        </w:rPr>
        <w:t>b. the market where price is</w:t>
      </w:r>
      <w:r>
        <w:rPr/>
        <w:br/>
      </w:r>
      <w:r>
        <w:rPr>
          <w:rFonts w:cs="Courier New" w:ascii="Courier New" w:hAnsi="Courier New"/>
          <w:sz w:val="20"/>
          <w:szCs w:val="20"/>
        </w:rPr>
        <w:t>determined 2.08 2.07 2.04 1.73 1.98</w:t>
      </w:r>
      <w:r>
        <w:rPr/>
        <w:br/>
        <w:br/>
      </w:r>
      <w:r>
        <w:rPr>
          <w:rFonts w:cs="Courier New" w:ascii="Courier New" w:hAnsi="Courier New"/>
          <w:sz w:val="20"/>
          <w:szCs w:val="20"/>
        </w:rPr>
        <w:t>Sales market indicator:</w:t>
      </w:r>
      <w:r>
        <w:rPr/>
        <w:br/>
      </w:r>
      <w:r>
        <w:rPr>
          <w:rFonts w:cs="Courier New" w:ascii="Courier New" w:hAnsi="Courier New"/>
          <w:sz w:val="20"/>
          <w:szCs w:val="20"/>
        </w:rPr>
        <w:t>location of primary sales</w:t>
      </w:r>
      <w:r>
        <w:rPr/>
        <w:br/>
      </w:r>
      <w:r>
        <w:rPr>
          <w:rFonts w:cs="Courier New" w:ascii="Courier New" w:hAnsi="Courier New"/>
          <w:sz w:val="20"/>
          <w:szCs w:val="20"/>
        </w:rPr>
        <w:t>market 2.34 2.33 2.26 1.91 2.19</w:t>
      </w:r>
      <w:r>
        <w:rPr/>
        <w:br/>
        <w:br/>
      </w:r>
      <w:r>
        <w:rPr>
          <w:rFonts w:cs="Courier New" w:ascii="Courier New" w:hAnsi="Courier New"/>
          <w:sz w:val="20"/>
          <w:szCs w:val="20"/>
        </w:rPr>
        <w:t>Expense indicator: location of</w:t>
      </w:r>
      <w:r>
        <w:rPr/>
        <w:br/>
      </w:r>
      <w:r>
        <w:rPr>
          <w:rFonts w:cs="Courier New" w:ascii="Courier New" w:hAnsi="Courier New"/>
          <w:sz w:val="20"/>
          <w:szCs w:val="20"/>
        </w:rPr>
        <w:t>primary input market 2.14 2.17 2.10 1.79 2.07</w:t>
      </w:r>
      <w:r>
        <w:rPr/>
        <w:br/>
        <w:br/>
      </w:r>
      <w:r>
        <w:rPr>
          <w:rFonts w:cs="Courier New" w:ascii="Courier New" w:hAnsi="Courier New"/>
          <w:sz w:val="20"/>
          <w:szCs w:val="20"/>
        </w:rPr>
        <w:t>Financial indicators:</w:t>
      </w:r>
      <w:r>
        <w:rPr/>
        <w:br/>
      </w:r>
      <w:r>
        <w:rPr>
          <w:rFonts w:cs="Courier New" w:ascii="Courier New" w:hAnsi="Courier New"/>
          <w:sz w:val="20"/>
          <w:szCs w:val="20"/>
        </w:rPr>
        <w:t>a. denomination of financing 1.75 1.63 1.72 1.44 1.65</w:t>
      </w:r>
      <w:r>
        <w:rPr/>
        <w:br/>
      </w:r>
      <w:r>
        <w:rPr>
          <w:rFonts w:cs="Courier New" w:ascii="Courier New" w:hAnsi="Courier New"/>
          <w:sz w:val="20"/>
          <w:szCs w:val="20"/>
        </w:rPr>
        <w:t>b. sufficiency of cash flows</w:t>
      </w:r>
      <w:r>
        <w:rPr/>
        <w:br/>
      </w:r>
      <w:r>
        <w:rPr>
          <w:rFonts w:cs="Courier New" w:ascii="Courier New" w:hAnsi="Courier New"/>
          <w:sz w:val="20"/>
          <w:szCs w:val="20"/>
        </w:rPr>
        <w:t>to meet obligations 1.37 1.28 1.33 1.15 1.31</w:t>
      </w:r>
      <w:r>
        <w:rPr/>
        <w:br/>
        <w:br/>
      </w:r>
      <w:r>
        <w:rPr>
          <w:rFonts w:cs="Courier New" w:ascii="Courier New" w:hAnsi="Courier New"/>
          <w:sz w:val="20"/>
          <w:szCs w:val="20"/>
        </w:rPr>
        <w:t>Intercompany transactions and</w:t>
      </w:r>
      <w:r>
        <w:rPr/>
        <w:br/>
      </w:r>
      <w:r>
        <w:rPr>
          <w:rFonts w:cs="Courier New" w:ascii="Courier New" w:hAnsi="Courier New"/>
          <w:sz w:val="20"/>
          <w:szCs w:val="20"/>
        </w:rPr>
        <w:t>arrangements indicators:</w:t>
      </w:r>
      <w:r>
        <w:rPr/>
        <w:br/>
      </w:r>
      <w:r>
        <w:rPr>
          <w:rFonts w:cs="Courier New" w:ascii="Courier New" w:hAnsi="Courier New"/>
          <w:sz w:val="20"/>
          <w:szCs w:val="20"/>
        </w:rPr>
        <w:t>a. volume 1.50 1.46 1.49 1.18 1.40</w:t>
      </w:r>
      <w:r>
        <w:rPr/>
        <w:br/>
      </w:r>
      <w:r>
        <w:rPr>
          <w:rFonts w:cs="Courier New" w:ascii="Courier New" w:hAnsi="Courier New"/>
          <w:sz w:val="20"/>
          <w:szCs w:val="20"/>
        </w:rPr>
        <w:t>b. extent of interrelationships 1.55 1.54 1.57 1.32 1.48</w:t>
      </w:r>
      <w:r>
        <w:rPr/>
        <w:br/>
        <w:br/>
      </w:r>
      <w:r>
        <w:rPr>
          <w:rFonts w:cs="Courier New" w:ascii="Courier New" w:hAnsi="Courier New"/>
          <w:sz w:val="20"/>
          <w:szCs w:val="20"/>
        </w:rPr>
        <w:t>(*)Based on: 0-did not use; 1-low weight; 2-medium weight; and 3-high weight</w:t>
      </w:r>
    </w:p>
    <w:p>
      <w:pPr>
        <w:pStyle w:val="Normal"/>
        <w:autoSpaceDE w:val="false"/>
        <w:spacing w:before="100" w:after="100"/>
        <w:rPr>
          <w:rFonts w:ascii="Courier New" w:hAnsi="Courier New" w:cs="Courier New"/>
          <w:sz w:val="20"/>
          <w:szCs w:val="20"/>
        </w:rPr>
      </w:pPr>
      <w:r>
        <w:rPr>
          <w:rFonts w:cs="Courier New" w:ascii="Courier New" w:hAnsi="Courier New"/>
          <w:sz w:val="20"/>
          <w:szCs w:val="20"/>
        </w:rPr>
        <w:t>jkkkkkkkkkkkkkkkkkkkkkkkkkkkkkkkkkkkkkkkkkkkkkkkkkkkkkkkkkkkkkkkkkkkkkkkk</w:t>
      </w:r>
    </w:p>
    <w:p>
      <w:pPr>
        <w:pStyle w:val="Normal"/>
        <w:autoSpaceDE w:val="false"/>
        <w:spacing w:before="100" w:after="100"/>
        <w:rPr>
          <w:rFonts w:ascii="Courier New" w:hAnsi="Courier New" w:cs="Courier New"/>
          <w:sz w:val="20"/>
          <w:szCs w:val="20"/>
        </w:rPr>
      </w:pPr>
      <w:r>
        <w:rPr>
          <w:rFonts w:cs="Courier New" w:ascii="Courier New" w:hAnsi="Courier New"/>
          <w:sz w:val="20"/>
          <w:szCs w:val="20"/>
        </w:rPr>
      </w:r>
    </w:p>
    <w:p>
      <w:pPr>
        <w:pStyle w:val="Normal"/>
        <w:autoSpaceDE w:val="false"/>
        <w:spacing w:before="100" w:after="100"/>
        <w:rPr/>
      </w:pPr>
      <w:r>
        <w:rPr>
          <w:rFonts w:cs="Courier New" w:ascii="Book Antiqua" w:hAnsi="Book Antiqua"/>
        </w:rPr>
        <w:t>SALIENT ECONOMIC FACTORS FOR DETERMINING FUNCTIONAL CURRENCY</w:t>
      </w:r>
      <w:r>
        <w:rPr/>
        <w:br/>
        <w:br/>
      </w:r>
      <w:r>
        <w:rPr>
          <w:rFonts w:cs="Book Antiqua" w:ascii="Book Antiqua" w:hAnsi="Book Antiqua"/>
        </w:rPr>
        <w:t>42. The salient economic factors set forth below, and possibly others, should be considered both individually and collectively when determining the functional currency.[See *]</w:t>
      </w:r>
    </w:p>
    <w:p>
      <w:pPr>
        <w:pStyle w:val="Normal"/>
        <w:autoSpaceDE w:val="false"/>
        <w:spacing w:before="100" w:after="100"/>
        <w:ind w:start="360" w:end="0"/>
        <w:rPr>
          <w:rFonts w:ascii="Book Antiqua" w:hAnsi="Book Antiqua" w:cs="Book Antiqua"/>
        </w:rPr>
      </w:pPr>
      <w:r>
        <w:rPr>
          <w:rFonts w:cs="Book Antiqua" w:ascii="Book Antiqua" w:hAnsi="Book Antiqua"/>
        </w:rPr>
        <w:t>[* These factors are taken from Appendix A of Statement 52.]</w:t>
      </w:r>
    </w:p>
    <w:p>
      <w:pPr>
        <w:pStyle w:val="Normal"/>
        <w:autoSpaceDE w:val="false"/>
        <w:spacing w:before="100" w:after="100"/>
        <w:rPr/>
      </w:pPr>
      <w:r>
        <w:rPr/>
        <w:br/>
      </w:r>
      <w:r>
        <w:rPr>
          <w:rFonts w:cs="Book Antiqua" w:ascii="Book Antiqua" w:hAnsi="Book Antiqua"/>
        </w:rPr>
        <w:t>a. Cash flow indicators</w:t>
      </w:r>
    </w:p>
    <w:p>
      <w:pPr>
        <w:pStyle w:val="Normal"/>
        <w:autoSpaceDE w:val="false"/>
        <w:spacing w:before="100" w:after="100"/>
        <w:ind w:start="1080" w:end="0"/>
        <w:rPr>
          <w:rFonts w:ascii="Book Antiqua" w:hAnsi="Book Antiqua" w:cs="Book Antiqua"/>
        </w:rPr>
      </w:pPr>
      <w:r>
        <w:rPr>
          <w:rFonts w:cs="Book Antiqua" w:ascii="Book Antiqua" w:hAnsi="Book Antiqua"/>
        </w:rPr>
        <w:t>(1) Foreign Currency -- Cash flows related to the foreign entity's individual assets and liabilities are primarily in the foreign currency and do not directly impact the parent company's cash flows.</w:t>
      </w:r>
    </w:p>
    <w:p>
      <w:pPr>
        <w:pStyle w:val="Normal"/>
        <w:autoSpaceDE w:val="false"/>
        <w:spacing w:before="100" w:after="100"/>
        <w:ind w:start="1080" w:end="0"/>
        <w:rPr>
          <w:rFonts w:ascii="Book Antiqua" w:hAnsi="Book Antiqua" w:cs="Book Antiqua"/>
        </w:rPr>
      </w:pPr>
      <w:r>
        <w:rPr>
          <w:rFonts w:cs="Book Antiqua" w:ascii="Book Antiqua" w:hAnsi="Book Antiqua"/>
        </w:rPr>
        <w:t>(2) Parent's Currency -- Cash flows related to the foreign entity's individual assets and liabilities directly impact the parent's cash flows on a current basis and are readily available for remittance to the parent company.</w:t>
      </w:r>
    </w:p>
    <w:p>
      <w:pPr>
        <w:pStyle w:val="Normal"/>
        <w:autoSpaceDE w:val="false"/>
        <w:spacing w:before="100" w:after="100"/>
        <w:rPr/>
      </w:pPr>
      <w:r>
        <w:rPr/>
        <w:br/>
      </w:r>
      <w:r>
        <w:rPr>
          <w:rFonts w:cs="Book Antiqua" w:ascii="Book Antiqua" w:hAnsi="Book Antiqua"/>
        </w:rPr>
        <w:t>b. Sales price indicators</w:t>
      </w:r>
    </w:p>
    <w:p>
      <w:pPr>
        <w:pStyle w:val="Normal"/>
        <w:autoSpaceDE w:val="false"/>
        <w:spacing w:before="100" w:after="100"/>
        <w:ind w:start="1080" w:end="0"/>
        <w:rPr>
          <w:rFonts w:ascii="Book Antiqua" w:hAnsi="Book Antiqua" w:cs="Book Antiqua"/>
        </w:rPr>
      </w:pPr>
      <w:r>
        <w:rPr>
          <w:rFonts w:cs="Book Antiqua" w:ascii="Book Antiqua" w:hAnsi="Book Antiqua"/>
        </w:rPr>
        <w:t>(1) Foreign Currency -- Sales prices for the foreign entity's products are not primarily responsive on a short-term basis to changes in exchange rates but are determined more by local competition or local government regulation.</w:t>
      </w:r>
    </w:p>
    <w:p>
      <w:pPr>
        <w:pStyle w:val="Normal"/>
        <w:autoSpaceDE w:val="false"/>
        <w:spacing w:before="100" w:after="100"/>
        <w:ind w:start="1080" w:end="0"/>
        <w:rPr>
          <w:rFonts w:ascii="Book Antiqua" w:hAnsi="Book Antiqua" w:cs="Book Antiqua"/>
        </w:rPr>
      </w:pPr>
      <w:r>
        <w:rPr>
          <w:rFonts w:cs="Book Antiqua" w:ascii="Book Antiqua" w:hAnsi="Book Antiqua"/>
        </w:rPr>
        <w:t>(2) Parent's Currency -- Sales prices for the foreign entity's products are primarily responsive on a short-term basis to changes in exchange rates; for example, sales prices are determined more by worldwide competition or by international prices.</w:t>
      </w:r>
    </w:p>
    <w:p>
      <w:pPr>
        <w:pStyle w:val="Normal"/>
        <w:autoSpaceDE w:val="false"/>
        <w:spacing w:before="100" w:after="100"/>
        <w:rPr/>
      </w:pPr>
      <w:r>
        <w:rPr/>
        <w:br/>
      </w:r>
      <w:r>
        <w:rPr>
          <w:rFonts w:cs="Book Antiqua" w:ascii="Book Antiqua" w:hAnsi="Book Antiqua"/>
        </w:rPr>
        <w:t>c. Sales market indicators</w:t>
      </w:r>
    </w:p>
    <w:p>
      <w:pPr>
        <w:pStyle w:val="Normal"/>
        <w:autoSpaceDE w:val="false"/>
        <w:spacing w:before="100" w:after="100"/>
        <w:ind w:start="1080" w:end="0"/>
        <w:rPr>
          <w:rFonts w:ascii="Book Antiqua" w:hAnsi="Book Antiqua" w:cs="Book Antiqua"/>
        </w:rPr>
      </w:pPr>
      <w:r>
        <w:rPr>
          <w:rFonts w:cs="Book Antiqua" w:ascii="Book Antiqua" w:hAnsi="Book Antiqua"/>
        </w:rPr>
        <w:t>(1) Foreign Currency -- There is an active local sales market for the foreign entity's products, although there also might be significant amounts of exports.</w:t>
      </w:r>
    </w:p>
    <w:p>
      <w:pPr>
        <w:pStyle w:val="Normal"/>
        <w:autoSpaceDE w:val="false"/>
        <w:spacing w:before="100" w:after="100"/>
        <w:ind w:start="1080" w:end="0"/>
        <w:rPr>
          <w:rFonts w:ascii="Book Antiqua" w:hAnsi="Book Antiqua" w:cs="Book Antiqua"/>
        </w:rPr>
      </w:pPr>
      <w:r>
        <w:rPr>
          <w:rFonts w:cs="Book Antiqua" w:ascii="Book Antiqua" w:hAnsi="Book Antiqua"/>
        </w:rPr>
        <w:t>(2) Parent's Currency -- The sales market is mostly in the parent's country or sales contracts are denominated in the parent's currency.</w:t>
      </w:r>
    </w:p>
    <w:p>
      <w:pPr>
        <w:pStyle w:val="Normal"/>
        <w:autoSpaceDE w:val="false"/>
        <w:spacing w:before="100" w:after="100"/>
        <w:rPr/>
      </w:pPr>
      <w:r>
        <w:rPr/>
        <w:br/>
      </w:r>
      <w:r>
        <w:rPr>
          <w:rFonts w:cs="Book Antiqua" w:ascii="Book Antiqua" w:hAnsi="Book Antiqua"/>
        </w:rPr>
        <w:t>d. Expense indicators</w:t>
      </w:r>
    </w:p>
    <w:p>
      <w:pPr>
        <w:pStyle w:val="Normal"/>
        <w:autoSpaceDE w:val="false"/>
        <w:spacing w:before="100" w:after="100"/>
        <w:ind w:start="1080" w:end="0"/>
        <w:rPr>
          <w:rFonts w:ascii="Book Antiqua" w:hAnsi="Book Antiqua" w:cs="Book Antiqua"/>
        </w:rPr>
      </w:pPr>
      <w:r>
        <w:rPr>
          <w:rFonts w:cs="Book Antiqua" w:ascii="Book Antiqua" w:hAnsi="Book Antiqua"/>
        </w:rPr>
        <w:t>(1) Foreign Currency -- Labor, materials, and other costs for the foreign entity's products or services are primarily local costs, even though there also might be imports from other countries.</w:t>
      </w:r>
    </w:p>
    <w:p>
      <w:pPr>
        <w:pStyle w:val="Normal"/>
        <w:autoSpaceDE w:val="false"/>
        <w:spacing w:before="100" w:after="100"/>
        <w:ind w:start="1080" w:end="0"/>
        <w:rPr>
          <w:rFonts w:ascii="Book Antiqua" w:hAnsi="Book Antiqua" w:cs="Book Antiqua"/>
        </w:rPr>
      </w:pPr>
      <w:r>
        <w:rPr>
          <w:rFonts w:cs="Book Antiqua" w:ascii="Book Antiqua" w:hAnsi="Book Antiqua"/>
        </w:rPr>
        <w:t>(2) Parent's Currency -- Labor, materials, and other costs for the foreign entity's products or services, on a continuing basis, are primarily costs for components obtained from the country in which the parent company is located.</w:t>
      </w:r>
    </w:p>
    <w:p>
      <w:pPr>
        <w:pStyle w:val="Normal"/>
        <w:autoSpaceDE w:val="false"/>
        <w:spacing w:before="100" w:after="100"/>
        <w:rPr/>
      </w:pPr>
      <w:r>
        <w:rPr/>
        <w:br/>
      </w:r>
      <w:r>
        <w:rPr>
          <w:rFonts w:cs="Book Antiqua" w:ascii="Book Antiqua" w:hAnsi="Book Antiqua"/>
        </w:rPr>
        <w:t>e. Financing indicators</w:t>
      </w:r>
    </w:p>
    <w:p>
      <w:pPr>
        <w:pStyle w:val="Normal"/>
        <w:autoSpaceDE w:val="false"/>
        <w:spacing w:before="100" w:after="100"/>
        <w:ind w:start="1080" w:end="0"/>
        <w:rPr>
          <w:rFonts w:ascii="Book Antiqua" w:hAnsi="Book Antiqua" w:cs="Book Antiqua"/>
        </w:rPr>
      </w:pPr>
      <w:r>
        <w:rPr>
          <w:rFonts w:cs="Book Antiqua" w:ascii="Book Antiqua" w:hAnsi="Book Antiqua"/>
        </w:rPr>
        <w:t>(1) Foreign Currency -- Financing is primarily denominated in foreign currency, and funds generated by the foreign entity's operations are sufficient to service existing and normally expected debt obligations.</w:t>
      </w:r>
    </w:p>
    <w:p>
      <w:pPr>
        <w:pStyle w:val="Normal"/>
        <w:autoSpaceDE w:val="false"/>
        <w:spacing w:before="100" w:after="100"/>
        <w:ind w:start="1080" w:end="0"/>
        <w:rPr>
          <w:rFonts w:ascii="Book Antiqua" w:hAnsi="Book Antiqua" w:cs="Book Antiqua"/>
        </w:rPr>
      </w:pPr>
      <w:r>
        <w:rPr>
          <w:rFonts w:cs="Book Antiqua" w:ascii="Book Antiqua" w:hAnsi="Book Antiqua"/>
        </w:rPr>
        <w:t>(2) Parent's Currency -- Financing is primarily from the parent or other dollar-denominated obligations, or funds generated by the foreign entity's operations are not sufficient to service existing and normally expected debt obligations without the infusion of additional funds from the parent company. Infusion of additional funds from the parent company for expansion is not a factor, provided funds generated by the foreign entity's expanded operations are expected to be sufficient to service that additional financing.</w:t>
      </w:r>
    </w:p>
    <w:p>
      <w:pPr>
        <w:pStyle w:val="Normal"/>
        <w:autoSpaceDE w:val="false"/>
        <w:spacing w:before="100" w:after="100"/>
        <w:rPr/>
      </w:pPr>
      <w:r>
        <w:rPr/>
        <w:br/>
      </w:r>
      <w:r>
        <w:rPr>
          <w:rFonts w:cs="Book Antiqua" w:ascii="Book Antiqua" w:hAnsi="Book Antiqua"/>
        </w:rPr>
        <w:t>f. Intercompany transactions and arrangements indicators</w:t>
      </w:r>
    </w:p>
    <w:p>
      <w:pPr>
        <w:pStyle w:val="Normal"/>
        <w:autoSpaceDE w:val="false"/>
        <w:spacing w:before="100" w:after="100"/>
        <w:ind w:start="1080" w:end="0"/>
        <w:rPr>
          <w:rFonts w:ascii="Book Antiqua" w:hAnsi="Book Antiqua" w:cs="Book Antiqua"/>
        </w:rPr>
      </w:pPr>
      <w:r>
        <w:rPr>
          <w:rFonts w:cs="Book Antiqua" w:ascii="Book Antiqua" w:hAnsi="Book Antiqua"/>
        </w:rPr>
        <w:t>(1) Foreign Currency -- There is a low volume of intercompany transactions and there is not an extensive interrelationship between the operations of the foreign entity and the parent company. However, the foreign entity's operations may rely on the parent's or affiliates' competitive advantages, such as patents and trademarks.</w:t>
      </w:r>
    </w:p>
    <w:p>
      <w:pPr>
        <w:pStyle w:val="Normal"/>
        <w:rPr>
          <w:rFonts w:ascii="Book Antiqua" w:hAnsi="Book Antiqua" w:cs="Book Antiqua"/>
        </w:rPr>
      </w:pPr>
      <w:r>
        <w:rPr>
          <w:rFonts w:cs="Book Antiqua" w:ascii="Book Antiqua" w:hAnsi="Book Antiqua"/>
        </w:rPr>
        <w:t>(2) Parent's Currency -- There is a high volume of intercompany transactions and there is an extensive interrelationship between the operations of the foreign entity and the parent company. Additionally, the parent's currency generally would be the functional currency if the foreign entity is a device or shell corporation for holding investments, obligations, intangible assets, etc., that could readily be carried on the parent's or an affiliate's books.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2001-06-07T21:00:00Z</dcterms:created>
  <dc:creator>sstubbs</dc:creator>
  <dc:description/>
  <dc:language>en-CA</dc:language>
  <cp:lastModifiedBy>sstubbs</cp:lastModifiedBy>
  <dcterms:modified xsi:type="dcterms:W3CDTF">2001-06-07T21:01:00Z</dcterms:modified>
  <cp:revision>1</cp:revision>
  <dc:subject/>
  <dc:title>3</dc:title>
</cp:coreProperties>
</file>