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sz w:val="16"/>
        </w:rPr>
      </w:pPr>
      <w:r>
        <w:rPr>
          <w:b w:val="false"/>
          <w:sz w:val="16"/>
        </w:rPr>
      </w:r>
    </w:p>
    <w:tbl>
      <w:tblPr>
        <w:tblW w:w="2268" w:type="dxa"/>
        <w:jc w:val="start"/>
        <w:tblInd w:w="0" w:type="dxa"/>
        <w:tblLayout w:type="fixed"/>
        <w:tblCellMar>
          <w:top w:w="0" w:type="dxa"/>
          <w:start w:w="108" w:type="dxa"/>
          <w:bottom w:w="0" w:type="dxa"/>
          <w:end w:w="108" w:type="dxa"/>
        </w:tblCellMar>
      </w:tblPr>
      <w:tblGrid>
        <w:gridCol w:w="2268"/>
      </w:tblGrid>
      <w:tr>
        <w:trPr/>
        <w:tc>
          <w:tcPr>
            <w:tcW w:w="2268" w:type="dxa"/>
            <w:tcBorders/>
          </w:tcPr>
          <w:p>
            <w:pPr>
              <w:pStyle w:val="Normal"/>
              <w:rPr>
                <w:sz w:val="16"/>
              </w:rPr>
            </w:pPr>
            <w:r>
              <w:rPr>
                <w:sz w:val="16"/>
              </w:rPr>
              <w:object w:dxaOrig="1445" w:dyaOrig="143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3.2pt;height:62.6pt" filled="f" o:ole="">
                  <v:imagedata r:id="rId3" o:title=""/>
                </v:shape>
                <o:OLEObject Type="Embed" ProgID="" ShapeID="ole_rId2" DrawAspect="Content" ObjectID="_1747111380" r:id="rId2"/>
              </w:object>
            </w:r>
          </w:p>
        </w:tc>
      </w:tr>
    </w:tbl>
    <w:p>
      <w:pPr>
        <w:pStyle w:val="Heading1"/>
        <w:pBdr>
          <w:top w:val="single" w:sz="18" w:space="1" w:color="000000"/>
        </w:pBdr>
        <w:spacing w:before="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sz w:val="18"/>
              </w:rPr>
            </w:pPr>
            <w:r>
              <w:rPr>
                <w:sz w:val="18"/>
              </w:rPr>
              <w:t>To:</w:t>
            </w:r>
          </w:p>
        </w:tc>
        <w:tc>
          <w:tcPr>
            <w:tcW w:w="4770" w:type="dxa"/>
            <w:tcBorders/>
          </w:tcPr>
          <w:p>
            <w:pPr>
              <w:pStyle w:val="Normal"/>
              <w:rPr>
                <w:rFonts w:ascii="Century Gothic" w:hAnsi="Century Gothic" w:cs="Century Gothic"/>
                <w:b/>
                <w:sz w:val="22"/>
              </w:rPr>
            </w:pPr>
            <w:bookmarkStart w:id="0" w:name="To"/>
            <w:bookmarkEnd w:id="0"/>
            <w:r>
              <w:rPr>
                <w:rFonts w:cs="Century Gothic" w:ascii="Century Gothic" w:hAnsi="Century Gothic"/>
                <w:b/>
                <w:sz w:val="22"/>
              </w:rPr>
              <w:t>Mr. Seyi Bikersteth</w:t>
            </w:r>
          </w:p>
        </w:tc>
      </w:tr>
      <w:tr>
        <w:trPr/>
        <w:tc>
          <w:tcPr>
            <w:tcW w:w="3168" w:type="dxa"/>
            <w:tcBorders/>
          </w:tcPr>
          <w:p>
            <w:pPr>
              <w:pStyle w:val="Normal"/>
              <w:jc w:val="end"/>
              <w:rPr>
                <w:sz w:val="18"/>
              </w:rPr>
            </w:pPr>
            <w:r>
              <w:rPr>
                <w:sz w:val="18"/>
              </w:rPr>
              <w:t>Company:</w:t>
            </w:r>
          </w:p>
        </w:tc>
        <w:tc>
          <w:tcPr>
            <w:tcW w:w="4770" w:type="dxa"/>
            <w:tcBorders/>
          </w:tcPr>
          <w:p>
            <w:pPr>
              <w:pStyle w:val="ToCompany"/>
              <w:rPr>
                <w:rFonts w:ascii="Century Gothic" w:hAnsi="Century Gothic" w:cs="Century Gothic"/>
                <w:sz w:val="22"/>
              </w:rPr>
            </w:pPr>
            <w:bookmarkStart w:id="1" w:name="ToCompany"/>
            <w:bookmarkEnd w:id="1"/>
            <w:r>
              <w:rPr>
                <w:rFonts w:cs="Century Gothic" w:ascii="Century Gothic" w:hAnsi="Century Gothic"/>
                <w:sz w:val="22"/>
              </w:rPr>
              <w:t>Arthur Andersen &amp; Co.</w:t>
            </w:r>
          </w:p>
        </w:tc>
      </w:tr>
      <w:tr>
        <w:trPr/>
        <w:tc>
          <w:tcPr>
            <w:tcW w:w="3168" w:type="dxa"/>
            <w:tcBorders/>
          </w:tcPr>
          <w:p>
            <w:pPr>
              <w:pStyle w:val="Normal"/>
              <w:jc w:val="end"/>
              <w:rPr>
                <w:sz w:val="18"/>
              </w:rPr>
            </w:pPr>
            <w:r>
              <w:rPr>
                <w:sz w:val="18"/>
              </w:rPr>
              <w:t>Fax:</w:t>
            </w:r>
          </w:p>
        </w:tc>
        <w:tc>
          <w:tcPr>
            <w:tcW w:w="4770" w:type="dxa"/>
            <w:tcBorders/>
          </w:tcPr>
          <w:p>
            <w:pPr>
              <w:pStyle w:val="ToFax"/>
              <w:rPr>
                <w:rFonts w:ascii="Century Gothic" w:hAnsi="Century Gothic" w:cs="Century Gothic"/>
                <w:b/>
                <w:sz w:val="22"/>
              </w:rPr>
            </w:pPr>
            <w:bookmarkStart w:id="2" w:name="ToFax"/>
            <w:bookmarkEnd w:id="2"/>
            <w:r>
              <w:rPr>
                <w:rFonts w:cs="Century Gothic" w:ascii="Century Gothic" w:hAnsi="Century Gothic"/>
                <w:b/>
                <w:sz w:val="22"/>
              </w:rPr>
              <w:t>011- 234-1-2692635</w:t>
            </w:r>
          </w:p>
        </w:tc>
      </w:tr>
      <w:tr>
        <w:trPr/>
        <w:tc>
          <w:tcPr>
            <w:tcW w:w="3168" w:type="dxa"/>
            <w:tcBorders/>
          </w:tcPr>
          <w:p>
            <w:pPr>
              <w:pStyle w:val="Normal"/>
              <w:jc w:val="end"/>
              <w:rPr>
                <w:sz w:val="18"/>
              </w:rPr>
            </w:pPr>
            <w:r>
              <w:rPr>
                <w:sz w:val="18"/>
              </w:rPr>
              <w:t>Phone:</w:t>
            </w:r>
          </w:p>
        </w:tc>
        <w:tc>
          <w:tcPr>
            <w:tcW w:w="4770" w:type="dxa"/>
            <w:tcBorders/>
          </w:tcPr>
          <w:p>
            <w:pPr>
              <w:pStyle w:val="ToPhone"/>
              <w:rPr>
                <w:rFonts w:ascii="Century Gothic" w:hAnsi="Century Gothic" w:cs="Century Gothic"/>
                <w:sz w:val="22"/>
              </w:rPr>
            </w:pPr>
            <w:bookmarkStart w:id="3" w:name="ToPhone"/>
            <w:bookmarkEnd w:id="3"/>
            <w:r>
              <w:rPr>
                <w:rFonts w:cs="Century Gothic" w:ascii="Century Gothic" w:hAnsi="Century Gothic"/>
                <w:sz w:val="22"/>
              </w:rPr>
              <w:t>011-234-1-2691248</w:t>
            </w:r>
          </w:p>
        </w:tc>
      </w:tr>
      <w:tr>
        <w:trPr/>
        <w:tc>
          <w:tcPr>
            <w:tcW w:w="3168" w:type="dxa"/>
            <w:tcBorders/>
          </w:tcPr>
          <w:p>
            <w:pPr>
              <w:pStyle w:val="Normal"/>
              <w:spacing w:before="360" w:after="0"/>
              <w:jc w:val="end"/>
              <w:rPr>
                <w:sz w:val="18"/>
              </w:rPr>
            </w:pPr>
            <w:r>
              <w:rPr>
                <w:sz w:val="18"/>
              </w:rPr>
              <w:t>From:</w:t>
            </w:r>
          </w:p>
        </w:tc>
        <w:tc>
          <w:tcPr>
            <w:tcW w:w="4770" w:type="dxa"/>
            <w:tcBorders/>
          </w:tcPr>
          <w:p>
            <w:pPr>
              <w:pStyle w:val="From"/>
              <w:spacing w:before="360" w:after="0"/>
              <w:rPr>
                <w:rFonts w:ascii="Century Gothic" w:hAnsi="Century Gothic" w:cs="Century Gothic"/>
                <w:sz w:val="22"/>
              </w:rPr>
            </w:pPr>
            <w:bookmarkStart w:id="4" w:name="From"/>
            <w:bookmarkEnd w:id="4"/>
            <w:r>
              <w:rPr>
                <w:rFonts w:cs="Century Gothic" w:ascii="Century Gothic" w:hAnsi="Century Gothic"/>
                <w:sz w:val="22"/>
              </w:rPr>
              <w:t>James MacCallon</w:t>
            </w:r>
          </w:p>
        </w:tc>
      </w:tr>
      <w:tr>
        <w:trPr/>
        <w:tc>
          <w:tcPr>
            <w:tcW w:w="3168" w:type="dxa"/>
            <w:tcBorders/>
          </w:tcPr>
          <w:p>
            <w:pPr>
              <w:pStyle w:val="Normal"/>
              <w:jc w:val="end"/>
              <w:rPr>
                <w:sz w:val="18"/>
              </w:rPr>
            </w:pPr>
            <w:r>
              <w:rPr>
                <w:sz w:val="18"/>
              </w:rPr>
              <w:t>Fax:</w:t>
            </w:r>
          </w:p>
        </w:tc>
        <w:tc>
          <w:tcPr>
            <w:tcW w:w="4770" w:type="dxa"/>
            <w:tcBorders/>
          </w:tcPr>
          <w:p>
            <w:pPr>
              <w:pStyle w:val="FromFax"/>
              <w:rPr>
                <w:rFonts w:ascii="Century Gothic" w:hAnsi="Century Gothic" w:cs="Century Gothic"/>
                <w:sz w:val="22"/>
              </w:rPr>
            </w:pPr>
            <w:bookmarkStart w:id="5" w:name="FromFax"/>
            <w:bookmarkEnd w:id="5"/>
            <w:r>
              <w:rPr>
                <w:rFonts w:cs="Century Gothic" w:ascii="Century Gothic" w:hAnsi="Century Gothic"/>
                <w:sz w:val="22"/>
              </w:rPr>
              <w:t>713-646-2532</w:t>
            </w:r>
          </w:p>
        </w:tc>
      </w:tr>
      <w:tr>
        <w:trPr/>
        <w:tc>
          <w:tcPr>
            <w:tcW w:w="3168" w:type="dxa"/>
            <w:tcBorders/>
          </w:tcPr>
          <w:p>
            <w:pPr>
              <w:pStyle w:val="Normal"/>
              <w:jc w:val="end"/>
              <w:rPr>
                <w:sz w:val="18"/>
              </w:rPr>
            </w:pPr>
            <w:r>
              <w:rPr>
                <w:sz w:val="18"/>
              </w:rPr>
              <w:t>Phone:</w:t>
            </w:r>
          </w:p>
        </w:tc>
        <w:tc>
          <w:tcPr>
            <w:tcW w:w="4770" w:type="dxa"/>
            <w:tcBorders/>
          </w:tcPr>
          <w:p>
            <w:pPr>
              <w:pStyle w:val="FromPhone"/>
              <w:rPr>
                <w:rFonts w:ascii="Century Gothic" w:hAnsi="Century Gothic" w:cs="Century Gothic"/>
                <w:sz w:val="22"/>
              </w:rPr>
            </w:pPr>
            <w:r>
              <w:rPr>
                <w:rFonts w:cs="Century Gothic" w:ascii="Century Gothic" w:hAnsi="Century Gothic"/>
                <w:sz w:val="22"/>
              </w:rPr>
              <w:t>713-345-5607</w:t>
            </w:r>
          </w:p>
        </w:tc>
      </w:tr>
      <w:tr>
        <w:trPr/>
        <w:tc>
          <w:tcPr>
            <w:tcW w:w="3168" w:type="dxa"/>
            <w:tcBorders/>
          </w:tcPr>
          <w:p>
            <w:pPr>
              <w:pStyle w:val="Normal"/>
              <w:jc w:val="end"/>
              <w:rPr>
                <w:sz w:val="18"/>
              </w:rPr>
            </w:pPr>
            <w:r>
              <w:rPr>
                <w:sz w:val="18"/>
              </w:rPr>
              <w:t>E-Mail Address:</w:t>
            </w:r>
          </w:p>
        </w:tc>
        <w:tc>
          <w:tcPr>
            <w:tcW w:w="4770" w:type="dxa"/>
            <w:tcBorders/>
          </w:tcPr>
          <w:p>
            <w:pPr>
              <w:pStyle w:val="FromPhone"/>
              <w:rPr>
                <w:rFonts w:ascii="Century Gothic" w:hAnsi="Century Gothic" w:cs="Century Gothic"/>
                <w:sz w:val="22"/>
              </w:rPr>
            </w:pPr>
            <w:bookmarkStart w:id="6" w:name="FromPhone"/>
            <w:bookmarkEnd w:id="6"/>
            <w:r>
              <w:rPr>
                <w:rFonts w:cs="Century Gothic" w:ascii="Century Gothic" w:hAnsi="Century Gothic"/>
                <w:sz w:val="22"/>
              </w:rPr>
              <w:t>Jmaccal@enron.com</w:t>
            </w:r>
          </w:p>
        </w:tc>
      </w:tr>
      <w:tr>
        <w:trPr/>
        <w:tc>
          <w:tcPr>
            <w:tcW w:w="3168" w:type="dxa"/>
            <w:tcBorders/>
          </w:tcPr>
          <w:p>
            <w:pPr>
              <w:pStyle w:val="Normal"/>
              <w:spacing w:before="360" w:after="0"/>
              <w:jc w:val="end"/>
              <w:rPr>
                <w:sz w:val="18"/>
              </w:rPr>
            </w:pPr>
            <w:r>
              <w:rPr>
                <w:sz w:val="18"/>
              </w:rPr>
              <w:t>Date:</w:t>
            </w:r>
          </w:p>
        </w:tc>
        <w:tc>
          <w:tcPr>
            <w:tcW w:w="4770" w:type="dxa"/>
            <w:tcBorders/>
          </w:tcPr>
          <w:p>
            <w:pPr>
              <w:pStyle w:val="Date"/>
              <w:spacing w:before="360" w:after="0"/>
              <w:rPr>
                <w:rFonts w:ascii="Century Gothic" w:hAnsi="Century Gothic" w:cs="Century Gothic"/>
                <w:color w:val="FF0000"/>
                <w:sz w:val="22"/>
              </w:rPr>
            </w:pPr>
            <w:bookmarkStart w:id="7" w:name="Date"/>
            <w:bookmarkEnd w:id="7"/>
            <w:r>
              <w:rPr>
                <w:rFonts w:cs="Century Gothic" w:ascii="Century Gothic" w:hAnsi="Century Gothic"/>
                <w:color w:val="FF0000"/>
                <w:sz w:val="22"/>
              </w:rPr>
              <w:fldChar w:fldCharType="begin"/>
            </w:r>
            <w:r>
              <w:rPr>
                <w:sz w:val="22"/>
                <w:rFonts w:cs="Century Gothic" w:ascii="Century Gothic" w:hAnsi="Century Gothic"/>
                <w:color w:val="FF0000"/>
              </w:rPr>
              <w:instrText xml:space="preserve"> DATE \@"dddd', 'MMMM\ dd', 'yyyy" </w:instrText>
            </w:r>
            <w:r>
              <w:rPr>
                <w:sz w:val="22"/>
                <w:rFonts w:cs="Century Gothic" w:ascii="Century Gothic" w:hAnsi="Century Gothic"/>
                <w:color w:val="FF0000"/>
              </w:rPr>
              <w:fldChar w:fldCharType="separate"/>
            </w:r>
            <w:r>
              <w:rPr>
                <w:sz w:val="22"/>
                <w:rFonts w:cs="Century Gothic" w:ascii="Century Gothic" w:hAnsi="Century Gothic"/>
                <w:color w:val="FF0000"/>
              </w:rPr>
              <w:t>Sunday, September 28, 2025</w:t>
            </w:r>
            <w:r>
              <w:rPr>
                <w:sz w:val="22"/>
                <w:rFonts w:cs="Century Gothic" w:ascii="Century Gothic" w:hAnsi="Century Gothic"/>
                <w:color w:val="FF0000"/>
              </w:rPr>
              <w:fldChar w:fldCharType="end"/>
            </w:r>
          </w:p>
        </w:tc>
      </w:tr>
      <w:tr>
        <w:trPr/>
        <w:tc>
          <w:tcPr>
            <w:tcW w:w="3168" w:type="dxa"/>
            <w:tcBorders/>
          </w:tcPr>
          <w:p>
            <w:pPr>
              <w:pStyle w:val="Normal"/>
              <w:jc w:val="end"/>
              <w:rPr>
                <w:sz w:val="18"/>
              </w:rPr>
            </w:pPr>
            <w:r>
              <w:rPr>
                <w:sz w:val="18"/>
              </w:rPr>
              <w:t>Pages (including cover):</w:t>
            </w:r>
          </w:p>
        </w:tc>
        <w:tc>
          <w:tcPr>
            <w:tcW w:w="4770" w:type="dxa"/>
            <w:tcBorders/>
          </w:tcPr>
          <w:p>
            <w:pPr>
              <w:pStyle w:val="Pages"/>
              <w:rPr>
                <w:rFonts w:ascii="Century Gothic" w:hAnsi="Century Gothic" w:cs="Century Gothic"/>
                <w:b/>
                <w:color w:val="FF0000"/>
                <w:sz w:val="22"/>
              </w:rPr>
            </w:pPr>
            <w:r>
              <w:rPr>
                <w:rFonts w:cs="Century Gothic" w:ascii="Century Gothic" w:hAnsi="Century Gothic"/>
                <w:b/>
                <w:color w:val="FF0000"/>
                <w:sz w:val="22"/>
              </w:rPr>
              <w:t>5</w:t>
            </w:r>
          </w:p>
        </w:tc>
      </w:tr>
      <w:tr>
        <w:trPr/>
        <w:tc>
          <w:tcPr>
            <w:tcW w:w="3168" w:type="dxa"/>
            <w:tcBorders/>
          </w:tcPr>
          <w:p>
            <w:pPr>
              <w:pStyle w:val="Normal"/>
              <w:snapToGrid w:val="false"/>
              <w:jc w:val="end"/>
              <w:rPr>
                <w:rFonts w:ascii="Century Gothic" w:hAnsi="Century Gothic" w:cs="Century Gothic"/>
                <w:b/>
                <w:color w:val="FF0000"/>
                <w:sz w:val="18"/>
              </w:rPr>
            </w:pPr>
            <w:r>
              <w:rPr>
                <w:rFonts w:cs="Century Gothic" w:ascii="Century Gothic" w:hAnsi="Century Gothic"/>
                <w:b/>
                <w:color w:val="FF0000"/>
                <w:sz w:val="18"/>
              </w:rPr>
            </w:r>
          </w:p>
        </w:tc>
        <w:tc>
          <w:tcPr>
            <w:tcW w:w="4770" w:type="dxa"/>
            <w:tcBorders/>
          </w:tcPr>
          <w:p>
            <w:pPr>
              <w:pStyle w:val="Pages"/>
              <w:snapToGrid w:val="false"/>
              <w:rPr>
                <w:rFonts w:ascii="Century Gothic" w:hAnsi="Century Gothic" w:cs="Century Gothic"/>
                <w:sz w:val="22"/>
              </w:rPr>
            </w:pPr>
            <w:r>
              <w:rPr>
                <w:rFonts w:cs="Century Gothic" w:ascii="Century Gothic" w:hAnsi="Century Gothic"/>
                <w:sz w:val="22"/>
              </w:rPr>
            </w:r>
          </w:p>
        </w:tc>
      </w:tr>
      <w:tr>
        <w:trPr/>
        <w:tc>
          <w:tcPr>
            <w:tcW w:w="3168" w:type="dxa"/>
            <w:tcBorders/>
          </w:tcPr>
          <w:p>
            <w:pPr>
              <w:pStyle w:val="Normal"/>
              <w:jc w:val="end"/>
              <w:rPr>
                <w:sz w:val="18"/>
              </w:rPr>
            </w:pPr>
            <w:r>
              <w:rPr>
                <w:sz w:val="18"/>
              </w:rPr>
              <w:t>Copies to:</w:t>
            </w:r>
          </w:p>
        </w:tc>
        <w:tc>
          <w:tcPr>
            <w:tcW w:w="4770" w:type="dxa"/>
            <w:tcBorders/>
          </w:tcPr>
          <w:p>
            <w:pPr>
              <w:pStyle w:val="Pages"/>
              <w:snapToGrid w:val="false"/>
              <w:rPr>
                <w:rFonts w:ascii="Century Gothic" w:hAnsi="Century Gothic" w:cs="Century Gothic"/>
                <w:sz w:val="22"/>
              </w:rPr>
            </w:pPr>
            <w:r>
              <w:rPr>
                <w:rFonts w:cs="Century Gothic" w:ascii="Century Gothic" w:hAnsi="Century Gothic"/>
                <w:sz w:val="22"/>
              </w:rPr>
            </w:r>
          </w:p>
        </w:tc>
      </w:tr>
      <w:tr>
        <w:trPr/>
        <w:tc>
          <w:tcPr>
            <w:tcW w:w="3168" w:type="dxa"/>
            <w:tcBorders/>
          </w:tcPr>
          <w:p>
            <w:pPr>
              <w:pStyle w:val="Normal"/>
              <w:snapToGrid w:val="false"/>
              <w:jc w:val="end"/>
              <w:rPr>
                <w:rFonts w:ascii="Century Gothic" w:hAnsi="Century Gothic" w:cs="Century Gothic"/>
                <w:sz w:val="18"/>
              </w:rPr>
            </w:pPr>
            <w:r>
              <w:rPr>
                <w:rFonts w:cs="Century Gothic" w:ascii="Century Gothic" w:hAnsi="Century Gothic"/>
                <w:sz w:val="18"/>
              </w:rPr>
            </w:r>
          </w:p>
        </w:tc>
        <w:tc>
          <w:tcPr>
            <w:tcW w:w="4770" w:type="dxa"/>
            <w:tcBorders/>
          </w:tcPr>
          <w:p>
            <w:pPr>
              <w:pStyle w:val="Pages"/>
              <w:snapToGrid w:val="false"/>
              <w:rPr>
                <w:rFonts w:ascii="Century Gothic" w:hAnsi="Century Gothic" w:cs="Century Gothic"/>
                <w:sz w:val="22"/>
              </w:rPr>
            </w:pPr>
            <w:r>
              <w:rPr>
                <w:rFonts w:cs="Century Gothic" w:ascii="Century Gothic" w:hAnsi="Century Gothic"/>
                <w:sz w:val="22"/>
              </w:rPr>
            </w:r>
          </w:p>
        </w:tc>
      </w:tr>
      <w:tr>
        <w:trPr/>
        <w:tc>
          <w:tcPr>
            <w:tcW w:w="3168" w:type="dxa"/>
            <w:tcBorders/>
          </w:tcPr>
          <w:p>
            <w:pPr>
              <w:pStyle w:val="Normal"/>
              <w:snapToGrid w:val="false"/>
              <w:jc w:val="end"/>
              <w:rPr>
                <w:rFonts w:ascii="Century Gothic" w:hAnsi="Century Gothic" w:cs="Century Gothic"/>
                <w:sz w:val="18"/>
              </w:rPr>
            </w:pPr>
            <w:r>
              <w:rPr>
                <w:rFonts w:cs="Century Gothic" w:ascii="Century Gothic" w:hAnsi="Century Gothic"/>
                <w:sz w:val="18"/>
              </w:rPr>
            </w:r>
          </w:p>
        </w:tc>
        <w:tc>
          <w:tcPr>
            <w:tcW w:w="4770" w:type="dxa"/>
            <w:tcBorders/>
          </w:tcPr>
          <w:p>
            <w:pPr>
              <w:pStyle w:val="Pages"/>
              <w:snapToGrid w:val="false"/>
              <w:rPr>
                <w:rFonts w:ascii="Century Gothic" w:hAnsi="Century Gothic" w:cs="Century Gothic"/>
                <w:sz w:val="22"/>
              </w:rPr>
            </w:pPr>
            <w:r>
              <w:rPr>
                <w:rFonts w:cs="Century Gothic" w:ascii="Century Gothic" w:hAnsi="Century Gothic"/>
                <w:sz w:val="22"/>
              </w:rPr>
            </w:r>
          </w:p>
        </w:tc>
      </w:tr>
    </w:tbl>
    <w:p>
      <w:pPr>
        <w:pStyle w:val="Normal"/>
        <w:jc w:val="both"/>
        <w:rPr>
          <w:rFonts w:ascii="Century Gothic" w:hAnsi="Century Gothic" w:cs="Century Gothic"/>
          <w:sz w:val="22"/>
        </w:rPr>
      </w:pPr>
      <w:r>
        <w:rPr>
          <w:rFonts w:cs="Century Gothic" w:ascii="Century Gothic" w:hAnsi="Century Gothic"/>
          <w:b/>
          <w:i/>
          <w:sz w:val="22"/>
        </w:rPr>
        <w:t>Subject:  Tax Advice for Enron’s Possible Role in Nigeria</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t>Enron requests your Firm’s assistance in structuring one of our business unit’s possible role in the Amenam/Kpono Development Project.  A brief discussion of the Project and Enron’s overall tax position follows:</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b/>
          <w:sz w:val="22"/>
          <w:u w:val="single"/>
        </w:rPr>
        <w:t>Project Description:</w:t>
      </w:r>
      <w:r>
        <w:rPr>
          <w:rFonts w:cs="Century Gothic" w:ascii="Century Gothic" w:hAnsi="Century Gothic"/>
          <w:sz w:val="22"/>
        </w:rPr>
        <w:t xml:space="preserve">  Enron Corp.’s engineering &amp; construction business unit (“Enron-E&amp;C”), intends to submit a bid to Elf Petroleum Nigeria, Ltd. for the engineering, procurement construction and installation of an offshore oil terminal.  The offshore oil terminal will either be a floating storage and offloading vessel (a FSO) or a floating storage unit (a FSU).  FSO’s/FSU’s are modified tankers, moored permanently in one spot and used to temporarily store oil from associated offshore production platforms.  Because this is a relatively new concept, many different companies will be utilized to deliver the completed project.  Also note that the successful bidder will operate and maintain the offshore terminal for a period of 5 years.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 xml:space="preserve">Enron will either submit the bid itself (through a subsidiary or business unit) or as a joint venture partner with a resident Nigerian corporation (taking advantage of the resident company’s longevity in and knowledge of the Nigerian oil and gas market).  It is anticipated the Project will require a number of months of activity within Nigeria including:  local materials procurement, installation, some project management/oversight and operation and maintenance of the facility.    Activities to be conducted </w:t>
      </w:r>
      <w:r>
        <w:rPr>
          <w:rFonts w:cs="Century Gothic" w:ascii="Century Gothic" w:hAnsi="Century Gothic"/>
          <w:sz w:val="22"/>
          <w:u w:val="single"/>
        </w:rPr>
        <w:t>outside</w:t>
      </w:r>
      <w:r>
        <w:rPr>
          <w:rFonts w:cs="Century Gothic" w:ascii="Century Gothic" w:hAnsi="Century Gothic"/>
          <w:sz w:val="22"/>
        </w:rPr>
        <w:t xml:space="preserve"> Nigeria will include: engineering, design, procurement services for imported equipment, supply of imported equipment and project management.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b/>
          <w:sz w:val="22"/>
          <w:u w:val="single"/>
        </w:rPr>
        <w:t>Enron and Project Structure:</w:t>
      </w:r>
      <w:r>
        <w:rPr>
          <w:rFonts w:cs="Century Gothic" w:ascii="Century Gothic" w:hAnsi="Century Gothic"/>
          <w:sz w:val="22"/>
        </w:rPr>
        <w:t xml:space="preserve">  While Enron-E&amp;C has its headquarters in the US (Houston, Texas), the Enron-E&amp;C business includes several US and non-US subsidiaries, including major subsidiaries in the US (i.e., Enron Engineering &amp; Construction Company (“EECC”)) and the UK (i.e., Enron Engineering Services (“EES”)).  The current intention of Enron-E&amp;C is to staff the Project out of EECC; however, staffing out of EES would be considered if there are specific and quantifiable Nigerian tax advantages to using a UK-resident entity.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Enron-E&amp;C often executes multiple contracts with its client covering activities such as US engineering &amp; project management, procurement of goods, local-country engineering, local-country procurement of goods, or local-country construction/installation.   The contracts are usually separated based on “offshore” (i.e., non-project country) activities versus “onshore” (i.e., project country activities).  Where practical, the offshore services (i.e., engineering, project management, etc.) are included within the import value of the offshore goods.</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 xml:space="preserve">Ideally, we would like to structure the contract so that the majority of the contract price is paid to non-resident companies with the main contract being signed by a non-resident Enron entity.  This Enron entity will sub-contract out the majority of the work to non-resident entities (engineering, hull construction, foreign equipment procurement, etc.), but will likely sub-contract out a portion of the work to resident companies (project oversight, installation, local content procurement, post-construction operation and maintenance, etc.).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b/>
          <w:sz w:val="22"/>
          <w:u w:val="single"/>
        </w:rPr>
        <w:t>Enron Tax Position:</w:t>
      </w:r>
      <w:r>
        <w:rPr>
          <w:rFonts w:cs="Century Gothic" w:ascii="Century Gothic" w:hAnsi="Century Gothic"/>
          <w:sz w:val="22"/>
        </w:rPr>
        <w:t xml:space="preserve">  The current US tax position for Enron Corp. (including EECC) does not allow for utilization of foreign tax credits.  Absent use of a US foreign tax credit, foreign income tax obligations of Enron Corp. and its US affiliates are </w:t>
      </w:r>
      <w:r>
        <w:rPr>
          <w:rFonts w:cs="Century Gothic" w:ascii="Century Gothic" w:hAnsi="Century Gothic"/>
          <w:sz w:val="22"/>
          <w:u w:val="single"/>
        </w:rPr>
        <w:t>deducted</w:t>
      </w:r>
      <w:r>
        <w:rPr>
          <w:rFonts w:cs="Century Gothic" w:ascii="Century Gothic" w:hAnsi="Century Gothic"/>
          <w:sz w:val="22"/>
        </w:rPr>
        <w:t xml:space="preserve"> in computing US taxable income.  The overall UK tax position of Enron’s European business unit (including EES) is in a similar state as foreign tax credits are not useable.  </w:t>
      </w:r>
      <w:r>
        <w:rPr>
          <w:rFonts w:cs="Century Gothic" w:ascii="Century Gothic" w:hAnsi="Century Gothic"/>
          <w:b/>
          <w:i/>
          <w:sz w:val="22"/>
        </w:rPr>
        <w:t>Because of Enron’s inability to utilize foreign tax credits, it is imperative the Project is structured to minimize local taxes, both direct and indirect.</w:t>
      </w:r>
      <w:r>
        <w:rPr>
          <w:rFonts w:cs="Century Gothic" w:ascii="Century Gothic" w:hAnsi="Century Gothic"/>
          <w:sz w:val="22"/>
        </w:rPr>
        <w:t xml:space="preserve">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b/>
          <w:sz w:val="22"/>
          <w:u w:val="single"/>
        </w:rPr>
        <w:t>Specific Questions:</w:t>
      </w:r>
      <w:r>
        <w:rPr>
          <w:rFonts w:cs="Century Gothic" w:ascii="Century Gothic" w:hAnsi="Century Gothic"/>
          <w:sz w:val="22"/>
        </w:rPr>
        <w:t xml:space="preserve">  Your consideration of the questions in Q&amp;A Sections A → C would greatly improve this Project’s chances of success.  Because of the often detailed nature of the questions and responses, your initial reply may be best accomplished by telephone.  However, we will ultimately require your responses in written form.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b/>
          <w:sz w:val="22"/>
        </w:rPr>
        <w:t>Q&amp;A Section A:  Local Tax Overview.</w:t>
      </w:r>
    </w:p>
    <w:p>
      <w:pPr>
        <w:pStyle w:val="Normal"/>
        <w:jc w:val="both"/>
        <w:rPr/>
      </w:pPr>
      <w:r>
        <w:rPr>
          <w:rFonts w:cs="Century Gothic" w:ascii="Century Gothic" w:hAnsi="Century Gothic"/>
          <w:sz w:val="22"/>
        </w:rPr>
        <w:t>A1.</w:t>
        <w:tab/>
        <w:t>What is the base upon which the corporate income tax rate is imposed (e.g., financial-basis net income, tax-basis net income, deemed profit, etc.)?</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A1a.</w:t>
        <w:tab/>
        <w:t>Is there any “minimum” profit level required or imputed?</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A1b.</w:t>
        <w:tab/>
        <w:t>Ignoring depreciation, what are the significant differences in financial versus</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tax-basis net income?  Past examples have included limitation on deductions for </w:t>
      </w:r>
    </w:p>
    <w:p>
      <w:pPr>
        <w:pStyle w:val="Normal"/>
        <w:ind w:firstLine="432" w:start="432" w:end="0"/>
        <w:jc w:val="both"/>
        <w:rPr>
          <w:rFonts w:ascii="Century Gothic" w:hAnsi="Century Gothic" w:cs="Century Gothic"/>
          <w:sz w:val="22"/>
        </w:rPr>
      </w:pPr>
      <w:r>
        <w:rPr>
          <w:rFonts w:cs="Century Gothic" w:ascii="Century Gothic" w:hAnsi="Century Gothic"/>
          <w:sz w:val="22"/>
        </w:rPr>
        <w:t>inter-company charges (G&amp;A allocation), fringe benefits/perquisites, etc.</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A1c.</w:t>
        <w:tab/>
        <w:t xml:space="preserve">In computing taxable income of the construction company, may the </w:t>
      </w:r>
    </w:p>
    <w:p>
      <w:pPr>
        <w:pStyle w:val="Normal"/>
        <w:ind w:firstLine="432" w:start="432" w:end="0"/>
        <w:jc w:val="both"/>
        <w:rPr>
          <w:rFonts w:ascii="Century Gothic" w:hAnsi="Century Gothic" w:cs="Century Gothic"/>
          <w:sz w:val="22"/>
        </w:rPr>
      </w:pPr>
      <w:r>
        <w:rPr>
          <w:rFonts w:cs="Century Gothic" w:ascii="Century Gothic" w:hAnsi="Century Gothic"/>
          <w:sz w:val="22"/>
        </w:rPr>
        <w:t>“</w:t>
      </w:r>
      <w:r>
        <w:rPr>
          <w:rFonts w:cs="Century Gothic" w:ascii="Century Gothic" w:hAnsi="Century Gothic"/>
          <w:sz w:val="22"/>
        </w:rPr>
        <w:t xml:space="preserve">completed-contract” method be used such that the tax liability on construction </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profits is not settled until the construction project is completed?  </w:t>
      </w:r>
    </w:p>
    <w:p>
      <w:pPr>
        <w:pStyle w:val="Normal"/>
        <w:numPr>
          <w:ilvl w:val="0"/>
          <w:numId w:val="2"/>
        </w:numPr>
        <w:ind w:hanging="144" w:start="1008" w:end="0"/>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 xml:space="preserve">If “yes,” is there an alternative tax system which requires earlier payment </w:t>
      </w:r>
    </w:p>
    <w:p>
      <w:pPr>
        <w:pStyle w:val="Normal"/>
        <w:numPr>
          <w:ilvl w:val="0"/>
          <w:numId w:val="0"/>
        </w:numPr>
        <w:ind w:hanging="0" w:start="864" w:end="0"/>
        <w:jc w:val="both"/>
        <w:rPr>
          <w:rFonts w:ascii="Century Gothic" w:hAnsi="Century Gothic" w:cs="Century Gothic"/>
          <w:sz w:val="22"/>
        </w:rPr>
      </w:pPr>
      <w:r>
        <w:rPr>
          <w:rFonts w:cs="Century Gothic" w:ascii="Century Gothic" w:hAnsi="Century Gothic"/>
          <w:sz w:val="22"/>
        </w:rPr>
        <w:t>of taxes under that alternative system?</w:t>
      </w:r>
    </w:p>
    <w:p>
      <w:pPr>
        <w:pStyle w:val="Normal"/>
        <w:numPr>
          <w:ilvl w:val="0"/>
          <w:numId w:val="2"/>
        </w:numPr>
        <w:ind w:hanging="144" w:start="1008" w:end="0"/>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 xml:space="preserve">If “no,” is the “percent-complete” method typically used to determine </w:t>
      </w:r>
    </w:p>
    <w:p>
      <w:pPr>
        <w:pStyle w:val="Normal"/>
        <w:ind w:start="864" w:end="0"/>
        <w:jc w:val="both"/>
        <w:rPr>
          <w:rFonts w:ascii="Century Gothic" w:hAnsi="Century Gothic" w:cs="Century Gothic"/>
          <w:sz w:val="22"/>
        </w:rPr>
      </w:pPr>
      <w:r>
        <w:rPr>
          <w:rFonts w:cs="Century Gothic" w:ascii="Century Gothic" w:hAnsi="Century Gothic"/>
          <w:sz w:val="22"/>
        </w:rPr>
        <w:t>annual tax liability from construction profits?</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A1d.</w:t>
        <w:tab/>
        <w:t>How are corporate income taxes paid (i.e., withholding at source (i.e., by client),</w:t>
      </w:r>
    </w:p>
    <w:p>
      <w:pPr>
        <w:pStyle w:val="Normal"/>
        <w:jc w:val="both"/>
        <w:rPr>
          <w:rFonts w:ascii="Century Gothic" w:hAnsi="Century Gothic" w:cs="Century Gothic"/>
          <w:sz w:val="22"/>
        </w:rPr>
      </w:pPr>
      <w:r>
        <w:rPr>
          <w:rFonts w:cs="Century Gothic" w:ascii="Century Gothic" w:hAnsi="Century Gothic"/>
          <w:sz w:val="22"/>
        </w:rPr>
        <w:tab/>
        <w:tab/>
        <w:t>periodic installments, etc.)?</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A1e.</w:t>
        <w:tab/>
        <w:t>What is the refund policy regarding over-withheld or over-paid income taxes?</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A2.</w:t>
        <w:tab/>
        <w:t xml:space="preserve">In general, are the offshore activities of Enron-E&amp;C subject to local corporate income tax (either on net income or </w:t>
      </w:r>
      <w:r>
        <w:rPr>
          <w:rFonts w:cs="Century Gothic" w:ascii="Century Gothic" w:hAnsi="Century Gothic"/>
          <w:i/>
          <w:sz w:val="22"/>
        </w:rPr>
        <w:t>deemed profit</w:t>
      </w:r>
      <w:r>
        <w:rPr>
          <w:rFonts w:cs="Century Gothic" w:ascii="Century Gothic" w:hAnsi="Century Gothic"/>
          <w:sz w:val="22"/>
        </w:rPr>
        <w:t xml:space="preserve">) if those offshore activities are performed by a non-resident corporation with no taxable presence or permanent establishment in Nigeria?  </w:t>
      </w:r>
    </w:p>
    <w:p>
      <w:pPr>
        <w:pStyle w:val="Normal"/>
        <w:ind w:firstLine="432" w:end="0"/>
        <w:jc w:val="both"/>
        <w:rPr>
          <w:rFonts w:ascii="Century Gothic" w:hAnsi="Century Gothic" w:cs="Century Gothic"/>
          <w:sz w:val="22"/>
        </w:rPr>
      </w:pPr>
      <w:r>
        <w:rPr>
          <w:rFonts w:cs="Century Gothic" w:ascii="Century Gothic" w:hAnsi="Century Gothic"/>
          <w:sz w:val="22"/>
        </w:rPr>
        <w:t>A2a.</w:t>
        <w:tab/>
        <w:t xml:space="preserve">What does the term “offshore construction” mean under the Nigerian tax </w:t>
      </w:r>
    </w:p>
    <w:p>
      <w:pPr>
        <w:pStyle w:val="Normal"/>
        <w:ind w:firstLine="432" w:start="864" w:end="0"/>
        <w:jc w:val="both"/>
        <w:rPr>
          <w:rFonts w:ascii="Century Gothic" w:hAnsi="Century Gothic" w:cs="Century Gothic"/>
          <w:sz w:val="22"/>
        </w:rPr>
      </w:pPr>
      <w:r>
        <w:rPr>
          <w:rFonts w:cs="Century Gothic" w:ascii="Century Gothic" w:hAnsi="Century Gothic"/>
          <w:sz w:val="22"/>
        </w:rPr>
        <w:t xml:space="preserve">code?  Does it mean outside the territorial waters of Nigeria or just “not on </w:t>
      </w:r>
    </w:p>
    <w:p>
      <w:pPr>
        <w:pStyle w:val="Normal"/>
        <w:ind w:start="1296" w:end="0"/>
        <w:jc w:val="both"/>
        <w:rPr>
          <w:rFonts w:ascii="Century Gothic" w:hAnsi="Century Gothic" w:cs="Century Gothic"/>
          <w:sz w:val="22"/>
        </w:rPr>
      </w:pPr>
      <w:r>
        <w:rPr>
          <w:rFonts w:cs="Century Gothic" w:ascii="Century Gothic" w:hAnsi="Century Gothic"/>
          <w:sz w:val="22"/>
        </w:rPr>
        <w:t>land”?</w:t>
      </w:r>
    </w:p>
    <w:p>
      <w:pPr>
        <w:pStyle w:val="Normal"/>
        <w:ind w:firstLine="432" w:end="0"/>
        <w:jc w:val="both"/>
        <w:rPr>
          <w:rFonts w:ascii="Century Gothic" w:hAnsi="Century Gothic" w:cs="Century Gothic"/>
          <w:sz w:val="22"/>
        </w:rPr>
      </w:pPr>
      <w:r>
        <w:rPr>
          <w:rFonts w:cs="Century Gothic" w:ascii="Century Gothic" w:hAnsi="Century Gothic"/>
          <w:sz w:val="22"/>
        </w:rPr>
        <w:t>A2b.</w:t>
        <w:tab/>
        <w:t xml:space="preserve">If a non-resident company manages an offshore project from outside Nigeria, </w:t>
      </w:r>
    </w:p>
    <w:p>
      <w:pPr>
        <w:pStyle w:val="Normal"/>
        <w:ind w:firstLine="432" w:start="864" w:end="0"/>
        <w:jc w:val="both"/>
        <w:rPr>
          <w:rFonts w:ascii="Century Gothic" w:hAnsi="Century Gothic" w:cs="Century Gothic"/>
          <w:sz w:val="22"/>
        </w:rPr>
      </w:pPr>
      <w:r>
        <w:rPr>
          <w:rFonts w:cs="Century Gothic" w:ascii="Century Gothic" w:hAnsi="Century Gothic"/>
          <w:sz w:val="22"/>
        </w:rPr>
        <w:t xml:space="preserve">is there any risk that this entity will be considered as establishing a </w:t>
      </w:r>
    </w:p>
    <w:p>
      <w:pPr>
        <w:pStyle w:val="Normal"/>
        <w:ind w:start="1296" w:end="0"/>
        <w:jc w:val="both"/>
        <w:rPr/>
      </w:pPr>
      <w:r>
        <w:rPr>
          <w:rFonts w:cs="Century Gothic" w:ascii="Century Gothic" w:hAnsi="Century Gothic"/>
          <w:sz w:val="22"/>
        </w:rPr>
        <w:t>permanent residence in Nigeria?</w:t>
      </w:r>
    </w:p>
    <w:p>
      <w:pPr>
        <w:pStyle w:val="Normal"/>
        <w:ind w:firstLine="432" w:end="0"/>
        <w:jc w:val="both"/>
        <w:rPr>
          <w:rFonts w:ascii="Century Gothic" w:hAnsi="Century Gothic" w:cs="Century Gothic"/>
          <w:sz w:val="22"/>
        </w:rPr>
      </w:pPr>
      <w:r>
        <w:rPr>
          <w:rFonts w:cs="Century Gothic" w:ascii="Century Gothic" w:hAnsi="Century Gothic"/>
          <w:sz w:val="22"/>
        </w:rPr>
        <w:t>A2c.</w:t>
        <w:tab/>
        <w:t xml:space="preserve">Same as A2b, but what if the company has 1-5 personnel in Nigeria to </w:t>
      </w:r>
    </w:p>
    <w:p>
      <w:pPr>
        <w:pStyle w:val="Normal"/>
        <w:ind w:firstLine="432" w:start="864" w:end="0"/>
        <w:jc w:val="both"/>
        <w:rPr/>
      </w:pPr>
      <w:r>
        <w:rPr>
          <w:rFonts w:cs="Century Gothic" w:ascii="Century Gothic" w:hAnsi="Century Gothic"/>
          <w:sz w:val="22"/>
        </w:rPr>
        <w:t>“</w:t>
      </w:r>
      <w:r>
        <w:rPr>
          <w:rFonts w:cs="Century Gothic" w:ascii="Century Gothic" w:hAnsi="Century Gothic"/>
          <w:sz w:val="22"/>
        </w:rPr>
        <w:t>oversee” the project?</w:t>
      </w:r>
    </w:p>
    <w:p>
      <w:pPr>
        <w:pStyle w:val="Normal"/>
        <w:ind w:firstLine="432" w:end="0"/>
        <w:jc w:val="both"/>
        <w:rPr>
          <w:rFonts w:ascii="Century Gothic" w:hAnsi="Century Gothic" w:cs="Century Gothic"/>
          <w:sz w:val="22"/>
        </w:rPr>
      </w:pPr>
      <w:r>
        <w:rPr>
          <w:rFonts w:cs="Century Gothic" w:ascii="Century Gothic" w:hAnsi="Century Gothic"/>
          <w:sz w:val="22"/>
        </w:rPr>
        <w:t>A2d.</w:t>
        <w:tab/>
        <w:t xml:space="preserve">Same as A2b, but what if a non-resident company contracts with a Nigerian </w:t>
      </w:r>
    </w:p>
    <w:p>
      <w:pPr>
        <w:pStyle w:val="Normal"/>
        <w:ind w:firstLine="432" w:start="864" w:end="0"/>
        <w:jc w:val="both"/>
        <w:rPr>
          <w:rFonts w:ascii="Century Gothic" w:hAnsi="Century Gothic" w:cs="Century Gothic"/>
          <w:sz w:val="22"/>
        </w:rPr>
      </w:pPr>
      <w:r>
        <w:rPr>
          <w:rFonts w:cs="Century Gothic" w:ascii="Century Gothic" w:hAnsi="Century Gothic"/>
          <w:sz w:val="22"/>
        </w:rPr>
        <w:t>company to oversee the project?</w:t>
      </w:r>
    </w:p>
    <w:p>
      <w:pPr>
        <w:pStyle w:val="Normal"/>
        <w:ind w:firstLine="432" w:end="0"/>
        <w:jc w:val="both"/>
        <w:rPr>
          <w:rFonts w:ascii="Century Gothic" w:hAnsi="Century Gothic" w:cs="Century Gothic"/>
          <w:sz w:val="22"/>
        </w:rPr>
      </w:pPr>
      <w:r>
        <w:rPr>
          <w:rFonts w:cs="Century Gothic" w:ascii="Century Gothic" w:hAnsi="Century Gothic"/>
          <w:sz w:val="22"/>
        </w:rPr>
        <w:t>A2e.</w:t>
        <w:tab/>
        <w:t xml:space="preserve">Same as A2d, but the Nigerian company is related to the non-resident </w:t>
      </w:r>
    </w:p>
    <w:p>
      <w:pPr>
        <w:pStyle w:val="Normal"/>
        <w:ind w:firstLine="432" w:start="864" w:end="0"/>
        <w:jc w:val="both"/>
        <w:rPr/>
      </w:pPr>
      <w:r>
        <w:rPr>
          <w:rFonts w:cs="Century Gothic" w:ascii="Century Gothic" w:hAnsi="Century Gothic"/>
          <w:sz w:val="22"/>
        </w:rPr>
        <w:t>company (e.g. a subsidiary)?</w:t>
      </w:r>
    </w:p>
    <w:p>
      <w:pPr>
        <w:pStyle w:val="Normal"/>
        <w:ind w:firstLine="432" w:end="0"/>
        <w:jc w:val="both"/>
        <w:rPr>
          <w:rFonts w:ascii="Century Gothic" w:hAnsi="Century Gothic" w:cs="Century Gothic"/>
          <w:sz w:val="22"/>
        </w:rPr>
      </w:pPr>
      <w:r>
        <w:rPr>
          <w:rFonts w:cs="Century Gothic" w:ascii="Century Gothic" w:hAnsi="Century Gothic"/>
          <w:sz w:val="22"/>
        </w:rPr>
        <w:t>A2f.</w:t>
        <w:tab/>
        <w:tab/>
        <w:t xml:space="preserve">If your reply to A2b – A2ae is “yes,” is the offshore activity taxed on a net </w:t>
      </w:r>
    </w:p>
    <w:p>
      <w:pPr>
        <w:pStyle w:val="Normal"/>
        <w:ind w:firstLine="432" w:start="864" w:end="0"/>
        <w:jc w:val="both"/>
        <w:rPr>
          <w:rFonts w:ascii="Century Gothic" w:hAnsi="Century Gothic" w:cs="Century Gothic"/>
          <w:sz w:val="22"/>
        </w:rPr>
      </w:pPr>
      <w:r>
        <w:rPr>
          <w:rFonts w:cs="Century Gothic" w:ascii="Century Gothic" w:hAnsi="Century Gothic"/>
          <w:sz w:val="22"/>
        </w:rPr>
        <w:t>income or deemed profit basis?</w:t>
      </w:r>
    </w:p>
    <w:p>
      <w:pPr>
        <w:pStyle w:val="Normal"/>
        <w:ind w:firstLine="432" w:start="864" w:end="0"/>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A3</w:t>
        <w:tab/>
        <w:t>Are non-resident companies who provide installation services to a prime contractor on a job performed on the continental shelf treated as a permanent resident subject to Nigerian taxation?  Is the company otherwise subject to Nigerian income taxes or deemed profit taxes?</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A4</w:t>
        <w:tab/>
        <w:t xml:space="preserve">Is there a time limit, headcount limit, or monetary limit, which is critical to the permanent establishment determination?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t>A5</w:t>
        <w:tab/>
        <w:t>If a non-resident company provides installation services to a resident or non-resident company on the continental shelf, is this subject to the “withholding taxes on services?</w:t>
      </w:r>
    </w:p>
    <w:p>
      <w:pPr>
        <w:pStyle w:val="Normal"/>
        <w:ind w:firstLine="432" w:end="0"/>
        <w:jc w:val="both"/>
        <w:rPr>
          <w:rFonts w:ascii="Century Gothic" w:hAnsi="Century Gothic" w:cs="Century Gothic"/>
          <w:sz w:val="22"/>
        </w:rPr>
      </w:pPr>
      <w:r>
        <w:rPr>
          <w:rFonts w:cs="Century Gothic" w:ascii="Century Gothic" w:hAnsi="Century Gothic"/>
          <w:sz w:val="22"/>
        </w:rPr>
        <w:t>A5a.</w:t>
        <w:tab/>
        <w:t>How does the non-resident company recover the withholdings?</w:t>
      </w:r>
    </w:p>
    <w:p>
      <w:pPr>
        <w:pStyle w:val="Normal"/>
        <w:ind w:firstLine="432" w:end="0"/>
        <w:jc w:val="both"/>
        <w:rPr>
          <w:rFonts w:ascii="Century Gothic" w:hAnsi="Century Gothic" w:cs="Century Gothic"/>
          <w:sz w:val="22"/>
        </w:rPr>
      </w:pPr>
      <w:r>
        <w:rPr>
          <w:rFonts w:cs="Century Gothic" w:ascii="Century Gothic" w:hAnsi="Century Gothic"/>
          <w:sz w:val="22"/>
        </w:rPr>
        <w:t>A5b.</w:t>
        <w:tab/>
        <w:t xml:space="preserve">Can the non-resident company obtain a withholding tax exemption service &amp; </w:t>
      </w:r>
    </w:p>
    <w:p>
      <w:pPr>
        <w:pStyle w:val="Normal"/>
        <w:ind w:firstLine="432" w:start="864" w:end="0"/>
        <w:jc w:val="both"/>
        <w:rPr>
          <w:rFonts w:ascii="Century Gothic" w:hAnsi="Century Gothic" w:cs="Century Gothic"/>
          <w:sz w:val="22"/>
        </w:rPr>
      </w:pPr>
      <w:r>
        <w:rPr>
          <w:rFonts w:cs="Century Gothic" w:ascii="Century Gothic" w:hAnsi="Century Gothic"/>
          <w:sz w:val="22"/>
        </w:rPr>
        <w:t>how?</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t>A6</w:t>
        <w:tab/>
        <w:t xml:space="preserve">If a Nigerian company subcontracts with a related company to procure material and equipment and the Nigerian company imports the material and equipment, is the material and equipment subject to VAT at the time of importation?  </w:t>
      </w:r>
    </w:p>
    <w:p>
      <w:pPr>
        <w:pStyle w:val="Normal"/>
        <w:ind w:firstLine="432" w:end="0"/>
        <w:jc w:val="both"/>
        <w:rPr>
          <w:rFonts w:ascii="Century Gothic" w:hAnsi="Century Gothic" w:cs="Century Gothic"/>
          <w:sz w:val="22"/>
        </w:rPr>
      </w:pPr>
      <w:r>
        <w:rPr>
          <w:rFonts w:cs="Century Gothic" w:ascii="Century Gothic" w:hAnsi="Century Gothic"/>
          <w:sz w:val="22"/>
        </w:rPr>
        <w:t>A6a.</w:t>
        <w:tab/>
        <w:t xml:space="preserve">Please verify that the material and equipment will be subject to VAT when it </w:t>
      </w:r>
    </w:p>
    <w:p>
      <w:pPr>
        <w:pStyle w:val="Normal"/>
        <w:ind w:firstLine="432" w:start="864" w:end="0"/>
        <w:jc w:val="both"/>
        <w:rPr>
          <w:rFonts w:ascii="Century Gothic" w:hAnsi="Century Gothic" w:cs="Century Gothic"/>
          <w:sz w:val="22"/>
        </w:rPr>
      </w:pPr>
      <w:r>
        <w:rPr>
          <w:rFonts w:cs="Century Gothic" w:ascii="Century Gothic" w:hAnsi="Century Gothic"/>
          <w:sz w:val="22"/>
        </w:rPr>
        <w:t>is sold to the customer (under the construction contract).</w:t>
      </w:r>
    </w:p>
    <w:p>
      <w:pPr>
        <w:pStyle w:val="Normal"/>
        <w:ind w:firstLine="432" w:end="0"/>
        <w:jc w:val="both"/>
        <w:rPr>
          <w:rFonts w:ascii="Century Gothic" w:hAnsi="Century Gothic" w:cs="Century Gothic"/>
          <w:sz w:val="22"/>
        </w:rPr>
      </w:pPr>
      <w:r>
        <w:rPr>
          <w:rFonts w:cs="Century Gothic" w:ascii="Century Gothic" w:hAnsi="Century Gothic"/>
          <w:sz w:val="22"/>
        </w:rPr>
        <w:t>A6b.</w:t>
        <w:tab/>
        <w:t>Same as A6, but what if the customer imports the material and equipment?</w:t>
      </w:r>
    </w:p>
    <w:p>
      <w:pPr>
        <w:pStyle w:val="Normal"/>
        <w:ind w:firstLine="432" w:end="0"/>
        <w:jc w:val="both"/>
        <w:rPr>
          <w:rFonts w:ascii="Century Gothic" w:hAnsi="Century Gothic" w:cs="Century Gothic"/>
          <w:sz w:val="22"/>
        </w:rPr>
      </w:pPr>
      <w:r>
        <w:rPr>
          <w:rFonts w:cs="Century Gothic" w:ascii="Century Gothic" w:hAnsi="Century Gothic"/>
          <w:sz w:val="22"/>
        </w:rPr>
        <w:t>A6c.</w:t>
        <w:tab/>
        <w:t xml:space="preserve">Do you know if Elf has an import duties exemption?  </w:t>
      </w:r>
    </w:p>
    <w:p>
      <w:pPr>
        <w:pStyle w:val="Normal"/>
        <w:ind w:firstLine="432" w:end="0"/>
        <w:jc w:val="both"/>
        <w:rPr>
          <w:rFonts w:ascii="Century Gothic" w:hAnsi="Century Gothic" w:cs="Century Gothic"/>
          <w:sz w:val="22"/>
        </w:rPr>
      </w:pPr>
      <w:r>
        <w:rPr>
          <w:rFonts w:cs="Century Gothic" w:ascii="Century Gothic" w:hAnsi="Century Gothic"/>
          <w:sz w:val="22"/>
        </w:rPr>
        <w:t>A6d.</w:t>
        <w:tab/>
        <w:t>If yes to A6c, how can Enron take advantage of this fact?</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t>A7</w:t>
        <w:tab/>
        <w:t xml:space="preserve">If a non-resident company provides installation services to a resident company on the continental shelf, is this VATable?  </w:t>
      </w:r>
    </w:p>
    <w:p>
      <w:pPr>
        <w:pStyle w:val="Normal"/>
        <w:ind w:firstLine="432" w:end="0"/>
        <w:jc w:val="both"/>
        <w:rPr>
          <w:rFonts w:ascii="Century Gothic" w:hAnsi="Century Gothic" w:cs="Century Gothic"/>
          <w:sz w:val="22"/>
        </w:rPr>
      </w:pPr>
      <w:r>
        <w:rPr>
          <w:rFonts w:cs="Century Gothic" w:ascii="Century Gothic" w:hAnsi="Century Gothic"/>
          <w:sz w:val="22"/>
        </w:rPr>
        <w:t>A7a.</w:t>
        <w:tab/>
        <w:t xml:space="preserve">Same as A7, but does the value of the services go into the importation value </w:t>
      </w:r>
    </w:p>
    <w:p>
      <w:pPr>
        <w:pStyle w:val="Normal"/>
        <w:ind w:firstLine="432" w:start="864" w:end="0"/>
        <w:jc w:val="both"/>
        <w:rPr/>
      </w:pPr>
      <w:r>
        <w:rPr>
          <w:rFonts w:cs="Century Gothic" w:ascii="Century Gothic" w:hAnsi="Century Gothic"/>
          <w:sz w:val="22"/>
        </w:rPr>
        <w:t>of the equipment?</w:t>
      </w:r>
    </w:p>
    <w:p>
      <w:pPr>
        <w:pStyle w:val="Normal"/>
        <w:ind w:firstLine="432" w:end="0"/>
        <w:jc w:val="both"/>
        <w:rPr>
          <w:rFonts w:ascii="Century Gothic" w:hAnsi="Century Gothic" w:cs="Century Gothic"/>
          <w:sz w:val="22"/>
        </w:rPr>
      </w:pPr>
      <w:r>
        <w:rPr>
          <w:rFonts w:cs="Century Gothic" w:ascii="Century Gothic" w:hAnsi="Century Gothic"/>
          <w:sz w:val="22"/>
        </w:rPr>
        <w:t>A7b.</w:t>
        <w:tab/>
        <w:t>Same as A7, but what if a non-resident company provides services to a non-</w:t>
      </w:r>
    </w:p>
    <w:p>
      <w:pPr>
        <w:pStyle w:val="Normal"/>
        <w:ind w:firstLine="432" w:start="864" w:end="0"/>
        <w:jc w:val="both"/>
        <w:rPr/>
      </w:pPr>
      <w:r>
        <w:rPr>
          <w:rFonts w:cs="Century Gothic" w:ascii="Century Gothic" w:hAnsi="Century Gothic"/>
          <w:sz w:val="22"/>
        </w:rPr>
        <w:t>resident company?</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A8.</w:t>
        <w:tab/>
        <w:t>If local taxes include a tax imposed on gross receipts (other than value added tax discussed below) what is typically the base upon which the tax rate is applied?</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A8a.</w:t>
        <w:tab/>
        <w:t xml:space="preserve">May the gross receipts base amount be reduced by amounts Enron E&amp;C pays to </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Subcontractors or amounts received by Enron-E&amp;C as a reimbursement for </w:t>
      </w:r>
    </w:p>
    <w:p>
      <w:pPr>
        <w:pStyle w:val="Normal"/>
        <w:ind w:start="864" w:end="0"/>
        <w:jc w:val="both"/>
        <w:rPr/>
      </w:pPr>
      <w:r>
        <w:rPr>
          <w:rFonts w:cs="Century Gothic" w:ascii="Century Gothic" w:hAnsi="Century Gothic"/>
          <w:sz w:val="22"/>
        </w:rPr>
        <w:t>payments on behalf of is client?</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A8b.</w:t>
        <w:tab/>
        <w:t xml:space="preserve">Is it acceptable in Nigeria to reduce the prime contractor’s gross </w:t>
      </w:r>
    </w:p>
    <w:p>
      <w:pPr>
        <w:pStyle w:val="Normal"/>
        <w:ind w:firstLine="432" w:start="432" w:end="0"/>
        <w:jc w:val="both"/>
        <w:rPr/>
      </w:pPr>
      <w:r>
        <w:rPr>
          <w:rFonts w:cs="Century Gothic" w:ascii="Century Gothic" w:hAnsi="Century Gothic"/>
          <w:sz w:val="22"/>
        </w:rPr>
        <w:t xml:space="preserve">receipts by executing the prime contract such that the </w:t>
      </w:r>
      <w:r>
        <w:rPr>
          <w:rFonts w:cs="Century Gothic" w:ascii="Century Gothic" w:hAnsi="Century Gothic"/>
          <w:sz w:val="22"/>
          <w:u w:val="single"/>
        </w:rPr>
        <w:t>sub</w:t>
      </w:r>
      <w:r>
        <w:rPr>
          <w:rFonts w:cs="Century Gothic" w:ascii="Century Gothic" w:hAnsi="Century Gothic"/>
          <w:sz w:val="22"/>
        </w:rPr>
        <w:t xml:space="preserve">contractor or vendor </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directly invoices the client and the client directly pays the subcontractor, but only  </w:t>
      </w:r>
    </w:p>
    <w:p>
      <w:pPr>
        <w:pStyle w:val="Normal"/>
        <w:ind w:firstLine="432" w:start="432" w:end="0"/>
        <w:jc w:val="both"/>
        <w:rPr>
          <w:rFonts w:ascii="Century Gothic" w:hAnsi="Century Gothic" w:cs="Century Gothic"/>
          <w:sz w:val="22"/>
        </w:rPr>
      </w:pPr>
      <w:r>
        <w:rPr>
          <w:rFonts w:cs="Century Gothic" w:ascii="Century Gothic" w:hAnsi="Century Gothic"/>
          <w:sz w:val="22"/>
        </w:rPr>
        <w:t>after the prime contractor’s approval of the invoice?  Does this technique reduce</w:t>
      </w:r>
    </w:p>
    <w:p>
      <w:pPr>
        <w:pStyle w:val="Normal"/>
        <w:ind w:firstLine="432" w:start="432" w:end="0"/>
        <w:jc w:val="both"/>
        <w:rPr>
          <w:rFonts w:ascii="Century Gothic" w:hAnsi="Century Gothic" w:cs="Century Gothic"/>
          <w:sz w:val="22"/>
        </w:rPr>
      </w:pPr>
      <w:r>
        <w:rPr>
          <w:rFonts w:cs="Century Gothic" w:ascii="Century Gothic" w:hAnsi="Century Gothic"/>
          <w:sz w:val="22"/>
        </w:rPr>
        <w:t>the prime contractor’s gross receipts and thereby lower the gross receipts tax?</w:t>
      </w:r>
    </w:p>
    <w:p>
      <w:pPr>
        <w:pStyle w:val="Normal"/>
        <w:ind w:firstLine="432" w:start="432" w:end="0"/>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A9.</w:t>
        <w:tab/>
        <w:t>With respect to customs/import duties, does the project country subscribe to the GATT/WTO valuation rules and system of classifying goods?</w:t>
      </w:r>
    </w:p>
    <w:p>
      <w:pPr>
        <w:pStyle w:val="Normal"/>
        <w:jc w:val="both"/>
        <w:rPr/>
      </w:pPr>
      <w:r>
        <w:rPr>
          <w:rFonts w:eastAsia="Century Gothic" w:cs="Century Gothic" w:ascii="Century Gothic" w:hAnsi="Century Gothic"/>
          <w:sz w:val="22"/>
        </w:rPr>
        <w:t xml:space="preserve">   </w:t>
      </w:r>
      <w:r>
        <w:rPr>
          <w:rFonts w:cs="Century Gothic" w:ascii="Century Gothic" w:hAnsi="Century Gothic"/>
          <w:sz w:val="22"/>
        </w:rPr>
        <w:t>A9a.</w:t>
        <w:tab/>
        <w:t>Outside of “CIF” (</w:t>
      </w:r>
      <w:r>
        <w:rPr>
          <w:rFonts w:cs="Century Gothic" w:ascii="Century Gothic" w:hAnsi="Century Gothic"/>
          <w:b/>
          <w:sz w:val="22"/>
        </w:rPr>
        <w:t>C</w:t>
      </w:r>
      <w:r>
        <w:rPr>
          <w:rFonts w:cs="Century Gothic" w:ascii="Century Gothic" w:hAnsi="Century Gothic"/>
          <w:sz w:val="22"/>
        </w:rPr>
        <w:t xml:space="preserve">ost + </w:t>
      </w:r>
      <w:r>
        <w:rPr>
          <w:rFonts w:cs="Century Gothic" w:ascii="Century Gothic" w:hAnsi="Century Gothic"/>
          <w:b/>
          <w:sz w:val="22"/>
        </w:rPr>
        <w:t>I</w:t>
      </w:r>
      <w:r>
        <w:rPr>
          <w:rFonts w:cs="Century Gothic" w:ascii="Century Gothic" w:hAnsi="Century Gothic"/>
          <w:sz w:val="22"/>
        </w:rPr>
        <w:t xml:space="preserve">nsurance + </w:t>
      </w:r>
      <w:r>
        <w:rPr>
          <w:rFonts w:cs="Century Gothic" w:ascii="Century Gothic" w:hAnsi="Century Gothic"/>
          <w:b/>
          <w:sz w:val="22"/>
        </w:rPr>
        <w:t>F</w:t>
      </w:r>
      <w:r>
        <w:rPr>
          <w:rFonts w:cs="Century Gothic" w:ascii="Century Gothic" w:hAnsi="Century Gothic"/>
          <w:sz w:val="22"/>
        </w:rPr>
        <w:t>reight) what other adjustments are made</w:t>
      </w:r>
    </w:p>
    <w:p>
      <w:pPr>
        <w:pStyle w:val="Normal"/>
        <w:ind w:firstLine="432" w:start="432" w:end="0"/>
        <w:jc w:val="both"/>
        <w:rPr>
          <w:rFonts w:ascii="Century Gothic" w:hAnsi="Century Gothic" w:cs="Century Gothic"/>
          <w:sz w:val="22"/>
        </w:rPr>
      </w:pPr>
      <w:r>
        <w:rPr>
          <w:rFonts w:cs="Century Gothic" w:ascii="Century Gothic" w:hAnsi="Century Gothic"/>
          <w:sz w:val="22"/>
        </w:rPr>
        <w:t>to the base upon which the duty rates are applied?  Past “adjustments”</w:t>
      </w:r>
    </w:p>
    <w:p>
      <w:pPr>
        <w:pStyle w:val="Normal"/>
        <w:ind w:firstLine="432" w:start="432" w:end="0"/>
        <w:jc w:val="both"/>
        <w:rPr>
          <w:rFonts w:ascii="Century Gothic" w:hAnsi="Century Gothic" w:cs="Century Gothic"/>
          <w:sz w:val="22"/>
        </w:rPr>
      </w:pPr>
      <w:r>
        <w:rPr>
          <w:rFonts w:cs="Century Gothic" w:ascii="Century Gothic" w:hAnsi="Century Gothic"/>
          <w:sz w:val="22"/>
        </w:rPr>
        <w:t>have included “landing charge,” standard insurance factor, etc.</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A9b.</w:t>
        <w:tab/>
        <w:t xml:space="preserve">While it is understood exact descriptions or harmonized tariff codes are </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Necessary for complete accuracy, what are the common rates (or ranges) for </w:t>
      </w:r>
    </w:p>
    <w:p>
      <w:pPr>
        <w:pStyle w:val="Normal"/>
        <w:ind w:start="864" w:end="0"/>
        <w:jc w:val="both"/>
        <w:rPr/>
      </w:pPr>
      <w:r>
        <w:rPr>
          <w:rFonts w:cs="Century Gothic" w:ascii="Century Gothic" w:hAnsi="Century Gothic"/>
          <w:sz w:val="22"/>
        </w:rPr>
        <w:t>Capital goods used in the energy infrastructure industry (e.g., gas turbines, compressors, generators, gas pipeline, etc.)?</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A9c.</w:t>
        <w:tab/>
        <w:t xml:space="preserve">Describe any customs clearance or storage fees that are typically in addition </w:t>
      </w:r>
    </w:p>
    <w:p>
      <w:pPr>
        <w:pStyle w:val="Normal"/>
        <w:ind w:firstLine="432" w:start="432" w:end="0"/>
        <w:jc w:val="both"/>
        <w:rPr>
          <w:rFonts w:ascii="Century Gothic" w:hAnsi="Century Gothic" w:cs="Century Gothic"/>
          <w:sz w:val="22"/>
        </w:rPr>
      </w:pPr>
      <w:r>
        <w:rPr>
          <w:rFonts w:cs="Century Gothic" w:ascii="Century Gothic" w:hAnsi="Century Gothic"/>
          <w:sz w:val="22"/>
        </w:rPr>
        <w:t>to the duty cost of imported goods.</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A9d.</w:t>
        <w:tab/>
        <w:t xml:space="preserve">Describe the customs system (i.e., duty assessment, duty drawback, etc.) as it </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applies to the temporary import of construction equipment.  Include explanation </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of how temporary-import equipment is valued at its import and at its subsequent </w:t>
      </w:r>
    </w:p>
    <w:p>
      <w:pPr>
        <w:pStyle w:val="Normal"/>
        <w:ind w:firstLine="432" w:start="432" w:end="0"/>
        <w:jc w:val="both"/>
        <w:rPr>
          <w:rFonts w:ascii="Century Gothic" w:hAnsi="Century Gothic" w:cs="Century Gothic"/>
          <w:sz w:val="22"/>
        </w:rPr>
      </w:pPr>
      <w:r>
        <w:rPr>
          <w:rFonts w:cs="Century Gothic" w:ascii="Century Gothic" w:hAnsi="Century Gothic"/>
          <w:sz w:val="22"/>
        </w:rPr>
        <w:t>re-export.</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b/>
          <w:sz w:val="22"/>
        </w:rPr>
      </w:pPr>
      <w:r>
        <w:rPr>
          <w:rFonts w:cs="Century Gothic" w:ascii="Century Gothic" w:hAnsi="Century Gothic"/>
          <w:b/>
          <w:sz w:val="22"/>
        </w:rPr>
        <w:t>Section B:  Choice of Entity and Contract Structure.</w:t>
      </w:r>
    </w:p>
    <w:p>
      <w:pPr>
        <w:pStyle w:val="Normal"/>
        <w:jc w:val="both"/>
        <w:rPr/>
      </w:pPr>
      <w:r>
        <w:rPr>
          <w:rFonts w:cs="Century Gothic" w:ascii="Century Gothic" w:hAnsi="Century Gothic"/>
          <w:sz w:val="22"/>
        </w:rPr>
        <w:t>B1.</w:t>
        <w:tab/>
        <w:t>Are there special tax considerations if Enron-E&amp;C joint ventures with one-or-more unrelated companies to perform the onshore and offshore portions of the project?</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B2.</w:t>
        <w:tab/>
        <w:t xml:space="preserve">Within Nigeria, is the use of </w:t>
      </w:r>
      <w:r>
        <w:rPr>
          <w:rFonts w:cs="Century Gothic" w:ascii="Century Gothic" w:hAnsi="Century Gothic"/>
          <w:i/>
          <w:sz w:val="22"/>
        </w:rPr>
        <w:t>split contracts</w:t>
      </w:r>
      <w:r>
        <w:rPr>
          <w:rFonts w:cs="Century Gothic" w:ascii="Century Gothic" w:hAnsi="Century Gothic"/>
          <w:sz w:val="22"/>
        </w:rPr>
        <w:t xml:space="preserve"> accepted within the construction/oil and gas industry?</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B3.</w:t>
        <w:tab/>
        <w:t xml:space="preserve">For foreign entities without local registration, what is the threshold (ignoring Tax Treaties) at which the foreign entity is considered to have a </w:t>
      </w:r>
      <w:r>
        <w:rPr>
          <w:rFonts w:cs="Century Gothic" w:ascii="Century Gothic" w:hAnsi="Century Gothic"/>
          <w:i/>
          <w:sz w:val="22"/>
        </w:rPr>
        <w:t>taxable presence</w:t>
      </w:r>
      <w:r>
        <w:rPr>
          <w:rFonts w:cs="Century Gothic" w:ascii="Century Gothic" w:hAnsi="Century Gothic"/>
          <w:sz w:val="22"/>
        </w:rPr>
        <w:t>?</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pPr>
      <w:r>
        <w:rPr>
          <w:rFonts w:cs="Century Gothic" w:ascii="Century Gothic" w:hAnsi="Century Gothic"/>
          <w:sz w:val="22"/>
        </w:rPr>
        <w:t>B4.</w:t>
        <w:tab/>
        <w:t>Regarding payment by client for offshore services (as opposed to supply of goods), are such payments subject to withholding tax?</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b/>
          <w:sz w:val="22"/>
        </w:rPr>
        <w:t>Section C:  Locally Required Financial Accounts &amp; Audits.</w:t>
      </w:r>
    </w:p>
    <w:p>
      <w:pPr>
        <w:pStyle w:val="Normal"/>
        <w:jc w:val="both"/>
        <w:rPr/>
      </w:pPr>
      <w:r>
        <w:rPr>
          <w:rFonts w:cs="Century Gothic" w:ascii="Century Gothic" w:hAnsi="Century Gothic"/>
          <w:sz w:val="22"/>
        </w:rPr>
        <w:t>C1.</w:t>
        <w:tab/>
        <w:t>Is the onshore entity (local corporation or Branch) required to maintain local books and records to record its transactions?</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C1a.</w:t>
        <w:tab/>
        <w:t xml:space="preserve">If reply to D1 is “yes,” must these accounts be prepared and kept locally or </w:t>
      </w:r>
    </w:p>
    <w:p>
      <w:pPr>
        <w:pStyle w:val="Normal"/>
        <w:ind w:firstLine="432" w:start="432" w:end="0"/>
        <w:jc w:val="both"/>
        <w:rPr>
          <w:rFonts w:ascii="Century Gothic" w:hAnsi="Century Gothic" w:cs="Century Gothic"/>
          <w:sz w:val="22"/>
        </w:rPr>
      </w:pPr>
      <w:r>
        <w:rPr>
          <w:rFonts w:cs="Century Gothic" w:ascii="Century Gothic" w:hAnsi="Century Gothic"/>
          <w:sz w:val="22"/>
        </w:rPr>
        <w:t>can they be prepared at the head office and provided on an as-needed basis?</w:t>
      </w:r>
    </w:p>
    <w:p>
      <w:pPr>
        <w:pStyle w:val="Normal"/>
        <w:jc w:val="both"/>
        <w:rPr>
          <w:rFonts w:ascii="Century Gothic" w:hAnsi="Century Gothic" w:cs="Century Gothic"/>
          <w:sz w:val="22"/>
        </w:rPr>
      </w:pPr>
      <w:r>
        <w:rPr>
          <w:rFonts w:eastAsia="Century Gothic" w:cs="Century Gothic" w:ascii="Century Gothic" w:hAnsi="Century Gothic"/>
          <w:sz w:val="22"/>
        </w:rPr>
        <w:t xml:space="preserve">   </w:t>
      </w:r>
      <w:r>
        <w:rPr>
          <w:rFonts w:cs="Century Gothic" w:ascii="Century Gothic" w:hAnsi="Century Gothic"/>
          <w:sz w:val="22"/>
        </w:rPr>
        <w:t>C1b.</w:t>
        <w:tab/>
        <w:t xml:space="preserve">If reply to D1 is “yes,” must these accounts be maintained in local currency and if </w:t>
      </w:r>
    </w:p>
    <w:p>
      <w:pPr>
        <w:pStyle w:val="Normal"/>
        <w:ind w:firstLine="432" w:start="432" w:end="0"/>
        <w:jc w:val="both"/>
        <w:rPr>
          <w:rFonts w:ascii="Century Gothic" w:hAnsi="Century Gothic" w:cs="Century Gothic"/>
          <w:sz w:val="22"/>
        </w:rPr>
      </w:pPr>
      <w:r>
        <w:rPr>
          <w:rFonts w:cs="Century Gothic" w:ascii="Century Gothic" w:hAnsi="Century Gothic"/>
          <w:sz w:val="22"/>
        </w:rPr>
        <w:t xml:space="preserve">so, are there specific rules mandating how US dollar transactions are converted </w:t>
      </w:r>
    </w:p>
    <w:p>
      <w:pPr>
        <w:pStyle w:val="Normal"/>
        <w:ind w:start="864" w:end="0"/>
        <w:jc w:val="both"/>
        <w:rPr>
          <w:rFonts w:ascii="Century Gothic" w:hAnsi="Century Gothic" w:cs="Century Gothic"/>
          <w:sz w:val="22"/>
        </w:rPr>
      </w:pPr>
      <w:r>
        <w:rPr>
          <w:rFonts w:cs="Century Gothic" w:ascii="Century Gothic" w:hAnsi="Century Gothic"/>
          <w:sz w:val="22"/>
        </w:rPr>
        <w:t>to local currency?</w:t>
      </w:r>
    </w:p>
    <w:p>
      <w:pPr>
        <w:pStyle w:val="Normal"/>
        <w:jc w:val="both"/>
        <w:rPr/>
      </w:pPr>
      <w:r>
        <w:rPr>
          <w:rFonts w:cs="Century Gothic" w:ascii="Century Gothic" w:hAnsi="Century Gothic"/>
          <w:sz w:val="22"/>
        </w:rPr>
        <w:t>C2.</w:t>
        <w:tab/>
        <w:t>Is the onshore entity required to obtain an annual audit of its books and records in order to comply with local registration requirements (i.e., so called “statutory audit” requirements)?</w:t>
      </w:r>
    </w:p>
    <w:p>
      <w:pPr>
        <w:pStyle w:val="Normal"/>
        <w:jc w:val="both"/>
        <w:rPr/>
      </w:pPr>
      <w:r>
        <w:rPr>
          <w:rFonts w:cs="Century Gothic" w:ascii="Century Gothic" w:hAnsi="Century Gothic"/>
          <w:sz w:val="22"/>
        </w:rPr>
        <w:t>C3.</w:t>
        <w:tab/>
        <w:t xml:space="preserve">Is the onshore entity required to obtain an annual audit to support its tax-basis net income?  </w:t>
      </w:r>
    </w:p>
    <w:p>
      <w:pPr>
        <w:pStyle w:val="Normal"/>
        <w:jc w:val="both"/>
        <w:rPr/>
      </w:pPr>
      <w:r>
        <w:rPr>
          <w:rFonts w:cs="Century Gothic" w:ascii="Century Gothic" w:hAnsi="Century Gothic"/>
          <w:sz w:val="22"/>
        </w:rPr>
        <w:t>C4.</w:t>
        <w:tab/>
        <w:t xml:space="preserve">If reply to both D2 and D3 is “yes,” are  </w:t>
      </w:r>
      <w:r>
        <w:rPr>
          <w:rFonts w:cs="Century Gothic" w:ascii="Century Gothic" w:hAnsi="Century Gothic"/>
          <w:sz w:val="22"/>
          <w:u w:val="single"/>
        </w:rPr>
        <w:t>separate</w:t>
      </w:r>
      <w:r>
        <w:rPr>
          <w:rFonts w:cs="Century Gothic" w:ascii="Century Gothic" w:hAnsi="Century Gothic"/>
          <w:sz w:val="22"/>
        </w:rPr>
        <w:t xml:space="preserve"> audits required or does the statutory audit also support the tax-basis net income ?</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t>Regards,</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sz w:val="22"/>
        </w:rPr>
      </w:pPr>
      <w:r>
        <w:rPr>
          <w:rFonts w:cs="Century Gothic" w:ascii="Century Gothic" w:hAnsi="Century Gothic"/>
          <w:sz w:val="22"/>
        </w:rPr>
        <w:t xml:space="preserve">____________________________                         </w:t>
      </w:r>
    </w:p>
    <w:p>
      <w:pPr>
        <w:pStyle w:val="Normal"/>
        <w:jc w:val="both"/>
        <w:rPr>
          <w:rFonts w:ascii="Century Gothic" w:hAnsi="Century Gothic" w:cs="Century Gothic"/>
          <w:sz w:val="22"/>
        </w:rPr>
      </w:pPr>
      <w:r>
        <w:rPr>
          <w:rFonts w:cs="Century Gothic" w:ascii="Century Gothic" w:hAnsi="Century Gothic"/>
          <w:sz w:val="22"/>
        </w:rPr>
        <w:t>James MacCallon</w:t>
      </w:r>
    </w:p>
    <w:p>
      <w:pPr>
        <w:pStyle w:val="Normal"/>
        <w:jc w:val="both"/>
        <w:rPr>
          <w:rFonts w:ascii="Century Gothic" w:hAnsi="Century Gothic" w:cs="Century Gothic"/>
          <w:sz w:val="22"/>
        </w:rPr>
      </w:pPr>
      <w:r>
        <w:rPr>
          <w:rFonts w:cs="Century Gothic" w:ascii="Century Gothic" w:hAnsi="Century Gothic"/>
          <w:sz w:val="22"/>
        </w:rPr>
        <w:t>Enron International Tax</w:t>
      </w:r>
    </w:p>
    <w:p>
      <w:pPr>
        <w:pStyle w:val="Normal"/>
        <w:jc w:val="both"/>
        <w:rPr>
          <w:rFonts w:ascii="Century Gothic" w:hAnsi="Century Gothic" w:cs="Century Gothic"/>
          <w:sz w:val="22"/>
        </w:rPr>
      </w:pPr>
      <w:r>
        <w:rPr>
          <w:rFonts w:cs="Century Gothic" w:ascii="Century Gothic" w:hAnsi="Century Gothic"/>
          <w:sz w:val="22"/>
        </w:rPr>
      </w:r>
    </w:p>
    <w:p>
      <w:pPr>
        <w:pStyle w:val="Normal"/>
        <w:jc w:val="both"/>
        <w:rPr>
          <w:rFonts w:ascii="Century Gothic" w:hAnsi="Century Gothic" w:cs="Century Gothic"/>
        </w:rPr>
      </w:pPr>
      <w:r>
        <w:rPr>
          <w:rFonts w:cs="Century Gothic" w:ascii="Century Gothic" w:hAnsi="Century Gothic"/>
        </w:rPr>
      </w:r>
    </w:p>
    <w:p>
      <w:pPr>
        <w:pStyle w:val="Normal"/>
        <w:jc w:val="both"/>
        <w:rPr>
          <w:rFonts w:ascii="Century Gothic" w:hAnsi="Century Gothic" w:cs="Century Gothic"/>
          <w:color w:val="FF0000"/>
          <w:sz w:val="12"/>
        </w:rPr>
      </w:pPr>
      <w:r>
        <w:rPr>
          <w:rFonts w:cs="Century Gothic" w:ascii="Century Gothic" w:hAnsi="Century Gothic"/>
          <w:color w:val="FF0000"/>
          <w:sz w:val="12"/>
        </w:rPr>
        <w:t xml:space="preserve">N: \EOC\ JAMESM\NIGERIA\AA&amp;CO_1.DOC </w:t>
      </w:r>
    </w:p>
    <w:sectPr>
      <w:headerReference w:type="default" r:id="rId4"/>
      <w:footerReference w:type="default" r:id="rId5"/>
      <w:type w:val="nextPage"/>
      <w:pgSz w:w="12240" w:h="15840"/>
      <w:pgMar w:left="1728" w:right="1728"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pBdr>
        <w:top w:val="single" w:sz="12" w:space="1" w:color="000000" w:shadow="1"/>
        <w:left w:val="single" w:sz="12" w:space="1" w:color="000000" w:shadow="1"/>
        <w:bottom w:val="single" w:sz="12" w:space="1" w:color="000000" w:shadow="1"/>
        <w:right w:val="single" w:sz="12" w:space="1" w:color="000000" w:shadow="1"/>
      </w:pBdr>
      <w:jc w:val="both"/>
      <w:rPr/>
    </w:pPr>
    <w:r>
      <w:rPr>
        <w:b/>
        <w:smallCaps/>
        <w:sz w:val="16"/>
      </w:rPr>
      <w:t>Confidentiality Notice</w:t>
    </w:r>
    <w:r>
      <w:rPr>
        <w:b/>
        <w:sz w:val="16"/>
      </w:rPr>
      <w:t>:</w:t>
    </w:r>
    <w:r>
      <w:rPr>
        <w:sz w:val="16"/>
      </w:rPr>
      <w:t xml:space="preserve">  The information contained in this facsimile message, and in any accompanying documents, constitutes confidential information that is legally privileged.  This information is intended only for the use of the individ</w:t>
      <w:softHyphen/>
      <w:t>ual or entity named above.  If you are not the intended recipient of this information, you are hereby notified that any disclo</w:t>
      <w:softHyphen/>
      <w:t>sure, copying, distribution, or the taking of any action in reliance on this informa</w:t>
      <w:softHyphen/>
      <w:t>tion, is strictly prohibited.  If you have re</w:t>
      <w:softHyphen/>
      <w:t>ceived this facsimile message in error, please immediately notify the sender by telephone to arrange for its return.</w:t>
    </w:r>
  </w:p>
  <w:p>
    <w:pPr>
      <w:pStyle w:val="Normal"/>
      <w:jc w:val="both"/>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/mnt/main-storage/datasets/enron-docs/doc/AA_Co_1.doc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144"/>
        </w:tabs>
        <w:ind w:start="576" w:hanging="144"/>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rPr>
      <w:b/>
      <w:sz w:val="24"/>
    </w:rPr>
  </w:style>
  <w:style w:type="paragraph" w:styleId="BodyText">
    <w:name w:val="Body Text"/>
    <w:basedOn w:val="Normal"/>
    <w:pPr>
      <w:jc w:val="both"/>
    </w:pPr>
    <w:rPr>
      <w:rFonts w:ascii="Century Gothic" w:hAnsi="Century Gothic" w:cs="Century Gothic"/>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432"/>
        <w:tab w:val="center" w:pos="4320" w:leader="none"/>
        <w:tab w:val="right" w:pos="8640" w:leader="none"/>
      </w:tabs>
    </w:pPr>
    <w:rPr/>
  </w:style>
  <w:style w:type="paragraph" w:styleId="Subject">
    <w:name w:val="Subject"/>
    <w:basedOn w:val="Normal"/>
    <w:qFormat/>
    <w:pPr/>
    <w:rPr/>
  </w:style>
  <w:style w:type="paragraph" w:styleId="CopyList">
    <w:name w:val="CopyList"/>
    <w:basedOn w:val="Normal"/>
    <w:qFormat/>
    <w:pPr>
      <w:tabs>
        <w:tab w:val="clear" w:pos="432"/>
        <w:tab w:val="left" w:pos="504" w:leader="none"/>
      </w:tabs>
      <w:spacing w:before="360" w:after="0"/>
      <w:ind w:hanging="504" w:start="576" w:end="0"/>
    </w:pPr>
    <w:rPr/>
  </w:style>
  <w:style w:type="paragraph" w:styleId="Body">
    <w:name w:val="Body"/>
    <w:basedOn w:val="Normal"/>
    <w:qFormat/>
    <w:pPr>
      <w:ind w:hanging="0" w:start="72" w:end="0"/>
    </w:pPr>
    <w:rPr>
      <w:color w:val="000080"/>
    </w:rPr>
  </w:style>
  <w:style w:type="paragraph" w:styleId="Department">
    <w:name w:val="Department"/>
    <w:basedOn w:val="Normal"/>
    <w:qFormat/>
    <w:pPr/>
    <w:rPr/>
  </w:style>
  <w:style w:type="paragraph" w:styleId="FootnoteText">
    <w:name w:val="footnote text"/>
    <w:basedOn w:val="Normal"/>
    <w:pPr/>
    <w:rPr/>
  </w:style>
  <w:style w:type="paragraph" w:styleId="BodyTextIndent">
    <w:name w:val="Body Text Indent"/>
    <w:basedOn w:val="Normal"/>
    <w:pPr>
      <w:ind w:hanging="720" w:start="108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1999-07-12T12:33:00Z</dcterms:created>
  <dc:creator>Mike Norris</dc:creator>
  <dc:description/>
  <dc:language>en-CA</dc:language>
  <cp:lastModifiedBy>James MacCallon</cp:lastModifiedBy>
  <cp:lastPrinted>1999-07-12T10:18:00Z</cp:lastPrinted>
  <dcterms:modified xsi:type="dcterms:W3CDTF">1999-07-12T12:52:00Z</dcterms:modified>
  <cp:revision>5</cp:revision>
  <dc:subject/>
  <dc:title> 	</dc:title>
</cp:coreProperties>
</file>