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9360"/>
          <w:tab w:val="center" w:pos="4320" w:leader="none"/>
        </w:tabs>
        <w:ind w:end="-1080"/>
        <w:rPr/>
      </w:pPr>
      <w:r>
        <w:rPr/>
        <w:t>ALJ/CMW/t93/eap</w:t>
        <w:tab/>
      </w:r>
      <w:r>
        <w:rPr>
          <w:rFonts w:cs="HELVETICA" w:ascii="HELVETICA" w:hAnsi="HELVETICA"/>
          <w:b/>
          <w:sz w:val="36"/>
        </w:rPr>
        <w:t>DRAFT</w:t>
      </w:r>
      <w:r>
        <w:rPr/>
        <w:tab/>
        <w:tab/>
        <w:tab/>
        <w:tab/>
        <w:tab/>
        <w:t xml:space="preserve">    </w:t>
      </w:r>
      <w:r>
        <w:rPr>
          <w:b/>
          <w:sz w:val="32"/>
        </w:rPr>
        <w:t>Item 5</w:t>
      </w:r>
    </w:p>
    <w:p>
      <w:pPr>
        <w:pStyle w:val="Header"/>
        <w:rPr/>
      </w:pPr>
      <w:r>
        <w:rPr/>
        <w:tab/>
        <w:tab/>
      </w:r>
      <w:r>
        <w:rPr>
          <w:b/>
          <w:sz w:val="32"/>
        </w:rPr>
        <w:t>3/27/2001</w:t>
      </w:r>
    </w:p>
    <w:p>
      <w:pPr>
        <w:pStyle w:val="Normal"/>
        <w:rPr>
          <w:b/>
          <w:sz w:val="32"/>
        </w:rPr>
      </w:pPr>
      <w:r>
        <w:rPr>
          <w:b/>
          <w:sz w:val="32"/>
        </w:rPr>
      </w:r>
    </w:p>
    <w:p>
      <w:pPr>
        <w:pStyle w:val="Header"/>
        <w:widowControl/>
        <w:numPr>
          <w:ilvl w:val="0"/>
          <w:numId w:val="0"/>
        </w:numPr>
        <w:tabs>
          <w:tab w:val="clear" w:pos="4320"/>
          <w:tab w:val="right" w:pos="9360" w:leader="none"/>
        </w:tabs>
        <w:outlineLvl w:val="0"/>
        <w:rPr/>
      </w:pPr>
      <w:r>
        <w:rPr/>
        <w:t xml:space="preserve">Decision </w:t>
      </w:r>
      <w:r>
        <w:rPr>
          <w:b/>
          <w:u w:val="single"/>
        </w:rPr>
        <w:t>PROPOSED DECISION OF ALJ WALWYN</w:t>
      </w:r>
      <w:r>
        <w:rPr>
          <w:b/>
        </w:rPr>
        <w:t xml:space="preserve">  (Mailed 3/26/2001)</w:t>
      </w:r>
    </w:p>
    <w:p>
      <w:pPr>
        <w:pStyle w:val="Normal"/>
        <w:rPr/>
      </w:pPr>
      <w:r>
        <w:rPr/>
      </w:r>
    </w:p>
    <w:p>
      <w:pPr>
        <w:pStyle w:val="titlebar"/>
        <w:numPr>
          <w:ilvl w:val="0"/>
          <w:numId w:val="0"/>
        </w:numPr>
        <w:ind w:end="-1260"/>
        <w:outlineLvl w:val="0"/>
        <w:rPr>
          <w:sz w:val="24"/>
        </w:rPr>
      </w:pPr>
      <w:r>
        <w:rPr>
          <w:sz w:val="24"/>
        </w:rPr>
        <w:t>BEFORE THE PUBLIC UTILITIES COMMISSION OF THE STATE OF CALIFORNIA</w:t>
      </w:r>
    </w:p>
    <w:p>
      <w:pPr>
        <w:pStyle w:val="titlebar"/>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Southern California Edison Company (E 3338-E) for Authority to Institute a Rate Stabilization Plan with a Rate Increase and End of Rate Freeze Tariffs.</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Emergency Application of Pacific Gas and Electric Company to Adopt a Rate Stabilization Plan.</w:t>
              <w:tab/>
              <w:tab/>
              <w:t>(U 39 E)</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p>
            <w:pPr>
              <w:pStyle w:val="Footer"/>
              <w:tabs>
                <w:tab w:val="clear" w:pos="4320"/>
                <w:tab w:val="clear" w:pos="8640"/>
              </w:tabs>
              <w:rPr/>
            </w:pPr>
            <w:r>
              <w:rPr/>
              <w:t>AB1X</w:t>
            </w:r>
          </w:p>
        </w:tc>
      </w:tr>
    </w:tbl>
    <w:p>
      <w:pPr>
        <w:pStyle w:val="Normal"/>
        <w:suppressAutoHyphens w:val="true"/>
        <w:rPr/>
      </w:pPr>
      <w:r>
        <w:rPr/>
      </w:r>
    </w:p>
    <w:p>
      <w:pPr>
        <w:pStyle w:val="titlebar"/>
        <w:jc w:val="start"/>
        <w:rPr/>
      </w:pPr>
      <w:r>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pStyle w:val="titlebar"/>
        <w:rPr/>
      </w:pPr>
      <w:r>
        <w:rPr/>
        <w:t>(See Appendix A for List of Appearances.)</w:t>
      </w:r>
    </w:p>
    <w:p>
      <w:pPr>
        <w:pStyle w:val="standard"/>
        <w:jc w:val="center"/>
        <w:rPr>
          <w:b/>
        </w:rPr>
      </w:pPr>
      <w:r>
        <w:rPr>
          <w:b/>
        </w:rPr>
        <w:t>TABLE OF CONTENTS</w:t>
      </w:r>
    </w:p>
    <w:p>
      <w:pPr>
        <w:pStyle w:val="TOC1"/>
        <w:rPr>
          <w:b/>
        </w:rPr>
      </w:pPr>
      <w:r>
        <w:rPr>
          <w:b/>
        </w:rPr>
      </w:r>
    </w:p>
    <w:p>
      <w:pPr>
        <w:pStyle w:val="Normal"/>
        <w:ind w:firstLine="720" w:start="1440" w:end="-360"/>
        <w:rPr/>
      </w:pPr>
      <w:r>
        <w:rPr>
          <w:b/>
        </w:rPr>
        <w:t>Title</w:t>
      </w:r>
      <w:r>
        <w:rPr/>
        <w:tab/>
        <w:tab/>
        <w:tab/>
        <w:tab/>
        <w:tab/>
        <w:tab/>
        <w:tab/>
        <w:tab/>
        <w:t xml:space="preserve">               </w:t>
      </w:r>
      <w:r>
        <w:rPr>
          <w:b/>
        </w:rPr>
        <w:t>Page</w:t>
      </w:r>
    </w:p>
    <w:p>
      <w:pPr>
        <w:pStyle w:val="TOC1"/>
        <w:rPr/>
      </w:pPr>
      <w:r>
        <w:rPr/>
      </w:r>
    </w:p>
    <w:sdt>
      <w:sdtPr>
        <w:docPartObj>
          <w:docPartGallery w:val="Table of Contents"/>
          <w:docPartUnique w:val="true"/>
        </w:docPartObj>
      </w:sdtPr>
      <w:sdtContent>
        <w:p>
          <w:pPr>
            <w:pStyle w:val="TOC1"/>
            <w:tabs>
              <w:tab w:val="right" w:pos="9360" w:leader="dot"/>
            </w:tabs>
            <w:rPr>
              <w:lang w:val="en-CA"/>
            </w:rPr>
          </w:pPr>
          <w:r>
            <w:fldChar w:fldCharType="begin"/>
          </w:r>
          <w:r>
            <w:rPr>
              <w:lang w:val="en-CA"/>
            </w:rPr>
            <w:instrText xml:space="preserve"> TOC \t "Heading 1,2,Heading 2,3,Heading 3,4,Heading 4,5,main,1,dummy,1,mainex,1" </w:instrText>
          </w:r>
          <w:r>
            <w:rPr>
              <w:lang w:val="en-CA"/>
            </w:rPr>
            <w:fldChar w:fldCharType="separate"/>
          </w:r>
          <w:r>
            <w:rPr>
              <w:lang w:val="en-CA"/>
            </w:rPr>
            <w:t>INTERIM OPINION</w:t>
            <w:tab/>
          </w:r>
          <w:hyperlink w:anchor="__RefHeading___Toc510170309">
            <w:r>
              <w:rPr>
                <w:rStyle w:val="IndexLink"/>
                <w:lang w:val="en-CA"/>
              </w:rPr>
              <w:t>2</w:t>
            </w:r>
          </w:hyperlink>
        </w:p>
        <w:p>
          <w:pPr>
            <w:pStyle w:val="TOC1"/>
            <w:tabs>
              <w:tab w:val="right" w:pos="9360" w:leader="dot"/>
            </w:tabs>
            <w:rPr>
              <w:lang w:val="en-CA"/>
            </w:rPr>
          </w:pPr>
          <w:r>
            <w:rPr>
              <w:lang w:val="en-CA"/>
            </w:rPr>
            <w:t>Summary</w:t>
            <w:tab/>
          </w:r>
          <w:hyperlink w:anchor="__RefHeading___Toc510170310">
            <w:r>
              <w:rPr>
                <w:rStyle w:val="IndexLink"/>
                <w:lang w:val="en-CA"/>
              </w:rPr>
              <w:t>2</w:t>
            </w:r>
          </w:hyperlink>
        </w:p>
        <w:p>
          <w:pPr>
            <w:pStyle w:val="TOC2"/>
            <w:rPr/>
          </w:pPr>
          <w:r>
            <w:rPr/>
            <w:t>I.</w:t>
            <w:tab/>
            <w:t>Introduction</w:t>
            <w:tab/>
          </w:r>
          <w:hyperlink w:anchor="__RefHeading___Toc510170311">
            <w:r>
              <w:rPr>
                <w:rStyle w:val="IndexLink"/>
              </w:rPr>
              <w:t>4</w:t>
            </w:r>
          </w:hyperlink>
        </w:p>
        <w:p>
          <w:pPr>
            <w:pStyle w:val="TOC3"/>
            <w:rPr/>
          </w:pPr>
          <w:r>
            <w:rPr/>
            <w:t>A.</w:t>
            <w:tab/>
            <w:t>Events Leading to Today’s Decision</w:t>
            <w:tab/>
          </w:r>
          <w:hyperlink w:anchor="__RefHeading___Toc510170312">
            <w:r>
              <w:rPr>
                <w:rStyle w:val="IndexLink"/>
              </w:rPr>
              <w:t>4</w:t>
            </w:r>
          </w:hyperlink>
        </w:p>
        <w:p>
          <w:pPr>
            <w:pStyle w:val="TOC3"/>
            <w:rPr/>
          </w:pPr>
          <w:r>
            <w:rPr/>
            <w:t>B.</w:t>
            <w:tab/>
            <w:t>Procedural Background</w:t>
            <w:tab/>
          </w:r>
          <w:hyperlink w:anchor="__RefHeading___Toc510170313">
            <w:r>
              <w:rPr>
                <w:rStyle w:val="IndexLink"/>
              </w:rPr>
              <w:t>6</w:t>
            </w:r>
          </w:hyperlink>
        </w:p>
        <w:p>
          <w:pPr>
            <w:pStyle w:val="TOC2"/>
            <w:rPr/>
          </w:pPr>
          <w:r>
            <w:rPr/>
            <w:t>II.</w:t>
            <w:tab/>
            <w:t>Further Utility Financial Relief</w:t>
            <w:tab/>
          </w:r>
          <w:hyperlink w:anchor="__RefHeading___Toc510170314">
            <w:r>
              <w:rPr>
                <w:rStyle w:val="IndexLink"/>
              </w:rPr>
              <w:t>9</w:t>
            </w:r>
          </w:hyperlink>
        </w:p>
        <w:p>
          <w:pPr>
            <w:pStyle w:val="TOC3"/>
            <w:rPr/>
          </w:pPr>
          <w:r>
            <w:rPr/>
            <w:t>A.</w:t>
            <w:tab/>
            <w:t>The Utilities' Rate Proposal</w:t>
            <w:tab/>
          </w:r>
          <w:hyperlink w:anchor="__RefHeading___Toc510170315">
            <w:r>
              <w:rPr>
                <w:rStyle w:val="IndexLink"/>
              </w:rPr>
              <w:t>9</w:t>
            </w:r>
          </w:hyperlink>
        </w:p>
        <w:p>
          <w:pPr>
            <w:pStyle w:val="TOC4"/>
            <w:tabs>
              <w:tab w:val="left" w:pos="1080" w:leader="none"/>
              <w:tab w:val="left" w:pos="1440" w:leader="none"/>
              <w:tab w:val="right" w:pos="9360" w:leader="dot"/>
            </w:tabs>
            <w:rPr/>
          </w:pPr>
          <w:r>
            <w:rPr/>
            <w:t>1.</w:t>
            <w:tab/>
            <w:t>PG&amp;E's Request</w:t>
            <w:tab/>
          </w:r>
          <w:hyperlink w:anchor="__RefHeading___Toc510170316">
            <w:r>
              <w:rPr>
                <w:rStyle w:val="IndexLink"/>
              </w:rPr>
              <w:t>9</w:t>
            </w:r>
          </w:hyperlink>
        </w:p>
        <w:p>
          <w:pPr>
            <w:pStyle w:val="TOC4"/>
            <w:tabs>
              <w:tab w:val="left" w:pos="1080" w:leader="none"/>
              <w:tab w:val="left" w:pos="1440" w:leader="none"/>
              <w:tab w:val="right" w:pos="9360" w:leader="dot"/>
            </w:tabs>
            <w:rPr/>
          </w:pPr>
          <w:r>
            <w:rPr/>
            <w:t>2.</w:t>
            <w:tab/>
            <w:t>Edison’s Request</w:t>
            <w:tab/>
          </w:r>
          <w:hyperlink w:anchor="__RefHeading___Toc510170317">
            <w:r>
              <w:rPr>
                <w:rStyle w:val="IndexLink"/>
              </w:rPr>
              <w:t>10</w:t>
            </w:r>
          </w:hyperlink>
        </w:p>
        <w:p>
          <w:pPr>
            <w:pStyle w:val="TOC3"/>
            <w:rPr/>
          </w:pPr>
          <w:r>
            <w:rPr/>
            <w:t>B.</w:t>
            <w:tab/>
            <w:t>Independent Report Findings</w:t>
            <w:tab/>
          </w:r>
          <w:hyperlink w:anchor="__RefHeading___Toc510170318">
            <w:r>
              <w:rPr>
                <w:rStyle w:val="IndexLink"/>
              </w:rPr>
              <w:t>11</w:t>
            </w:r>
          </w:hyperlink>
        </w:p>
        <w:p>
          <w:pPr>
            <w:pStyle w:val="TOC4"/>
            <w:tabs>
              <w:tab w:val="left" w:pos="1080" w:leader="none"/>
              <w:tab w:val="left" w:pos="1440" w:leader="none"/>
              <w:tab w:val="right" w:pos="9360" w:leader="dot"/>
            </w:tabs>
            <w:rPr/>
          </w:pPr>
          <w:r>
            <w:rPr/>
            <w:t>1.</w:t>
            <w:tab/>
            <w:t>PG&amp;E Report Findings</w:t>
            <w:tab/>
          </w:r>
          <w:hyperlink w:anchor="__RefHeading___Toc510170319">
            <w:r>
              <w:rPr>
                <w:rStyle w:val="IndexLink"/>
              </w:rPr>
              <w:t>12</w:t>
            </w:r>
          </w:hyperlink>
        </w:p>
        <w:p>
          <w:pPr>
            <w:pStyle w:val="TOC4"/>
            <w:tabs>
              <w:tab w:val="left" w:pos="1080" w:leader="none"/>
              <w:tab w:val="left" w:pos="1440" w:leader="none"/>
              <w:tab w:val="right" w:pos="9360" w:leader="dot"/>
            </w:tabs>
            <w:rPr/>
          </w:pPr>
          <w:r>
            <w:rPr/>
            <w:t>2.</w:t>
            <w:tab/>
            <w:t>Edison Report Findings</w:t>
            <w:tab/>
          </w:r>
          <w:hyperlink w:anchor="__RefHeading___Toc510170320">
            <w:r>
              <w:rPr>
                <w:rStyle w:val="IndexLink"/>
              </w:rPr>
              <w:t>14</w:t>
            </w:r>
          </w:hyperlink>
        </w:p>
        <w:p>
          <w:pPr>
            <w:pStyle w:val="TOC4"/>
            <w:tabs>
              <w:tab w:val="left" w:pos="1080" w:leader="none"/>
              <w:tab w:val="left" w:pos="1440" w:leader="none"/>
              <w:tab w:val="right" w:pos="9360" w:leader="dot"/>
            </w:tabs>
            <w:rPr/>
          </w:pPr>
          <w:r>
            <w:rPr/>
            <w:t>3.</w:t>
            <w:tab/>
            <w:t>Parties Positions</w:t>
            <w:tab/>
          </w:r>
          <w:hyperlink w:anchor="__RefHeading___Toc510170321">
            <w:r>
              <w:rPr>
                <w:rStyle w:val="IndexLink"/>
              </w:rPr>
              <w:t>15</w:t>
            </w:r>
          </w:hyperlink>
        </w:p>
        <w:p>
          <w:pPr>
            <w:pStyle w:val="TOC3"/>
            <w:rPr/>
          </w:pPr>
          <w:r>
            <w:rPr/>
            <w:t>C.</w:t>
            <w:tab/>
            <w:t>Discussion</w:t>
            <w:tab/>
          </w:r>
          <w:hyperlink w:anchor="__RefHeading___Toc510170322">
            <w:r>
              <w:rPr>
                <w:rStyle w:val="IndexLink"/>
              </w:rPr>
              <w:t>16</w:t>
            </w:r>
          </w:hyperlink>
        </w:p>
        <w:p>
          <w:pPr>
            <w:pStyle w:val="TOC4"/>
            <w:tabs>
              <w:tab w:val="left" w:pos="1080" w:leader="none"/>
              <w:tab w:val="left" w:pos="1440" w:leader="none"/>
              <w:tab w:val="right" w:pos="9360" w:leader="dot"/>
            </w:tabs>
            <w:rPr/>
          </w:pPr>
          <w:r>
            <w:rPr/>
            <w:t>1.</w:t>
            <w:tab/>
            <w:t>Framework and Criteria for Evaluating Need for Further Relief</w:t>
            <w:tab/>
          </w:r>
          <w:hyperlink w:anchor="__RefHeading___Toc510170323">
            <w:r>
              <w:rPr>
                <w:rStyle w:val="IndexLink"/>
              </w:rPr>
              <w:t>16</w:t>
            </w:r>
          </w:hyperlink>
        </w:p>
        <w:p>
          <w:pPr>
            <w:pStyle w:val="TOC4"/>
            <w:tabs>
              <w:tab w:val="left" w:pos="1080" w:leader="none"/>
              <w:tab w:val="left" w:pos="1440" w:leader="none"/>
              <w:tab w:val="right" w:pos="9360" w:leader="dot"/>
            </w:tabs>
            <w:rPr/>
          </w:pPr>
          <w:r>
            <w:rPr/>
            <w:t>2.</w:t>
            <w:tab/>
            <w:t>The Rate Freeze Compact</w:t>
            <w:tab/>
          </w:r>
          <w:hyperlink w:anchor="__RefHeading___Toc510170324">
            <w:r>
              <w:rPr>
                <w:rStyle w:val="IndexLink"/>
              </w:rPr>
              <w:t>18</w:t>
            </w:r>
          </w:hyperlink>
        </w:p>
        <w:p>
          <w:pPr>
            <w:pStyle w:val="TOC4"/>
            <w:tabs>
              <w:tab w:val="left" w:pos="1080" w:leader="none"/>
              <w:tab w:val="left" w:pos="1440" w:leader="none"/>
              <w:tab w:val="right" w:pos="9360" w:leader="dot"/>
            </w:tabs>
            <w:rPr/>
          </w:pPr>
          <w:r>
            <w:rPr/>
            <w:t>3.</w:t>
            <w:tab/>
            <w:t>Effects of Rate Proposal on Bankruptcy</w:t>
            <w:tab/>
          </w:r>
          <w:hyperlink w:anchor="__RefHeading___Toc510170325">
            <w:r>
              <w:rPr>
                <w:rStyle w:val="IndexLink"/>
              </w:rPr>
              <w:t>19</w:t>
            </w:r>
          </w:hyperlink>
        </w:p>
        <w:p>
          <w:pPr>
            <w:pStyle w:val="TOC4"/>
            <w:tabs>
              <w:tab w:val="left" w:pos="1080" w:leader="none"/>
              <w:tab w:val="left" w:pos="1440" w:leader="none"/>
              <w:tab w:val="right" w:pos="9360" w:leader="dot"/>
            </w:tabs>
            <w:rPr/>
          </w:pPr>
          <w:r>
            <w:rPr/>
            <w:t>4.</w:t>
            <w:tab/>
            <w:t>AB1X</w:t>
            <w:tab/>
          </w:r>
          <w:hyperlink w:anchor="__RefHeading___Toc510170326">
            <w:r>
              <w:rPr>
                <w:rStyle w:val="IndexLink"/>
                <w:b/>
              </w:rPr>
              <w:t>Error! Bookmark not defined.</w:t>
            </w:r>
          </w:hyperlink>
        </w:p>
        <w:p>
          <w:pPr>
            <w:pStyle w:val="TOC4"/>
            <w:tabs>
              <w:tab w:val="left" w:pos="1080" w:leader="none"/>
              <w:tab w:val="left" w:pos="1440" w:leader="none"/>
              <w:tab w:val="right" w:pos="9360" w:leader="dot"/>
            </w:tabs>
            <w:rPr/>
          </w:pPr>
          <w:r>
            <w:rPr/>
            <w:t>5.</w:t>
            <w:tab/>
            <w:t>Financial Assistance from Parent Companies</w:t>
            <w:tab/>
          </w:r>
          <w:hyperlink w:anchor="__RefHeading___Toc510170327">
            <w:r>
              <w:rPr>
                <w:rStyle w:val="IndexLink"/>
              </w:rPr>
              <w:t>23</w:t>
            </w:r>
          </w:hyperlink>
        </w:p>
        <w:p>
          <w:pPr>
            <w:pStyle w:val="TOC4"/>
            <w:tabs>
              <w:tab w:val="left" w:pos="1080" w:leader="none"/>
              <w:tab w:val="left" w:pos="1440" w:leader="none"/>
              <w:tab w:val="right" w:pos="9360" w:leader="dot"/>
            </w:tabs>
            <w:rPr/>
          </w:pPr>
          <w:r>
            <w:rPr/>
            <w:t>6.</w:t>
            <w:tab/>
            <w:t>Proceeds from Income Tax Refunds</w:t>
            <w:tab/>
          </w:r>
          <w:hyperlink w:anchor="__RefHeading___Toc510170328">
            <w:r>
              <w:rPr>
                <w:rStyle w:val="IndexLink"/>
              </w:rPr>
              <w:t>26</w:t>
            </w:r>
          </w:hyperlink>
        </w:p>
        <w:p>
          <w:pPr>
            <w:pStyle w:val="TOC4"/>
            <w:tabs>
              <w:tab w:val="left" w:pos="1080" w:leader="none"/>
              <w:tab w:val="left" w:pos="1440" w:leader="none"/>
              <w:tab w:val="right" w:pos="9360" w:leader="dot"/>
            </w:tabs>
            <w:rPr/>
          </w:pPr>
          <w:r>
            <w:rPr/>
            <w:t>7.</w:t>
            <w:tab/>
            <w:t>Restructuring of QF Contracts</w:t>
            <w:tab/>
          </w:r>
          <w:hyperlink w:anchor="__RefHeading___Toc510170329">
            <w:r>
              <w:rPr>
                <w:rStyle w:val="IndexLink"/>
              </w:rPr>
              <w:t>26</w:t>
            </w:r>
          </w:hyperlink>
        </w:p>
        <w:p>
          <w:pPr>
            <w:pStyle w:val="TOC4"/>
            <w:tabs>
              <w:tab w:val="left" w:pos="1080" w:leader="none"/>
              <w:tab w:val="left" w:pos="1440" w:leader="none"/>
              <w:tab w:val="right" w:pos="9360" w:leader="dot"/>
            </w:tabs>
            <w:rPr/>
          </w:pPr>
          <w:r>
            <w:rPr/>
            <w:t>8.</w:t>
            <w:tab/>
            <w:t>Setting prices for Diablo Canyon and SONGS at Cost-Based Levels</w:t>
            <w:tab/>
          </w:r>
          <w:hyperlink w:anchor="__RefHeading___Toc510170330">
            <w:r>
              <w:rPr>
                <w:rStyle w:val="IndexLink"/>
              </w:rPr>
              <w:t>27</w:t>
            </w:r>
          </w:hyperlink>
        </w:p>
        <w:p>
          <w:pPr>
            <w:pStyle w:val="TOC4"/>
            <w:tabs>
              <w:tab w:val="left" w:pos="1080" w:leader="none"/>
              <w:tab w:val="left" w:pos="1440" w:leader="none"/>
              <w:tab w:val="right" w:pos="9360" w:leader="dot"/>
            </w:tabs>
            <w:rPr/>
          </w:pPr>
          <w:r>
            <w:rPr/>
            <w:t>9.</w:t>
            <w:tab/>
            <w:t>Management Decisions Affecting Cash Flow</w:t>
            <w:tab/>
          </w:r>
          <w:hyperlink w:anchor="__RefHeading___Toc510170331">
            <w:r>
              <w:rPr>
                <w:rStyle w:val="IndexLink"/>
              </w:rPr>
              <w:t>27</w:t>
            </w:r>
          </w:hyperlink>
        </w:p>
        <w:p>
          <w:pPr>
            <w:pStyle w:val="TOC4"/>
            <w:tabs>
              <w:tab w:val="left" w:pos="1080" w:leader="none"/>
              <w:tab w:val="left" w:pos="1440" w:leader="none"/>
              <w:tab w:val="right" w:pos="9360" w:leader="dot"/>
            </w:tabs>
            <w:rPr/>
          </w:pPr>
          <w:r>
            <w:rPr/>
            <w:t>10.</w:t>
            <w:tab/>
            <w:t>Overfunded Pension Assets</w:t>
            <w:tab/>
          </w:r>
          <w:hyperlink w:anchor="__RefHeading___Toc510170332">
            <w:r>
              <w:rPr>
                <w:rStyle w:val="IndexLink"/>
              </w:rPr>
              <w:t>32</w:t>
            </w:r>
          </w:hyperlink>
        </w:p>
        <w:p>
          <w:pPr>
            <w:pStyle w:val="TOC4"/>
            <w:tabs>
              <w:tab w:val="left" w:pos="1080" w:leader="none"/>
              <w:tab w:val="left" w:pos="1440" w:leader="none"/>
              <w:tab w:val="right" w:pos="9360" w:leader="dot"/>
            </w:tabs>
            <w:rPr/>
          </w:pPr>
          <w:r>
            <w:rPr/>
            <w:t>11.</w:t>
            <w:tab/>
            <w:t>Remedial Actions by Governor's Office and State Legislature</w:t>
            <w:tab/>
          </w:r>
          <w:hyperlink w:anchor="__RefHeading___Toc510170333">
            <w:r>
              <w:rPr>
                <w:rStyle w:val="IndexLink"/>
              </w:rPr>
              <w:t>32</w:t>
            </w:r>
          </w:hyperlink>
        </w:p>
        <w:p>
          <w:pPr>
            <w:pStyle w:val="TOC4"/>
            <w:tabs>
              <w:tab w:val="left" w:pos="1080" w:leader="none"/>
              <w:tab w:val="left" w:pos="1440" w:leader="none"/>
              <w:tab w:val="right" w:pos="9360" w:leader="dot"/>
            </w:tabs>
            <w:rPr/>
          </w:pPr>
          <w:r>
            <w:rPr/>
            <w:t>12.</w:t>
            <w:tab/>
            <w:t>Conclusion</w:t>
            <w:tab/>
          </w:r>
          <w:hyperlink w:anchor="__RefHeading___Toc510170334">
            <w:r>
              <w:rPr>
                <w:rStyle w:val="IndexLink"/>
              </w:rPr>
              <w:t>33</w:t>
            </w:r>
          </w:hyperlink>
        </w:p>
        <w:p>
          <w:pPr>
            <w:pStyle w:val="TOC2"/>
            <w:rPr/>
          </w:pPr>
          <w:r>
            <w:rPr/>
            <w:t>III.</w:t>
            <w:tab/>
            <w:t>TURN’s Accounting Proposal</w:t>
            <w:tab/>
          </w:r>
          <w:hyperlink w:anchor="__RefHeading___Toc510170335">
            <w:r>
              <w:rPr>
                <w:rStyle w:val="IndexLink"/>
              </w:rPr>
              <w:t>34</w:t>
            </w:r>
          </w:hyperlink>
        </w:p>
        <w:p>
          <w:pPr>
            <w:pStyle w:val="TOC3"/>
            <w:rPr/>
          </w:pPr>
          <w:r>
            <w:rPr/>
            <w:t>A.</w:t>
            <w:tab/>
            <w:t>Current Accounting Mechanisms for Tracking Transition Cost Recovery</w:t>
            <w:tab/>
          </w:r>
          <w:hyperlink w:anchor="__RefHeading___Toc510170336">
            <w:r>
              <w:rPr>
                <w:rStyle w:val="IndexLink"/>
              </w:rPr>
              <w:t>34</w:t>
            </w:r>
          </w:hyperlink>
        </w:p>
        <w:p>
          <w:pPr>
            <w:pStyle w:val="TOC3"/>
            <w:rPr/>
          </w:pPr>
          <w:r>
            <w:rPr/>
            <w:t>B.</w:t>
            <w:tab/>
            <w:t>A.00-10-028 (TURN’s Petition to Modify Resolution E-3527)</w:t>
            <w:tab/>
          </w:r>
          <w:hyperlink w:anchor="__RefHeading___Toc510170337">
            <w:r>
              <w:rPr>
                <w:rStyle w:val="IndexLink"/>
              </w:rPr>
              <w:t>37</w:t>
            </w:r>
          </w:hyperlink>
        </w:p>
        <w:p>
          <w:pPr>
            <w:pStyle w:val="TOC3"/>
            <w:rPr/>
          </w:pPr>
          <w:r>
            <w:rPr/>
            <w:t>C.</w:t>
            <w:tab/>
            <w:t>Responses to A.00-10-028 (TURN’s Petition to Modify Resolution E-3527)</w:t>
            <w:tab/>
          </w:r>
          <w:hyperlink w:anchor="__RefHeading___Toc510170338">
            <w:r>
              <w:rPr>
                <w:rStyle w:val="IndexLink"/>
              </w:rPr>
              <w:t>39</w:t>
            </w:r>
          </w:hyperlink>
        </w:p>
        <w:p>
          <w:pPr>
            <w:pStyle w:val="TOC3"/>
            <w:rPr/>
          </w:pPr>
          <w:r>
            <w:rPr/>
            <w:t>D.</w:t>
            <w:tab/>
            <w:t>Legal, Factual, and Policy Analysis of Proposal</w:t>
            <w:tab/>
          </w:r>
          <w:hyperlink w:anchor="__RefHeading___Toc510170339">
            <w:r>
              <w:rPr>
                <w:rStyle w:val="IndexLink"/>
              </w:rPr>
              <w:t>39</w:t>
            </w:r>
          </w:hyperlink>
        </w:p>
        <w:p>
          <w:pPr>
            <w:pStyle w:val="TOC4"/>
            <w:tabs>
              <w:tab w:val="left" w:pos="1080" w:leader="none"/>
              <w:tab w:val="left" w:pos="1440" w:leader="none"/>
              <w:tab w:val="right" w:pos="9360" w:leader="dot"/>
            </w:tabs>
            <w:rPr/>
          </w:pPr>
          <w:r>
            <w:rPr/>
            <w:t>1.</w:t>
            <w:tab/>
            <w:t>Resolution E-3527 Fosters an Accounting Anomaly That Must be Corrected</w:t>
            <w:tab/>
          </w:r>
          <w:hyperlink w:anchor="__RefHeading___Toc510170340">
            <w:r>
              <w:rPr>
                <w:rStyle w:val="IndexLink"/>
              </w:rPr>
              <w:t>39</w:t>
            </w:r>
          </w:hyperlink>
        </w:p>
        <w:p>
          <w:pPr>
            <w:pStyle w:val="TOC4"/>
            <w:tabs>
              <w:tab w:val="left" w:pos="1080" w:leader="none"/>
              <w:tab w:val="left" w:pos="1440" w:leader="none"/>
              <w:tab w:val="right" w:pos="9360" w:leader="dot"/>
            </w:tabs>
            <w:rPr/>
          </w:pPr>
          <w:r>
            <w:rPr/>
            <w:t>2.</w:t>
            <w:tab/>
            <w:t>TURN’s Proposal is Lawful</w:t>
            <w:tab/>
          </w:r>
          <w:hyperlink w:anchor="__RefHeading___Toc510170341">
            <w:r>
              <w:rPr>
                <w:rStyle w:val="IndexLink"/>
              </w:rPr>
              <w:t>42</w:t>
            </w:r>
          </w:hyperlink>
        </w:p>
        <w:p>
          <w:pPr>
            <w:pStyle w:val="TOC5"/>
            <w:tabs>
              <w:tab w:val="left" w:pos="1440" w:leader="none"/>
              <w:tab w:val="left" w:pos="1800" w:leader="none"/>
              <w:tab w:val="right" w:pos="9350" w:leader="dot"/>
            </w:tabs>
            <w:rPr/>
          </w:pPr>
          <w:r>
            <w:rPr/>
            <w:t>a)</w:t>
            <w:tab/>
            <w:t>TURN’s Proposal Is Consistent With AB 1890</w:t>
            <w:tab/>
          </w:r>
          <w:hyperlink w:anchor="__RefHeading___Toc510170342">
            <w:r>
              <w:rPr>
                <w:rStyle w:val="IndexLink"/>
              </w:rPr>
              <w:t>42</w:t>
            </w:r>
          </w:hyperlink>
        </w:p>
        <w:p>
          <w:pPr>
            <w:pStyle w:val="TOC4"/>
            <w:tabs>
              <w:tab w:val="left" w:pos="1080" w:leader="none"/>
              <w:tab w:val="left" w:pos="1440" w:leader="none"/>
              <w:tab w:val="right" w:pos="9360" w:leader="dot"/>
            </w:tabs>
            <w:rPr/>
          </w:pPr>
          <w:r>
            <w:rPr/>
            <w:t>3.</w:t>
            <w:tab/>
            <w:t>TURN’s Proposal Does Not Violate the Filed Rate Doctrine</w:t>
            <w:tab/>
          </w:r>
          <w:hyperlink w:anchor="__RefHeading___Toc510170343">
            <w:r>
              <w:rPr>
                <w:rStyle w:val="IndexLink"/>
              </w:rPr>
              <w:t>47</w:t>
            </w:r>
          </w:hyperlink>
        </w:p>
        <w:p>
          <w:pPr>
            <w:pStyle w:val="TOC4"/>
            <w:tabs>
              <w:tab w:val="left" w:pos="1080" w:leader="none"/>
              <w:tab w:val="left" w:pos="1440" w:leader="none"/>
              <w:tab w:val="right" w:pos="9360" w:leader="dot"/>
            </w:tabs>
            <w:rPr/>
          </w:pPr>
          <w:r>
            <w:rPr/>
            <w:t>4.</w:t>
            <w:tab/>
            <w:t>TURN’s Proposal Does Not Constitute Unconstitutional Takings</w:t>
            <w:tab/>
          </w:r>
          <w:hyperlink w:anchor="__RefHeading___Toc510170344">
            <w:r>
              <w:rPr>
                <w:rStyle w:val="IndexLink"/>
              </w:rPr>
              <w:t>48</w:t>
            </w:r>
          </w:hyperlink>
        </w:p>
        <w:p>
          <w:pPr>
            <w:pStyle w:val="TOC4"/>
            <w:tabs>
              <w:tab w:val="left" w:pos="1080" w:leader="none"/>
              <w:tab w:val="left" w:pos="1440" w:leader="none"/>
              <w:tab w:val="right" w:pos="9360" w:leader="dot"/>
            </w:tabs>
            <w:rPr/>
          </w:pPr>
          <w:r>
            <w:rPr/>
            <w:t>5.</w:t>
            <w:tab/>
            <w:t>TURN’s Proposal Does Not Constitute Retroactive Ratemaking</w:t>
            <w:tab/>
          </w:r>
          <w:hyperlink w:anchor="__RefHeading___Toc510170345">
            <w:r>
              <w:rPr>
                <w:rStyle w:val="IndexLink"/>
              </w:rPr>
              <w:t>50</w:t>
            </w:r>
          </w:hyperlink>
        </w:p>
        <w:p>
          <w:pPr>
            <w:pStyle w:val="TOC4"/>
            <w:tabs>
              <w:tab w:val="left" w:pos="1080" w:leader="none"/>
              <w:tab w:val="left" w:pos="1440" w:leader="none"/>
              <w:tab w:val="right" w:pos="9360" w:leader="dot"/>
            </w:tabs>
            <w:rPr/>
          </w:pPr>
          <w:r>
            <w:rPr/>
            <w:t>6.</w:t>
            <w:tab/>
            <w:t>Adopting TURN’s Proposal Will Not Impede Edison’s Right To Due Process</w:t>
            <w:tab/>
          </w:r>
          <w:hyperlink w:anchor="__RefHeading___Toc510170346">
            <w:r>
              <w:rPr>
                <w:rStyle w:val="IndexLink"/>
              </w:rPr>
              <w:t>53</w:t>
            </w:r>
          </w:hyperlink>
        </w:p>
        <w:p>
          <w:pPr>
            <w:pStyle w:val="TOC4"/>
            <w:tabs>
              <w:tab w:val="left" w:pos="1080" w:leader="none"/>
              <w:tab w:val="left" w:pos="1440" w:leader="none"/>
              <w:tab w:val="right" w:pos="9360" w:leader="dot"/>
            </w:tabs>
            <w:rPr/>
          </w:pPr>
          <w:r>
            <w:rPr/>
            <w:t>7.</w:t>
            <w:tab/>
            <w:t>TURNS Proposal Will Once Again Achieve “Neutrality” of the Rate Reduction Bonds (RRB) Transactions</w:t>
            <w:tab/>
          </w:r>
          <w:hyperlink w:anchor="__RefHeading___Toc510170347">
            <w:r>
              <w:rPr>
                <w:rStyle w:val="IndexLink"/>
              </w:rPr>
              <w:t>53</w:t>
            </w:r>
          </w:hyperlink>
        </w:p>
        <w:p>
          <w:pPr>
            <w:pStyle w:val="TOC4"/>
            <w:tabs>
              <w:tab w:val="left" w:pos="1080" w:leader="none"/>
              <w:tab w:val="left" w:pos="1440" w:leader="none"/>
              <w:tab w:val="right" w:pos="9360" w:leader="dot"/>
            </w:tabs>
            <w:rPr/>
          </w:pPr>
          <w:r>
            <w:rPr/>
            <w:t>8.</w:t>
            <w:tab/>
            <w:t>Crediting the Balances in the Generation Memorandum Accounts into the TCBA Monthly Will Provide a More Accurate View of Transition Cost Recovery</w:t>
            <w:tab/>
          </w:r>
          <w:hyperlink w:anchor="__RefHeading___Toc510170348">
            <w:r>
              <w:rPr>
                <w:rStyle w:val="IndexLink"/>
              </w:rPr>
              <w:t>55</w:t>
            </w:r>
          </w:hyperlink>
        </w:p>
        <w:p>
          <w:pPr>
            <w:pStyle w:val="TOC3"/>
            <w:rPr/>
          </w:pPr>
          <w:r>
            <w:rPr/>
            <w:t>E.</w:t>
            <w:tab/>
            <w:t>Impact of Proposal on Rate Freeze</w:t>
            <w:tab/>
          </w:r>
          <w:hyperlink w:anchor="__RefHeading___Toc510170349">
            <w:r>
              <w:rPr>
                <w:rStyle w:val="IndexLink"/>
              </w:rPr>
              <w:t>56</w:t>
            </w:r>
          </w:hyperlink>
        </w:p>
        <w:p>
          <w:pPr>
            <w:pStyle w:val="TOC2"/>
            <w:rPr/>
          </w:pPr>
          <w:r>
            <w:rPr/>
            <w:t>IV.</w:t>
            <w:tab/>
            <w:t>Status of Rate Freeze</w:t>
            <w:tab/>
          </w:r>
          <w:hyperlink w:anchor="__RefHeading___Toc510170350">
            <w:r>
              <w:rPr>
                <w:rStyle w:val="IndexLink"/>
              </w:rPr>
              <w:t>57</w:t>
            </w:r>
          </w:hyperlink>
        </w:p>
        <w:p>
          <w:pPr>
            <w:pStyle w:val="TOC3"/>
            <w:rPr/>
          </w:pPr>
          <w:r>
            <w:rPr/>
            <w:t>A.</w:t>
            <w:tab/>
            <w:t>Valuation of Remaining Utility Generation</w:t>
            <w:tab/>
          </w:r>
          <w:hyperlink w:anchor="__RefHeading___Toc510170351">
            <w:r>
              <w:rPr>
                <w:rStyle w:val="IndexLink"/>
              </w:rPr>
              <w:t>58</w:t>
            </w:r>
          </w:hyperlink>
        </w:p>
        <w:p>
          <w:pPr>
            <w:pStyle w:val="TOC4"/>
            <w:tabs>
              <w:tab w:val="left" w:pos="1080" w:leader="none"/>
              <w:tab w:val="left" w:pos="1440" w:leader="none"/>
              <w:tab w:val="right" w:pos="9360" w:leader="dot"/>
            </w:tabs>
            <w:rPr/>
          </w:pPr>
          <w:r>
            <w:rPr/>
            <w:t>1.</w:t>
            <w:tab/>
            <w:t>Is valuation required before the Rate Freeze may end?</w:t>
            <w:tab/>
          </w:r>
          <w:hyperlink w:anchor="__RefHeading___Toc510170352">
            <w:r>
              <w:rPr>
                <w:rStyle w:val="IndexLink"/>
              </w:rPr>
              <w:t>58</w:t>
            </w:r>
          </w:hyperlink>
        </w:p>
        <w:p>
          <w:pPr>
            <w:pStyle w:val="TOC4"/>
            <w:tabs>
              <w:tab w:val="left" w:pos="1080" w:leader="none"/>
              <w:tab w:val="left" w:pos="1440" w:leader="none"/>
              <w:tab w:val="right" w:pos="9360" w:leader="dot"/>
            </w:tabs>
            <w:rPr/>
          </w:pPr>
          <w:r>
            <w:rPr/>
            <w:t>2.</w:t>
            <w:tab/>
            <w:t>May interim valuation be used in determining whether the rate freeze has ended?</w:t>
            <w:tab/>
          </w:r>
          <w:hyperlink w:anchor="__RefHeading___Toc510170353">
            <w:r>
              <w:rPr>
                <w:rStyle w:val="IndexLink"/>
              </w:rPr>
              <w:t>60</w:t>
            </w:r>
          </w:hyperlink>
        </w:p>
        <w:p>
          <w:pPr>
            <w:pStyle w:val="TOC4"/>
            <w:tabs>
              <w:tab w:val="left" w:pos="1080" w:leader="none"/>
              <w:tab w:val="left" w:pos="1440" w:leader="none"/>
              <w:tab w:val="right" w:pos="9360" w:leader="dot"/>
            </w:tabs>
            <w:rPr/>
          </w:pPr>
          <w:r>
            <w:rPr/>
            <w:t>3.</w:t>
            <w:tab/>
            <w:t>Valuation Date for Purpose of Determining if the Rate Freeze Has Ended.</w:t>
            <w:tab/>
          </w:r>
          <w:hyperlink w:anchor="__RefHeading___Toc510170354">
            <w:r>
              <w:rPr>
                <w:rStyle w:val="IndexLink"/>
              </w:rPr>
              <w:t>63</w:t>
            </w:r>
          </w:hyperlink>
        </w:p>
        <w:p>
          <w:pPr>
            <w:pStyle w:val="TOC3"/>
            <w:rPr/>
          </w:pPr>
          <w:r>
            <w:rPr/>
            <w:t>B.</w:t>
            <w:tab/>
            <w:t>Has the Rate Freeze Ended on a Prospective Basis?</w:t>
            <w:tab/>
          </w:r>
          <w:hyperlink w:anchor="__RefHeading___Toc510170355">
            <w:r>
              <w:rPr>
                <w:rStyle w:val="IndexLink"/>
              </w:rPr>
              <w:t>64</w:t>
            </w:r>
          </w:hyperlink>
        </w:p>
        <w:p>
          <w:pPr>
            <w:pStyle w:val="TOC2"/>
            <w:rPr/>
          </w:pPr>
          <w:r>
            <w:rPr/>
            <w:t>IV.</w:t>
            <w:tab/>
            <w:t>Care Discount</w:t>
            <w:tab/>
          </w:r>
          <w:hyperlink w:anchor="__RefHeading___Toc510170356">
            <w:r>
              <w:rPr>
                <w:rStyle w:val="IndexLink"/>
              </w:rPr>
              <w:t>67</w:t>
            </w:r>
          </w:hyperlink>
        </w:p>
        <w:p>
          <w:pPr>
            <w:pStyle w:val="TOC2"/>
            <w:rPr/>
          </w:pPr>
          <w:r>
            <w:rPr/>
            <w:t>VI.</w:t>
            <w:tab/>
            <w:t>Residential Tiering and Rate Design Proposals</w:t>
            <w:tab/>
          </w:r>
          <w:hyperlink w:anchor="__RefHeading___Toc510170357">
            <w:r>
              <w:rPr>
                <w:rStyle w:val="IndexLink"/>
              </w:rPr>
              <w:t>70</w:t>
            </w:r>
          </w:hyperlink>
        </w:p>
        <w:p>
          <w:pPr>
            <w:pStyle w:val="TOC2"/>
            <w:tabs>
              <w:tab w:val="left" w:pos="720" w:leader="none"/>
              <w:tab w:val="left" w:pos="1080" w:leader="none"/>
              <w:tab w:val="right" w:pos="9350" w:leader="dot"/>
            </w:tabs>
            <w:rPr/>
          </w:pPr>
          <w:r>
            <w:rPr/>
            <w:t>VII.</w:t>
            <w:tab/>
            <w:t>Issuance of the Proposed Decision</w:t>
            <w:tab/>
          </w:r>
          <w:hyperlink w:anchor="__RefHeading___Toc510170358">
            <w:r>
              <w:rPr>
                <w:rStyle w:val="IndexLink"/>
              </w:rPr>
              <w:t>72</w:t>
            </w:r>
          </w:hyperlink>
        </w:p>
        <w:p>
          <w:pPr>
            <w:pStyle w:val="TOC1"/>
            <w:tabs>
              <w:tab w:val="right" w:pos="9360" w:leader="dot"/>
            </w:tabs>
            <w:rPr>
              <w:lang w:val="en-CA"/>
            </w:rPr>
          </w:pPr>
          <w:r>
            <w:rPr>
              <w:lang w:val="en-CA"/>
            </w:rPr>
            <w:t>Findings of Fact</w:t>
            <w:tab/>
          </w:r>
          <w:hyperlink w:anchor="__RefHeading___Toc510170359">
            <w:r>
              <w:rPr>
                <w:rStyle w:val="IndexLink"/>
                <w:lang w:val="en-CA"/>
              </w:rPr>
              <w:t>74</w:t>
            </w:r>
          </w:hyperlink>
        </w:p>
        <w:p>
          <w:pPr>
            <w:pStyle w:val="TOC1"/>
            <w:tabs>
              <w:tab w:val="right" w:pos="9360" w:leader="dot"/>
            </w:tabs>
            <w:rPr>
              <w:lang w:val="en-CA"/>
            </w:rPr>
          </w:pPr>
          <w:r>
            <w:rPr>
              <w:lang w:val="en-CA"/>
            </w:rPr>
            <w:t>Conclusions of Law</w:t>
            <w:tab/>
          </w:r>
          <w:hyperlink w:anchor="__RefHeading___Toc510170360">
            <w:r>
              <w:rPr>
                <w:rStyle w:val="IndexLink"/>
                <w:lang w:val="en-CA"/>
              </w:rPr>
              <w:t>83</w:t>
            </w:r>
          </w:hyperlink>
        </w:p>
        <w:p>
          <w:pPr>
            <w:pStyle w:val="TOC1"/>
            <w:tabs>
              <w:tab w:val="right" w:pos="9360" w:leader="dot"/>
            </w:tabs>
            <w:rPr>
              <w:lang w:val="en-CA"/>
            </w:rPr>
          </w:pPr>
          <w:r>
            <w:rPr>
              <w:lang w:val="en-CA"/>
            </w:rPr>
            <w:t>INTERIM ORDER</w:t>
            <w:tab/>
          </w:r>
          <w:hyperlink w:anchor="__RefHeading___Toc510170361">
            <w:r>
              <w:rPr>
                <w:rStyle w:val="IndexLink"/>
                <w:lang w:val="en-CA"/>
              </w:rPr>
              <w:t>88</w:t>
            </w:r>
          </w:hyperlink>
          <w:r>
            <w:rPr>
              <w:rStyle w:val="IndexLink"/>
              <w:lang w:val="en-CA"/>
            </w:rPr>
            <w:fldChar w:fldCharType="end"/>
          </w:r>
        </w:p>
      </w:sdtContent>
    </w:sdt>
    <w:p>
      <w:pPr>
        <w:pStyle w:val="TOC1"/>
        <w:rPr>
          <w:lang w:val="en-CA"/>
        </w:rPr>
      </w:pPr>
      <w:r>
        <w:rPr>
          <w:lang w:val="en-CA"/>
        </w:rPr>
      </w:r>
    </w:p>
    <w:p>
      <w:pPr>
        <w:pStyle w:val="TOC1"/>
        <w:rPr/>
      </w:pPr>
      <w:r>
        <w:rPr/>
        <w:t>APPENDIX A – List of Appearances</w:t>
      </w:r>
    </w:p>
    <w:p>
      <w:pPr>
        <w:sectPr>
          <w:headerReference w:type="default" r:id="rId6"/>
          <w:headerReference w:type="first" r:id="rId7"/>
          <w:footerReference w:type="default" r:id="rId8"/>
          <w:footerReference w:type="first" r:id="rId9"/>
          <w:type w:val="nextPage"/>
          <w:pgSz w:w="12240" w:h="15840"/>
          <w:pgMar w:left="1800" w:right="1080" w:gutter="0" w:header="720" w:top="1440" w:footer="720" w:bottom="1440"/>
          <w:pgNumType w:start="1" w:fmt="lowerRoman"/>
          <w:formProt w:val="false"/>
          <w:titlePg/>
          <w:textDirection w:val="lrTb"/>
          <w:docGrid w:type="default" w:linePitch="360" w:charSpace="0"/>
        </w:sectPr>
        <w:pStyle w:val="Normal"/>
        <w:rPr/>
      </w:pPr>
      <w:r>
        <w:rPr/>
      </w:r>
    </w:p>
    <w:p>
      <w:pPr>
        <w:pStyle w:val="FootnoteText"/>
        <w:suppressAutoHyphens w:val="true"/>
        <w:rPr>
          <w:sz w:val="26"/>
        </w:rPr>
      </w:pPr>
      <w:r>
        <w:rPr>
          <w:sz w:val="26"/>
        </w:rPr>
      </w:r>
    </w:p>
    <w:p>
      <w:pPr>
        <w:pStyle w:val="main"/>
        <w:rPr/>
      </w:pPr>
      <w:bookmarkStart w:id="0" w:name="__RefHeading___Toc510170309"/>
      <w:bookmarkEnd w:id="0"/>
      <w:r>
        <w:rPr/>
        <w:t>INTERIM OPINION</w:t>
      </w:r>
    </w:p>
    <w:p>
      <w:pPr>
        <w:pStyle w:val="main"/>
        <w:rPr/>
      </w:pPr>
      <w:r>
        <w:rPr/>
      </w:r>
    </w:p>
    <w:p>
      <w:pPr>
        <w:pStyle w:val="dummy"/>
        <w:rPr/>
      </w:pPr>
      <w:bookmarkStart w:id="1" w:name="__RefHeading___Toc510170310"/>
      <w:bookmarkEnd w:id="1"/>
      <w:r>
        <w:rPr/>
        <w:t>Summary</w:t>
      </w:r>
    </w:p>
    <w:p>
      <w:pPr>
        <w:pStyle w:val="standard"/>
        <w:rPr/>
      </w:pPr>
      <w:r>
        <w:rPr/>
        <w:t xml:space="preserve">In this decision, we look at one piece of the need to raise electric prices, the need to increase prices in order for Pacific Gas and Electric Company (PG&amp;E) and Southern California Edison Company (Edison) to continue to purchase power to serve their customers on a going-forward basis.  We will address in other decisions (1) the money needed by the California Department of Water Resources (CDWR) for its power purchases on behalf of the customers of PG&amp;E and Edison and (2) whether customers should bear any portion of financial responsibility beyond that already in existing rates for past purchase power obligations.  </w:t>
      </w:r>
    </w:p>
    <w:p>
      <w:pPr>
        <w:pStyle w:val="standard"/>
        <w:rPr/>
      </w:pPr>
      <w:r>
        <w:rPr/>
        <w:t xml:space="preserve">At hearings, PG&amp;E and Edison stated they needed a 20% increase, in addition to the 10% interim increase we adopted in January 2001.  In considering the need for additional financial relief for PG&amp;E and Edison, we first make findings on the status of the utilities’ financial condition with respect to cash liquidity, credit capacity, and solvency.  We assess the need for rate relief in relation to the potential for the utilities to continue to meet their obligations to serve by utilizing all cash and credit resources available from all other feasible sources and measures before raising customer’s retail rates.  As we stated in Decision (D.) 01-01-018, we remain troubled by the utilities’ assumption that customers must bear the burden of significant rate increases without the shareholders sharing the pain.  </w:t>
      </w:r>
    </w:p>
    <w:p>
      <w:pPr>
        <w:pStyle w:val="standard"/>
        <w:rPr/>
      </w:pPr>
      <w:r>
        <w:rPr/>
        <w:t>In view of their existing cash resources, the possibility that all procurement costs, including a portion of the spot market purchases being made by the Independent System Operator (ISO) are covered within the existing generation rate, and the range of strategies and potential remedies available to the utilities to deal with their cash flow crisis, we find PG&amp;E and Edison have not justified their need for rate increases to purchase needed power on a going-forward basis.  Therefore, we deny their applications for rate relief at this time.</w:t>
      </w:r>
    </w:p>
    <w:p>
      <w:pPr>
        <w:pStyle w:val="standard"/>
        <w:rPr/>
      </w:pPr>
      <w:r>
        <w:rPr/>
        <w:t xml:space="preserve">We recognize that all the costs of providing customers electricity may not be covered in today’s retail rates, but it is only after we fully implement new legislation effective February 1, 2001, AB1X, that we will know the amount, if any, of a necessary rate increase, and the proportion of revenues that would be due the utilities rather than CDWR.  </w:t>
      </w:r>
    </w:p>
    <w:p>
      <w:pPr>
        <w:pStyle w:val="standard"/>
        <w:rPr/>
      </w:pPr>
      <w:r>
        <w:rPr/>
        <w:t xml:space="preserve">We adopt two proposals that benefit low-income households eligible for the California Alternative Rates for Energy (CARE) program for the electric customers of PG&amp;E and Edison.  These changes are to increase the CARE discount from 15 to 25% and to increase the eligibility criteria from 150% to 175% of Federal poverty guidelines.  Families eligible for CARE are also severely effected by today’s high gas bills and, therefore, we will move quickly to address the applicability of the changes we make here to all jurisdictional utilities. </w:t>
      </w:r>
    </w:p>
    <w:p>
      <w:pPr>
        <w:pStyle w:val="standard"/>
        <w:rPr/>
      </w:pPr>
      <w:r>
        <w:rPr/>
        <w:t xml:space="preserve">We also adopt an accounting proposal by The Utility Reform Network (TURN) that allows us to properly reflect PG&amp;E and Edison’s operating costs and recovery of stranded transition costs over the rate freeze period provided by the Legislature in 1996 under Assembly Bill (AB) 1890.  In adopting this proposal, we modify a 1998 resolution, Resolution E-3527, that improperly changed our accounting methodology.  </w:t>
      </w:r>
    </w:p>
    <w:p>
      <w:pPr>
        <w:pStyle w:val="standard"/>
        <w:rPr/>
      </w:pPr>
      <w:r>
        <w:rPr/>
        <w:t xml:space="preserve">We find the rate freeze has not ended for PG&amp;E and Edison because these utilities have not recovered all the transition costs specified under Public Utilities Code Section 368(a), and the full transition period for the utilities to have the opportunity to recover these stranded costs has not expired.  To end the rate freeze with transition costs unrecovered would leave PG&amp;E and Edison with stranded cost balances of $6.3 Billion and $3.7 Billion, respectively.  As we stated in D.99-10-057, these balances cannot be collected from customers after the rate freeze ends. </w:t>
      </w:r>
    </w:p>
    <w:p>
      <w:pPr>
        <w:pStyle w:val="Heading1"/>
        <w:rPr/>
      </w:pPr>
      <w:bookmarkStart w:id="2" w:name="__RefHeading___Toc510170311"/>
      <w:r>
        <w:rPr/>
        <w:t>Introduction</w:t>
      </w:r>
      <w:bookmarkEnd w:id="2"/>
      <w:r>
        <w:rPr/>
        <w:t xml:space="preserve"> </w:t>
      </w:r>
    </w:p>
    <w:p>
      <w:pPr>
        <w:pStyle w:val="Heading2"/>
        <w:rPr/>
      </w:pPr>
      <w:bookmarkStart w:id="3" w:name="__RefHeading___Toc510170312"/>
      <w:bookmarkEnd w:id="3"/>
      <w:r>
        <w:rPr/>
        <w:t>Events Leading to Today’s Decision</w:t>
      </w:r>
    </w:p>
    <w:p>
      <w:pPr>
        <w:pStyle w:val="sub1"/>
        <w:rPr/>
      </w:pPr>
      <w:r>
        <w:rPr/>
        <w:t xml:space="preserve">In this decision, we address the utilities’ request for an immediate rate increase in the context of extraordinary circumstances.  Before 1996, under traditional cost-of-service regulation, we periodically reviewed and revised electric utility rate levels under a prescribed schedule.  Rates were set at a level to cover prudent operating expenses and to provide for a reasonable opportunity for utility investors to earn a return on capital commensurate with the return earned by firms of comparable risk.  </w:t>
      </w:r>
    </w:p>
    <w:p>
      <w:pPr>
        <w:pStyle w:val="sub1"/>
        <w:rPr/>
      </w:pPr>
      <w:r>
        <w:rPr/>
        <w:t xml:space="preserve">In 1996, however, the California legislature enacted AB 1890 to institute generation competition as the basic structure of California’s electric utility industry.  The legislation provided for retail prices to remain frozen during a transition period in order for each utility to have the opportunity to recover uneconomic generation costs within a specified period.  The premise of AB 1890 is that the competitive market price of electricity would remain lower than the regulated price of electricity in effect on June 10, 1996 and, therefore, by freezing regulated prices at this level, the utilities would be provided “headroom” above their authorized costs, such as those associated with distribution, nuclear decommissioning, public purpose programs, and energy costs, that would be available to be applied to transition costs.  </w:t>
      </w:r>
    </w:p>
    <w:p>
      <w:pPr>
        <w:pStyle w:val="sub1"/>
        <w:rPr/>
      </w:pPr>
      <w:r>
        <w:rPr/>
        <w:t>As we stated in Decision (D.) 00-03-058, slip at 3:  AB 1890 determined that utilities should be “at risk” for recovery of some transition costs. (Pub. Util. Code, § 368, subd. (a).  AB 1890 only allows each utility to recover those transition costs that could be paid for with revenue generated by frozen rates during that utility’s transition period.  Utilities were thus responsible for “costs not recovered during that time period.” (Pub. Util. Code, § 368, subd. (a).)</w:t>
      </w:r>
    </w:p>
    <w:p>
      <w:pPr>
        <w:pStyle w:val="sub1"/>
        <w:rPr/>
      </w:pPr>
      <w:r>
        <w:rPr/>
        <w:t xml:space="preserve">AB 1890 required that electric utility rates would remain fixed at June 10, 1996 levels through the transition period, except that rates for residential and small commercial customers were reduced by 10% from those levels during the transition period.  As stated in Section 330, the legislature intended that a cumulative rate reduction of at least 20% would be achieved not later than April 1, 2002, for residential and small commercial customers. </w:t>
      </w:r>
    </w:p>
    <w:p>
      <w:pPr>
        <w:pStyle w:val="sub1"/>
        <w:rPr/>
      </w:pPr>
      <w:r>
        <w:rPr/>
        <w:t>It is an understatement to note that the original expectations of competitive market-driven generation prices have not played out as anticipated.  Instead of electricity wholesale prices dropping in response to competitive market forces, they have progressively risen by staggering proportions, particularly since the summer of 2000.  These increases occurred partly in response to orders of the Federal Energy Regulatory Commission (FERC) when it removed the previously imposed price cap of $250/megawatt for wholesale power.  The FERC action subsequently caused prices for electricity obtained through the Power Exchange (PX) and ISO’s real-time energy markets to hit unprecedented levels which has severely strained the resources of California’s investor-owned utilities.</w:t>
      </w:r>
    </w:p>
    <w:p>
      <w:pPr>
        <w:pStyle w:val="sub1"/>
        <w:rPr/>
      </w:pPr>
      <w:r>
        <w:rPr/>
        <w:t xml:space="preserve">While wholesale prices soared, PG&amp;E and Edison were still required to charge retail rates frozen at 1996 levels, as mandated by Section 368(a).  The utilities' financial problems thereby grew progressively worse during the second half of 2000 because retail rates remained frozen and the increasing price of wholesale power could not be passed along to retail customers.  As we acknowledged in D.00-12-067, the utilities are now facing an “extraordinary and unforeseen crisis in wholesale and retail electric power markets in California.”  The continued financial viability of California’s utilities has been called into question by the dramatic escalation in the wholesale prices for purchased power. </w:t>
      </w:r>
    </w:p>
    <w:p>
      <w:pPr>
        <w:pStyle w:val="Heading2"/>
        <w:rPr/>
      </w:pPr>
      <w:bookmarkStart w:id="4" w:name="__RefHeading___Toc510170313"/>
      <w:bookmarkEnd w:id="4"/>
      <w:r>
        <w:rPr/>
        <w:t>Procedural Background</w:t>
      </w:r>
    </w:p>
    <w:p>
      <w:pPr>
        <w:pStyle w:val="sub1"/>
        <w:rPr/>
      </w:pPr>
      <w:r>
        <w:rPr/>
        <w:t xml:space="preserve">In D.00-12-067, the Commission determined that expedited action was necessary to fulfill our statutory obligations to ensure that the utilities can provide adequate service at just and reasonable rates.  We consolidated the Rate Stabilization Plan Applications of PG&amp;E and Edison and TURN’s Petition to Modify Resolution E-3527 and ordered emergency hearings to begin on December 27, 2000.  These hearings narrowly focused on PG&amp;E’s and Edison’s prima facie showing that the current rates did not yield revenues sufficient to meet current obligations, including power purchases, and that cash resources were being rapidly depleted.  </w:t>
      </w:r>
    </w:p>
    <w:p>
      <w:pPr>
        <w:pStyle w:val="sub1"/>
        <w:rPr/>
      </w:pPr>
      <w:r>
        <w:rPr/>
        <w:t>Following the emergency hearings, the Commission issued D.01-01-018 on January 4, 2001.  In this decision we authorized PG&amp;E and Edison each an interim Emergency Procurement Surcharge (EPS), subject to refund, of one cent per kilowatt-hour (kWh), exempting low-income customers eligible for the CARE program.  We authorized this surcharge, to be in effect and applied to recovery of the future electricity procurement costs for 90 days, during which time the independent consultants engaged by the Commission would perform a comprehensive review of the utilities’ financial position, as well as that of their holding companies and affiliates, and the Commission would conduct further hearings.</w:t>
      </w:r>
    </w:p>
    <w:p>
      <w:pPr>
        <w:pStyle w:val="sub1"/>
        <w:rPr/>
      </w:pPr>
      <w:r>
        <w:rPr/>
        <w:t>A prehearing conference (PHC) was held on January 10, 2001, and the assigned Commissioner issued a procedural schedule for this phase of the proceeding, designated Phase 1, on January 26, 2001.  The assigned Commissioner designated the following issues to be heard:</w:t>
      </w:r>
    </w:p>
    <w:p>
      <w:pPr>
        <w:pStyle w:val="1"/>
        <w:numPr>
          <w:ilvl w:val="0"/>
          <w:numId w:val="0"/>
        </w:numPr>
        <w:tabs>
          <w:tab w:val="clear" w:pos="1530"/>
          <w:tab w:val="left" w:pos="-720" w:leader="none"/>
        </w:tabs>
        <w:spacing w:lineRule="auto" w:line="240" w:before="120" w:after="120"/>
        <w:ind w:hanging="360" w:start="1440" w:end="0"/>
        <w:rPr/>
      </w:pPr>
      <w:r>
        <w:rPr/>
        <w:t>(1)</w:t>
        <w:tab/>
        <w:t>Reviewing the independent report results of PG&amp;E and Edison, ordered in D.00-12-067, and, as part of that analysis, determining whether or not there is a financial necessity for other or additional relief for the utilities;</w:t>
      </w:r>
    </w:p>
    <w:p>
      <w:pPr>
        <w:pStyle w:val="1"/>
        <w:numPr>
          <w:ilvl w:val="0"/>
          <w:numId w:val="0"/>
        </w:numPr>
        <w:tabs>
          <w:tab w:val="clear" w:pos="1530"/>
          <w:tab w:val="left" w:pos="-720" w:leader="none"/>
          <w:tab w:val="left" w:pos="1620" w:leader="none"/>
        </w:tabs>
        <w:spacing w:lineRule="auto" w:line="240" w:before="120" w:after="120"/>
        <w:ind w:hanging="360" w:start="1440" w:end="0"/>
        <w:rPr/>
      </w:pPr>
      <w:r>
        <w:rPr/>
        <w:t>(2)</w:t>
        <w:tab/>
        <w:t>TURN’s accounting proposal for the proper reconciliation of the Transition Revenue Account (TRA) and Transition Cost Balancing Account (TCBA) accounts and the Generation Memorandum Accounts (GMA);</w:t>
      </w:r>
    </w:p>
    <w:p>
      <w:pPr>
        <w:pStyle w:val="1"/>
        <w:numPr>
          <w:ilvl w:val="0"/>
          <w:numId w:val="0"/>
        </w:numPr>
        <w:tabs>
          <w:tab w:val="clear" w:pos="1530"/>
          <w:tab w:val="left" w:pos="-720" w:leader="none"/>
          <w:tab w:val="left" w:pos="1620" w:leader="none"/>
        </w:tabs>
        <w:spacing w:lineRule="auto" w:line="240" w:before="120" w:after="120"/>
        <w:ind w:hanging="360" w:start="1440" w:end="0"/>
        <w:rPr/>
      </w:pPr>
      <w:r>
        <w:rPr/>
        <w:t>(3)</w:t>
        <w:tab/>
        <w:t>Consideration of whether the rate freeze has ended on a prospective basis only, including parties’ testimony on interim valuation of retained utility generating assets for the purpose of addressing whether the rate freeze has ended on a prospective basis;</w:t>
      </w:r>
    </w:p>
    <w:p>
      <w:pPr>
        <w:pStyle w:val="1"/>
        <w:numPr>
          <w:ilvl w:val="0"/>
          <w:numId w:val="0"/>
        </w:numPr>
        <w:tabs>
          <w:tab w:val="clear" w:pos="1530"/>
          <w:tab w:val="left" w:pos="-720" w:leader="none"/>
          <w:tab w:val="left" w:pos="1620" w:leader="none"/>
        </w:tabs>
        <w:spacing w:lineRule="auto" w:line="240" w:before="120" w:after="120"/>
        <w:ind w:hanging="360" w:start="1440" w:end="0"/>
        <w:rPr/>
      </w:pPr>
      <w:r>
        <w:rPr/>
        <w:t>(4)</w:t>
        <w:tab/>
        <w:t>Greenlining/Latino Forum’s CARE proposal;</w:t>
      </w:r>
    </w:p>
    <w:p>
      <w:pPr>
        <w:pStyle w:val="1"/>
        <w:numPr>
          <w:ilvl w:val="0"/>
          <w:numId w:val="0"/>
        </w:numPr>
        <w:tabs>
          <w:tab w:val="clear" w:pos="1530"/>
          <w:tab w:val="left" w:pos="-720" w:leader="none"/>
          <w:tab w:val="left" w:pos="1620" w:leader="none"/>
        </w:tabs>
        <w:spacing w:lineRule="auto" w:line="240" w:before="120" w:after="120"/>
        <w:ind w:hanging="360" w:start="1440" w:end="0"/>
        <w:rPr/>
      </w:pPr>
      <w:r>
        <w:rPr/>
        <w:t>(5)</w:t>
        <w:tab/>
        <w:t xml:space="preserve">Parties’ proposals for tiered residential rates. </w:t>
      </w:r>
    </w:p>
    <w:p>
      <w:pPr>
        <w:pStyle w:val="sub1"/>
        <w:rPr/>
      </w:pPr>
      <w:r>
        <w:rPr/>
        <w:t xml:space="preserve">The schedule for this phase was set prior to the enactment of Assembly Bill (AB) X1 1 (Ch. 4 First Extraordinary Session 2001), signed February 1, 2001.  We discuss specific portions of this legislation in the next section.  Briefly, AB1X authorizes, among other provisions, the California Department of Water Resources (CDWR) to enter into contracts to purchase power and to sell to retail end-users of PG&amp;E, Edison, and SDG&amp;E, as well as municipal utilities, and for the Commission to designate a portion of the existing generation rates of PG&amp;E, Edison, and San Diego Gas and Electric Company (SDG&amp;E) as the California Procurement Adjustment (CPA), and to establish a payment mechanism to collect from retail end-users the amount of the CPA allocable to the power sold by CDWR and transfer it to CDWR. </w:t>
      </w:r>
      <w:r>
        <w:rPr>
          <w:rStyle w:val="FootnoteCharacters"/>
          <w:rStyle w:val="FootnoteReference"/>
        </w:rPr>
        <w:footnoteReference w:id="2"/>
      </w:r>
      <w:r>
        <w:rPr>
          <w:rStyle w:val="FootnoteCharacters"/>
          <w:rStyle w:val="FootnoteReference"/>
        </w:rPr>
        <w:footnoteReference w:id="3"/>
      </w:r>
    </w:p>
    <w:p>
      <w:pPr>
        <w:pStyle w:val="sub1"/>
        <w:rPr/>
      </w:pPr>
      <w:r>
        <w:rPr/>
        <w:t xml:space="preserve">CDWR is entitled to establish revenue requirements sufficient to recover its costs and the Commission may authorize an increase in customers’ rate to recover this revenue requirement, with the provision that rates cannot be increased for residential users for existing baseline quantities and usage up to 130% of baseline quantities. </w:t>
      </w:r>
    </w:p>
    <w:p>
      <w:pPr>
        <w:pStyle w:val="sub1"/>
        <w:rPr/>
      </w:pPr>
      <w:r>
        <w:rPr/>
        <w:t xml:space="preserve">AB1X refers to rates that are in effect as of January 5, 2001.  Therefore, the interim surcharge the Commission authorized in D.01-01-018 is made permanent. </w:t>
      </w:r>
    </w:p>
    <w:p>
      <w:pPr>
        <w:pStyle w:val="sub1"/>
        <w:rPr>
          <w:b/>
        </w:rPr>
      </w:pPr>
      <w:r>
        <w:rPr/>
        <w:t>At a February 2, 2001 PHC to discuss implementation of AB1X, the assigned Administrative Law Judge (ALJ) in this proceeding asked the parties to discuss their recommendations for addressing Phase 1 issues in light of AB1X.  While parties agreed that AB1X impacted issues under consideration in Phase 1, all parties requested the Commission proceed with the Phase 1 hearings and pursue AB1X implementation through a workshop process.  The Commission adopted this procedure in ALJ rulings on February 2 and February 5, 2001.</w:t>
      </w:r>
    </w:p>
    <w:p>
      <w:pPr>
        <w:pStyle w:val="sub1"/>
        <w:rPr>
          <w:b/>
          <w:sz w:val="24"/>
        </w:rPr>
      </w:pPr>
      <w:r>
        <w:rPr/>
        <w:t>Hearings in this phase were held from February 20</w:t>
      </w:r>
      <w:r>
        <w:rPr>
          <w:vertAlign w:val="superscript"/>
        </w:rPr>
        <w:t>th</w:t>
      </w:r>
      <w:r>
        <w:rPr/>
        <w:t xml:space="preserve"> to March 2, 2001 and briefs were submitted on March 5, 2001.  On March 15, 2001, the assigned Commissioner issued a ruling that reopened the record, provided parties updated financial information and an opportunity for additional comments.  Parties participating in the hearings and/or filing briefs are: Edison, PG&amp;E, Aglet Consumer Alliance (Aglet), California Farm Bureau Federation (Farm Bureau), California Industrial Users (CIU), California Large Energy Consumers Association (CLECA), California Manufacturers &amp; Technology Association (CMTA), Enron Energy Services, Inc. (Enron), Federal Executive Agencies (FEA), Golden State Power Cooperative (GSPC), Greenlining Institute and Latino Issues Forum (Greenlining/LIF), Los Angeles County (Los Angeles) Office of Ratepayer Advocates (ORA), City and County of San Francisco (San Francisco), Sacramento Municipal Utility District (SMUD), and TURN.  Parties who participated only in filing written comments on the March 15</w:t>
      </w:r>
      <w:r>
        <w:rPr>
          <w:vertAlign w:val="superscript"/>
        </w:rPr>
        <w:t>th</w:t>
      </w:r>
      <w:r>
        <w:rPr/>
        <w:t xml:space="preserve"> ACR are: Calpine Corporation (Calpine), Independent Energy Producers Association (IEP), and Watson Cogeneration Company (Watson).</w:t>
      </w:r>
    </w:p>
    <w:p>
      <w:pPr>
        <w:pStyle w:val="Heading1"/>
        <w:rPr/>
      </w:pPr>
      <w:bookmarkStart w:id="5" w:name="__RefHeading___Toc510170314"/>
      <w:bookmarkEnd w:id="5"/>
      <w:r>
        <w:rPr/>
        <w:t>Further Utility Financial Relief</w:t>
      </w:r>
    </w:p>
    <w:p>
      <w:pPr>
        <w:pStyle w:val="standard"/>
        <w:rPr/>
      </w:pPr>
      <w:r>
        <w:rPr/>
        <w:t>In this section, we consider whether either or both utilities require additional rate relief to (1) meet immediate cash flow needs; and (2) meet the going-forward costs of procuring power for their customers.  We have the authority to grant the utilities a rate increase whether or not the rate freeze is over.  We recognize the Emergency Procurement Surcharge (EPS) granted in D.01-01-018 is now permanent under AB1X.  We do not consider here the method by which the utilities will meet the substantial debt they have incurred in purchasing power in the past, recognizing that this is the subject of current negotiations with the governor and legislature, and future Commission proceedings.</w:t>
      </w:r>
    </w:p>
    <w:p>
      <w:pPr>
        <w:pStyle w:val="Heading2"/>
        <w:rPr/>
      </w:pPr>
      <w:bookmarkStart w:id="6" w:name="__RefHeading___Toc510170315"/>
      <w:r>
        <w:rPr/>
        <w:t>The Utilities' Rate Proposal</w:t>
      </w:r>
      <w:bookmarkEnd w:id="6"/>
      <w:r>
        <w:rPr/>
        <w:t xml:space="preserve"> </w:t>
      </w:r>
    </w:p>
    <w:p>
      <w:pPr>
        <w:pStyle w:val="Heading3"/>
        <w:tabs>
          <w:tab w:val="clear" w:pos="720"/>
        </w:tabs>
        <w:ind w:hanging="360" w:start="1440" w:end="2160"/>
        <w:rPr/>
      </w:pPr>
      <w:bookmarkStart w:id="7" w:name="__RefHeading___Toc510170316"/>
      <w:bookmarkEnd w:id="7"/>
      <w:r>
        <w:rPr/>
        <w:t>PG&amp;E's Request</w:t>
      </w:r>
    </w:p>
    <w:p>
      <w:pPr>
        <w:pStyle w:val="sub2"/>
        <w:rPr/>
      </w:pPr>
      <w:r>
        <w:rPr/>
        <w:t xml:space="preserve">PG&amp;E claims it needs to increase in retail rates by an additional two-cents per kWh beyond that already granted in D.01-01-018.  In its proposed "Rate Stabilization Plan" filed November 22, 2000, PG&amp;E proposed a trigger mechanism to raise rates by one cent per kWh each time undercollected power costs exceeded a certain level.  Because of the high wholesale prices that have been experienced since the November 2000 filing, PG&amp;E's proposed trigger would have been activated twice since then, resulting in a two cent per kWh rate increase.  On this basis, PG&amp;E sets its requested increase at two-cents per kWh. </w:t>
      </w:r>
    </w:p>
    <w:p>
      <w:pPr>
        <w:pStyle w:val="sub2"/>
        <w:rPr/>
      </w:pPr>
      <w:r>
        <w:rPr/>
        <w:t>PG&amp;E claims that the one-cent rate interim increase granted in D. 01</w:t>
        <w:noBreakHyphen/>
        <w:t xml:space="preserve">01-018 has not improved its financial circumstances, that it is unable to access credit to keep current with its maturing debts, and that its bonds are now rated at junk-bond status.  PG&amp;E has begun defaulting on wholesale power payments, and cannot pay additional power bills that are coming due.  PG&amp;E is also experiencing problems securing natural gas for its gas customers, and problems with trade creditors in the normal course of business.  </w:t>
      </w:r>
    </w:p>
    <w:p>
      <w:pPr>
        <w:pStyle w:val="sub2"/>
        <w:rPr/>
      </w:pPr>
      <w:r>
        <w:rPr/>
        <w:t>PG&amp;E's proposed two-cent increase is intended to cover (1) its shortfalls since the first of this year when CDWR began to procure power on behalf of PG&amp;E and (2) existing cash flow needs.</w:t>
      </w:r>
      <w:r>
        <w:rPr>
          <w:rStyle w:val="FootnoteCharacters"/>
          <w:rStyle w:val="FootnoteReference"/>
        </w:rPr>
        <w:footnoteReference w:id="4"/>
      </w:r>
      <w:r>
        <w:rPr/>
        <w:t xml:space="preserve"> </w:t>
      </w:r>
    </w:p>
    <w:p>
      <w:pPr>
        <w:pStyle w:val="Heading3"/>
        <w:tabs>
          <w:tab w:val="clear" w:pos="720"/>
        </w:tabs>
        <w:ind w:hanging="360" w:start="1440" w:end="2160"/>
        <w:rPr/>
      </w:pPr>
      <w:bookmarkStart w:id="8" w:name="__RefHeading___Toc510170317"/>
      <w:bookmarkEnd w:id="8"/>
      <w:r>
        <w:rPr/>
        <w:t>Edison’s Request</w:t>
      </w:r>
    </w:p>
    <w:p>
      <w:pPr>
        <w:pStyle w:val="sub2"/>
        <w:rPr/>
      </w:pPr>
      <w:r>
        <w:rPr/>
        <w:t xml:space="preserve">Edison originally sought a 30% rate increase in this proceeding.  After the Commission granted one-cent/kWh increase in D.01-01-018, Edison's remaining request here is for a 20% rate increase, or an additional two-cents/kWh.  Edison claims that failure to grant the remaining 20% increase will prevent the utility from meeting its past and present financial obligations. </w:t>
      </w:r>
    </w:p>
    <w:p>
      <w:pPr>
        <w:pStyle w:val="sub2"/>
        <w:rPr>
          <w:b/>
        </w:rPr>
      </w:pPr>
      <w:r>
        <w:rPr/>
        <w:t>In its rebuttal testimony, Edison changes its request and states that if CDWR is purchasing its full net short position, it does not need any rate relief on a going forward basis.</w:t>
      </w:r>
      <w:r>
        <w:rPr>
          <w:rStyle w:val="FootnoteCharacters"/>
          <w:rStyle w:val="FootnoteReference"/>
        </w:rPr>
        <w:footnoteReference w:id="5"/>
      </w:r>
      <w:r>
        <w:rPr/>
        <w:t xml:space="preserve">  However, Edison does not believe that CDWR interprets its obligation to require procurement of the </w:t>
      </w:r>
      <w:r>
        <w:rPr>
          <w:i/>
        </w:rPr>
        <w:t>entire</w:t>
      </w:r>
      <w:r>
        <w:rPr/>
        <w:t xml:space="preserve"> net short position. If CDWR does not assume full responsibility for Edison's net short position, then Edison claims the 20% increase is still required.</w:t>
      </w:r>
    </w:p>
    <w:p>
      <w:pPr>
        <w:pStyle w:val="Heading2"/>
        <w:rPr/>
      </w:pPr>
      <w:bookmarkStart w:id="9" w:name="__RefHeading___Toc510170318"/>
      <w:r>
        <w:rPr/>
        <w:t>Independent Report Findings</w:t>
      </w:r>
      <w:bookmarkEnd w:id="9"/>
      <w:r>
        <w:rPr/>
        <w:t xml:space="preserve"> </w:t>
      </w:r>
    </w:p>
    <w:p>
      <w:pPr>
        <w:pStyle w:val="sub1"/>
        <w:rPr/>
      </w:pPr>
      <w:r>
        <w:rPr/>
        <w:t xml:space="preserve">In order to provide for an independent verification of the utilities' claims concerning the extent and urgency of the financial problems facing them, we authorized independent consultants to be retained by the Commission in D.00-12-067.  The consultants were to conduct an independent review to assess the utilities' claims of financial distress and their credit and liquidity position.  The scope of the consultants' review included review of the flow of funds among the utilities, the holding companies, and their affiliates. </w:t>
      </w:r>
    </w:p>
    <w:p>
      <w:pPr>
        <w:pStyle w:val="sub1"/>
        <w:rPr/>
      </w:pPr>
      <w:r>
        <w:rPr/>
        <w:t xml:space="preserve">The firm of KPMG LLP (KPMG) conducted the review of Edison and the firm of Barrington-Wellesley Group, Inc. (BWG) conducted the review of PG&amp;E.  These consultants have concluded their reviews and issued reports to the Commission on their findings on January 29 and January 30, 2001, respectively.  Each of the reports was entered into evidence, and panels of sponsoring consultants testified and were subject to cross-examination. </w:t>
      </w:r>
    </w:p>
    <w:p>
      <w:pPr>
        <w:pStyle w:val="sub1"/>
        <w:rPr/>
      </w:pPr>
      <w:r>
        <w:rPr/>
        <w:t xml:space="preserve">Each of the two reports covered essentially the same following general areas of concern relating to each of the utilities: </w:t>
      </w:r>
    </w:p>
    <w:p>
      <w:pPr>
        <w:pStyle w:val="sub1"/>
        <w:rPr/>
      </w:pPr>
      <w:r>
        <w:rPr/>
        <w:t xml:space="preserve">Credit and Default Relationships </w:t>
      </w:r>
    </w:p>
    <w:p>
      <w:pPr>
        <w:pStyle w:val="sub1"/>
        <w:rPr/>
      </w:pPr>
      <w:r>
        <w:rPr/>
        <w:t>Power Purchases and Cash Flows</w:t>
      </w:r>
    </w:p>
    <w:p>
      <w:pPr>
        <w:pStyle w:val="sub1"/>
        <w:rPr/>
      </w:pPr>
      <w:r>
        <w:rPr/>
        <w:t>Cash Conservation Activities</w:t>
      </w:r>
    </w:p>
    <w:p>
      <w:pPr>
        <w:pStyle w:val="sub1"/>
        <w:rPr/>
      </w:pPr>
      <w:r>
        <w:rPr/>
        <w:t>Accounting Mechanisms to Track Stranded Cost Recovery</w:t>
      </w:r>
    </w:p>
    <w:p>
      <w:pPr>
        <w:pStyle w:val="sub1"/>
        <w:rPr/>
      </w:pPr>
      <w:r>
        <w:rPr/>
        <w:t>Inter-Company Cash Flows</w:t>
      </w:r>
    </w:p>
    <w:p>
      <w:pPr>
        <w:pStyle w:val="sub1"/>
        <w:rPr/>
      </w:pPr>
      <w:r>
        <w:rPr/>
        <w:t xml:space="preserve">Affiliate Earnings in the California Energy Market </w:t>
      </w:r>
    </w:p>
    <w:p>
      <w:pPr>
        <w:pStyle w:val="sub1"/>
        <w:rPr/>
      </w:pPr>
      <w:r>
        <w:rPr/>
        <w:t>Federal Income Tax Refunds</w:t>
      </w:r>
    </w:p>
    <w:p>
      <w:pPr>
        <w:pStyle w:val="sub1"/>
        <w:rPr/>
      </w:pPr>
      <w:r>
        <w:rPr/>
        <w:t xml:space="preserve">The reports essentially confirm that the cash flow problems asserted by the utilities do pose a serious threat that could lead to bankruptcy proceedings.  We review the key findings of the consultant reports below. </w:t>
      </w:r>
    </w:p>
    <w:p>
      <w:pPr>
        <w:pStyle w:val="Heading3"/>
        <w:numPr>
          <w:ilvl w:val="2"/>
          <w:numId w:val="17"/>
        </w:numPr>
        <w:tabs>
          <w:tab w:val="clear" w:pos="720"/>
        </w:tabs>
        <w:ind w:hanging="360" w:start="1440" w:end="2160"/>
        <w:rPr/>
      </w:pPr>
      <w:bookmarkStart w:id="10" w:name="__RefHeading___Toc510170319"/>
      <w:bookmarkEnd w:id="10"/>
      <w:r>
        <w:rPr/>
        <w:t>PG&amp;E Report Findings</w:t>
      </w:r>
    </w:p>
    <w:p>
      <w:pPr>
        <w:pStyle w:val="sub2"/>
        <w:rPr/>
      </w:pPr>
      <w:r>
        <w:rPr/>
        <w:t xml:space="preserve">The BWG report concludes that PG&amp;E has made accurate representations of its borrowing capability, credit condition and potential events of default.  BWG concludes that PG&amp;E cannot obtain the credit it needs.  BWG confirms that PG&amp;E and its parent, PG&amp;E Corp. have lost access to the commercial paper markets and are using their bank lines of credit to pay maturing commercial paper as it comes due.  </w:t>
      </w:r>
    </w:p>
    <w:p>
      <w:pPr>
        <w:pStyle w:val="sub2"/>
        <w:rPr/>
      </w:pPr>
      <w:r>
        <w:rPr/>
        <w:t xml:space="preserve">PG&amp;E's debt principal and interest payments due in 2001 total $3.2 billion.  BWG reports that PG&amp;E has exhausted its borrowing capability under existing lines of credit and is one the verge of default under the provisions of many of its loan agreements.  Under its short-term credit agreements, PG&amp;E is required to make payments when due and will be in default if accounts payable arising in the ordinary course of business of $100 million or more become overdue.  PG&amp;E Corp.'s loan agreements contain default provisions that are similar to those of PG&amp;E regarding the payment of debts when due. </w:t>
      </w:r>
    </w:p>
    <w:p>
      <w:pPr>
        <w:pStyle w:val="sub2"/>
        <w:rPr/>
      </w:pPr>
      <w:r>
        <w:rPr/>
        <w:t xml:space="preserve">Credit ratings downgrades in January 2001 by Standard &amp; Poor's and Moody's below minimum investment grade ratings for PG&amp;E and PG&amp;E Corp constitute an event of default under the PG&amp;E Corp. bank lines of credit agreements and under one of PG&amp;E's bank line of credit agreements.  Beginning January 16, 2001, the banks have refused to allow draw-downs under the PG&amp;E and PG&amp;E Corp. credit agreements, and the companies are not paying maturing commercial paper obligations as they become due. </w:t>
      </w:r>
    </w:p>
    <w:p>
      <w:pPr>
        <w:pStyle w:val="sub2"/>
        <w:rPr/>
      </w:pPr>
      <w:r>
        <w:rPr/>
        <w:t>BWG also found, however, that PG&amp;E would likely have positive cash reserves through at least March, 2001, and through April or May if CDWR assumes the obligation to procure PG&amp;E's wholesale power other than existing QF and bilateral contracts.  BWG projected PG&amp;E's daily cash balances for the period through March 30, 2001 using a range of market clearing prices.  By a March 15, 2001 Assigned Commissioner's Ruling, we reopened the record to consider updating the financial balances of PG&amp;E.  The update indicates that PG&amp;E's cash balance increased significantly from $827 million on January 31, 2001 to$2.508 billion as of March 8, 2001.</w:t>
      </w:r>
      <w:r>
        <w:rPr>
          <w:rStyle w:val="FootnoteCharacters"/>
          <w:rStyle w:val="FootnoteReference"/>
        </w:rPr>
        <w:footnoteReference w:id="6"/>
      </w:r>
      <w:r>
        <w:rPr/>
        <w:t xml:space="preserve">  During the same period, its outstanding obligations due and in default increased from $1.542 billion on January 31, 2001 to $3.324 billion on March 8, 2001.  Thus, the growth rate in cash on hand exceeded the growth in debts due and in default between the end of January and early March 2001.  We view this update as an improvement from the cash position evaluated by BWG in its January 30</w:t>
      </w:r>
      <w:r>
        <w:rPr>
          <w:vertAlign w:val="superscript"/>
        </w:rPr>
        <w:t>th</w:t>
      </w:r>
      <w:r>
        <w:rPr/>
        <w:t xml:space="preserve"> report.  The updated financial information does not cause us to change the conclusions we reach in this section. </w:t>
      </w:r>
    </w:p>
    <w:p>
      <w:pPr>
        <w:pStyle w:val="Heading3"/>
        <w:numPr>
          <w:ilvl w:val="2"/>
          <w:numId w:val="12"/>
        </w:numPr>
        <w:tabs>
          <w:tab w:val="clear" w:pos="720"/>
        </w:tabs>
        <w:ind w:hanging="360" w:start="1440" w:end="2160"/>
        <w:rPr/>
      </w:pPr>
      <w:bookmarkStart w:id="11" w:name="__RefHeading___Toc510170320"/>
      <w:r>
        <w:rPr/>
        <w:t>Edison Report Findings</w:t>
      </w:r>
      <w:bookmarkEnd w:id="11"/>
      <w:r>
        <w:rPr/>
        <w:t xml:space="preserve"> </w:t>
      </w:r>
    </w:p>
    <w:p>
      <w:pPr>
        <w:pStyle w:val="sub2"/>
        <w:rPr/>
      </w:pPr>
      <w:r>
        <w:rPr/>
        <w:t xml:space="preserve">The KPMG report finds that Edison has exercised all available lines of credit and has been unable to extend or renew credit as obligations become due.  Edison's share of secured and unsecured debt that is due in 2001 is $242 million.  Edison's loan agreements provide for specific clauses with respect to default whereby the underlying debt becomes immediately due and payable.  Credit rating agencies downgraded Edison's credit ratings on most of its rated indebtedness to below investment grade during January 2001.  The market has ceased to purchase Edison's commercial paper even on an overnight basis. </w:t>
      </w:r>
    </w:p>
    <w:p>
      <w:pPr>
        <w:pStyle w:val="sub2"/>
        <w:rPr/>
      </w:pPr>
      <w:r>
        <w:rPr/>
        <w:t>Since the KPMG Report was released, several creditors have formed a credit committee in anticipation of forcing Edison into involuntary bankruptcy.  To help alleviate liquidity concerns, Edison suspended payment of certain obligations, including payments for electric power, and has not declared dividends on its preferred stock that normally would have been paid in February and March 2001.</w:t>
      </w:r>
    </w:p>
    <w:p>
      <w:pPr>
        <w:pStyle w:val="sub2"/>
        <w:rPr/>
      </w:pPr>
      <w:r>
        <w:rPr/>
        <w:t xml:space="preserve">KPMG developed a summary cash flow forecasting model that reflected a range of assumptions regarding power cost per MWh and payment timing to cover the utility's net short position and QF power contracts.  KPMG reports that under the assumptions tested, Edison would improve its cash flow position and retain cash at least through March 31, 2001.  KPMG did not include the impact of the one-cent per kWh rate increase granted in D.01-01-018 in its cash flow assumptions. </w:t>
      </w:r>
    </w:p>
    <w:p>
      <w:pPr>
        <w:pStyle w:val="sub2"/>
        <w:rPr/>
      </w:pPr>
      <w:r>
        <w:rPr/>
        <w:t>As noted previously, the March 15</w:t>
      </w:r>
      <w:r>
        <w:rPr>
          <w:vertAlign w:val="superscript"/>
        </w:rPr>
        <w:t>th</w:t>
      </w:r>
      <w:r>
        <w:rPr/>
        <w:t xml:space="preserve"> Assigned Commissioner's Ruling reopened the record to consider admitting late-filed updates as to the utilities financial information.  The updates indicate that Edison's cash balance improved slightly from $1.5 billion at the end of January 2001 to $1.6 billion by early March 2001.  The balance of debts due and in default increased from $1.24 billion to $1.77 billion over the same period.  Thus, while debts grew somewhat faster than cash for Edison, the overall ratio between cash and debt has remained relatively stable during that time interval.  The updated financial information does not change the conclusions we reach in this section.</w:t>
      </w:r>
    </w:p>
    <w:p>
      <w:pPr>
        <w:pStyle w:val="Heading3"/>
        <w:numPr>
          <w:ilvl w:val="2"/>
          <w:numId w:val="4"/>
        </w:numPr>
        <w:tabs>
          <w:tab w:val="clear" w:pos="720"/>
        </w:tabs>
        <w:ind w:hanging="360" w:start="1440" w:end="2160"/>
        <w:rPr/>
      </w:pPr>
      <w:bookmarkStart w:id="12" w:name="__RefHeading___Toc510170321"/>
      <w:r>
        <w:rPr/>
        <w:t>Parties’ Positions</w:t>
      </w:r>
      <w:bookmarkEnd w:id="12"/>
      <w:r>
        <w:rPr/>
        <w:t xml:space="preserve"> </w:t>
      </w:r>
    </w:p>
    <w:p>
      <w:pPr>
        <w:pStyle w:val="sub2"/>
        <w:rPr/>
      </w:pPr>
      <w:r>
        <w:rPr/>
        <w:t>PG&amp;E states that BWG's assessment of its cash paying ability is incomplete and misleading, even assuming CDWR were to assume responsibility for purchasing all of PG&amp;E's net short position.  BWG's assessment assumes PG&amp;E does not pay outstanding energy procurement liabilities which exceed $3 billion, does not pay off $872 million of commercial paper that has matured or will mature by March 31, 2001, and does not pay off $938 million borrowed from its bank lines of credit.  PG&amp;E claims that failure to factor in these payment obligations ignores the risk that PG&amp;E could be forced into bankruptcy by its unpaid creditors.</w:t>
      </w:r>
    </w:p>
    <w:p>
      <w:pPr>
        <w:pStyle w:val="sub2"/>
        <w:rPr/>
      </w:pPr>
      <w:r>
        <w:rPr/>
        <w:t>PG&amp;E states its requested two cent/kWh increase will allow it to begin to cover additional power cost shortfalls it has accrued since the first of the year, as well as shortfalls it anticipates until CDWR begins purchasing PG&amp;E’s full net short position.</w:t>
      </w:r>
    </w:p>
    <w:p>
      <w:pPr>
        <w:pStyle w:val="sub2"/>
        <w:rPr/>
      </w:pPr>
      <w:r>
        <w:rPr/>
        <w:t xml:space="preserve">In addition, PG&amp;E states that its rate increase request is appropriate because it will provide assurances to lenders and creditors, improve the price signal being received by electricity customers, and there is no legal impediment if the rate freeze is over.  </w:t>
      </w:r>
    </w:p>
    <w:p>
      <w:pPr>
        <w:pStyle w:val="sub2"/>
        <w:rPr/>
      </w:pPr>
      <w:r>
        <w:rPr/>
        <w:t>Edison states that the KPMG report confirms its serious financial distress.  It states that the EPS authorized in D.01-01-018 is far less than what it requires if it continues to have any procurement responsibility.  Edison states that its request for an additional 20% increase is not necessary if it is not responsible for its net short since January 17, 2001, the effective date of AB1X.  As long as there is any uncertainty associated with its continued financial obligation for ongoing procurement costs, including associated ancillary services, unaccounted for energy, ISO fees, and ISO purchases in the real time markets, then all aspects of its request are absolutely needed.</w:t>
      </w:r>
    </w:p>
    <w:p>
      <w:pPr>
        <w:pStyle w:val="sub2"/>
        <w:rPr/>
      </w:pPr>
      <w:r>
        <w:rPr/>
        <w:t>Evidence was introduced and briefs filed by a number of other parties representing consumer advocate, customer groups, and Enron arguing that no additional rate increase is warranted at this time.</w:t>
      </w:r>
      <w:r>
        <w:rPr>
          <w:rStyle w:val="FootnoteCharacters"/>
          <w:rStyle w:val="FootnoteReference"/>
        </w:rPr>
        <w:footnoteReference w:id="7"/>
      </w:r>
      <w:r>
        <w:rPr/>
        <w:t xml:space="preserve">  These parties generally argue that the utilities have not justified the need to burden customers with further increases given the various sources of funds and other remedies available to the utilities.  </w:t>
      </w:r>
    </w:p>
    <w:p>
      <w:pPr>
        <w:pStyle w:val="Heading2"/>
        <w:rPr/>
      </w:pPr>
      <w:bookmarkStart w:id="13" w:name="__RefHeading___Toc510170322"/>
      <w:r>
        <w:rPr/>
        <w:t>Discussion</w:t>
      </w:r>
      <w:bookmarkEnd w:id="13"/>
      <w:r>
        <w:rPr/>
        <w:t xml:space="preserve"> </w:t>
      </w:r>
    </w:p>
    <w:p>
      <w:pPr>
        <w:pStyle w:val="Heading3"/>
        <w:numPr>
          <w:ilvl w:val="0"/>
          <w:numId w:val="0"/>
        </w:numPr>
        <w:ind w:hanging="360" w:start="1440" w:end="0"/>
        <w:rPr/>
      </w:pPr>
      <w:bookmarkStart w:id="14" w:name="__RefHeading___Toc510170323"/>
      <w:bookmarkEnd w:id="14"/>
      <w:r>
        <w:rPr/>
        <w:t>1.</w:t>
        <w:tab/>
        <w:t>Framework and Criteria for Evaluating Need for Further Relief</w:t>
      </w:r>
    </w:p>
    <w:p>
      <w:pPr>
        <w:pStyle w:val="sub2"/>
        <w:rPr/>
      </w:pPr>
      <w:r>
        <w:rPr/>
        <w:t>Our inquiry regarding further rate relief in this phase of the proceeding is focused only on going-forward utility operations.  We do not consider in this order what rate relief, if any, may be warranted to recover the utilities' past undercollections.  Consistent with D.99-10-007, we do not address comprehensive longer term remedies that may be warranted to restore the utilities' overall financial integrity.</w:t>
      </w:r>
    </w:p>
    <w:p>
      <w:pPr>
        <w:pStyle w:val="sub2"/>
        <w:rPr>
          <w:b/>
        </w:rPr>
      </w:pPr>
      <w:r>
        <w:rPr/>
        <w:t>In considering the need for interim relief herein, we first make findings on the status of the utilities financial condition with respect to cash liquidity, credit capacity, and solvency.  The need for rate increases is assessed in relation to the potential for the utilities to continue to meet their obligation to serve by utilizing all cash and credit resources available from all other feasible sources and measures before raising customers’ retail rates.  Thus, one major criterion of the need for emergency rate relief in this phase of the proceeding is whether the utilities can meet essential day-to-day cash flow requirements.  Precisely because the financial problems facing the utilities are extraordinary and unprecedented, it is particularly important to consider creative solutions to the financial problems rather than simply to look to ratepayers as a convenient target for shouldering the full brunt of power bill increases that are issue here.  The burden of proof remains with the utilities to justify the need for another substantial rate increase.</w:t>
      </w:r>
    </w:p>
    <w:p>
      <w:pPr>
        <w:pStyle w:val="sub2"/>
        <w:rPr/>
      </w:pPr>
      <w:r>
        <w:rPr/>
        <w:t xml:space="preserve">The utilities' financial problems involve two interrelated aspects.  The most immediate problem involves a liquidity crisis, that is, the risk that insufficient cash is available for the utility to pay bills as they become due.  The second financial problem involves the risk of insolvency (i.e., negative net worth).  Insolvency occurs when the sum of a firm's debts exceeds the fair value of the firm's property.  (U.S. Code, Title 11, Chapter 1, Section 101(32)(A).)  The severity of these financial problems has led to concern over whether one or both of the utilities may enter into bankruptcy either voluntarily or involuntarily, which may then lead to resulting adverse impacts on the utilities’ ability to offer reliable customer service at reasonable rates. </w:t>
      </w:r>
    </w:p>
    <w:p>
      <w:pPr>
        <w:pStyle w:val="sub2"/>
        <w:rPr/>
      </w:pPr>
      <w:r>
        <w:rPr/>
        <w:t xml:space="preserve">Against this backdrop, we now consider the requests of the utilities to raise rates.  </w:t>
      </w:r>
    </w:p>
    <w:p>
      <w:pPr>
        <w:pStyle w:val="Heading3"/>
        <w:numPr>
          <w:ilvl w:val="2"/>
          <w:numId w:val="13"/>
        </w:numPr>
        <w:tabs>
          <w:tab w:val="clear" w:pos="720"/>
        </w:tabs>
        <w:ind w:hanging="360" w:start="1440" w:end="2160"/>
        <w:rPr/>
      </w:pPr>
      <w:bookmarkStart w:id="15" w:name="__RefHeading___Toc510170324"/>
      <w:bookmarkEnd w:id="15"/>
      <w:r>
        <w:rPr/>
        <w:t>The Rate Freeze Compact</w:t>
      </w:r>
    </w:p>
    <w:p>
      <w:pPr>
        <w:pStyle w:val="sub2"/>
        <w:rPr/>
      </w:pPr>
      <w:r>
        <w:rPr/>
        <w:t>Under the rate freeze provisions of Section 368(a) rates were frozen at a level intended to create "headroom" or margin from which stranded costs could be recovered on an accelerated basis.  The opportunity for the utilities to recover stranded uneconomic investments also entailed some risk that costs incurred by the utilities might rise above the rate freeze level.</w:t>
      </w:r>
      <w:r>
        <w:rPr>
          <w:rStyle w:val="FootnoteCharacters"/>
          <w:rStyle w:val="FootnoteReference"/>
        </w:rPr>
        <w:footnoteReference w:id="8"/>
      </w:r>
    </w:p>
    <w:p>
      <w:pPr>
        <w:pStyle w:val="sub2"/>
        <w:rPr/>
      </w:pPr>
      <w:r>
        <w:rPr/>
        <w:t xml:space="preserve">Just because actual costs have now turned out to be significantly higher than anticipated in 1996, the utilities should still be held accountable for the risks that they agreed to take.  The original quid pro quo underlying the rate freeze must not be ignored.  </w:t>
      </w:r>
    </w:p>
    <w:p>
      <w:pPr>
        <w:pStyle w:val="sub2"/>
        <w:rPr/>
      </w:pPr>
      <w:r>
        <w:rPr/>
        <w:t xml:space="preserve">We agree with Aglet that price deregulation in California has failed to deliver its promises of lower rates and reduced regulation.  Since April 1998, ratepayers have paid billions of dollars in excess of market costs to support recovery of utility transition costs.  Ratepayers did not cause the utility liquidity problems, have not benefited from electric industry restructuring, and should not bear the cost recovery risks imposed by AB 1890.  </w:t>
      </w:r>
    </w:p>
    <w:p>
      <w:pPr>
        <w:pStyle w:val="sub2"/>
        <w:rPr/>
      </w:pPr>
      <w:r>
        <w:rPr/>
        <w:t xml:space="preserve">In D.01-01-018, we granted a rate increase while the rate freeze was on because we needed to address an unprecedented financial crisis and the risks of bankruptcy.  That emergency increase was only intended to permit the utilities to continue to operate, however, until more intensive scrutiny could be applied to their requested rate increases.  We retain the emergency authority to grant a further rate increase here if it is justified.  </w:t>
      </w:r>
    </w:p>
    <w:p>
      <w:pPr>
        <w:pStyle w:val="sub2"/>
        <w:rPr/>
      </w:pPr>
      <w:r>
        <w:rPr/>
        <w:t xml:space="preserve">Whether the rate freeze remains in effect or not, this Commission still has a statutory obligation to ensure that the utilities continue to provide reliable service at just and reasonable rates.  No regulated utility may adjust any rates except upon a showing and a determination by this Commission that such rate increases are justified, pursuant to </w:t>
      </w:r>
      <w:r>
        <w:rPr>
          <w:rFonts w:cs="Tahoma" w:ascii="Tahoma" w:hAnsi="Tahoma"/>
        </w:rPr>
        <w:t>§</w:t>
      </w:r>
      <w:r>
        <w:rPr/>
        <w:t xml:space="preserve"> 454.  In this decision, as we scrutinize more closely the basis for further rate increases beyond those granted in D.00</w:t>
        <w:noBreakHyphen/>
        <w:t>01</w:t>
        <w:noBreakHyphen/>
        <w:t>018, we remain mindful of the standard set forth in § 451 which provides:</w:t>
      </w:r>
    </w:p>
    <w:p>
      <w:pPr>
        <w:pStyle w:val="quote"/>
        <w:ind w:start="1440" w:end="1260"/>
        <w:rPr>
          <w:sz w:val="24"/>
        </w:rPr>
      </w:pPr>
      <w:r>
        <w:rPr/>
        <w:t xml:space="preserve">All charges demanded or received by any public utility, or by any two or more public utilities, for any product or commodity furnished or to be furnished or any service rendered or to be rendered shall be just and reasonable.  Every unjust or unreasonable charge demanded or received for such product or commodity or service is unlawful.  Every public utility shall furnish and maintain such adequate, efficient, just, and reasonable service, instrumentalities, equipment, and facilities, including telephone facilities, as defined in Section 54.1 of the Civil Code, as are necessary to promote the safety, health, comfort, and convenience of its patrons, employees, and the public.  All rules made by public utility affecting or pertaining to its charges or service to the public shall be just and reasonable. </w:t>
      </w:r>
    </w:p>
    <w:p>
      <w:pPr>
        <w:pStyle w:val="Heading3"/>
        <w:numPr>
          <w:ilvl w:val="2"/>
          <w:numId w:val="13"/>
        </w:numPr>
        <w:tabs>
          <w:tab w:val="clear" w:pos="720"/>
        </w:tabs>
        <w:ind w:hanging="360" w:start="1440" w:end="2160"/>
        <w:rPr/>
      </w:pPr>
      <w:bookmarkStart w:id="16" w:name="__RefHeading___Toc510170325"/>
      <w:bookmarkEnd w:id="16"/>
      <w:r>
        <w:rPr/>
        <w:t>Effects of Rate Proposal on Bankruptcy</w:t>
      </w:r>
    </w:p>
    <w:p>
      <w:pPr>
        <w:pStyle w:val="sub2"/>
        <w:rPr/>
      </w:pPr>
      <w:r>
        <w:rPr/>
        <w:t>One of the considerations underlying whether to grant further rate relief in this decision is the prospect for avoiding bankruptcy.  Although the utilities have defaulted on certain debt obligations, that does not necessarily mean that bankruptcy is inevitable.  Creditors' interests are not necessarily served by forcing the utilities into a bankruptcy court where creditors may realize only partial or zero recovery of certain defaulted debt obligations.  At least up until the present time, creditors have been willing show patience in waiting the utilities to work out alternative remedies for outstanding debts to be paid without resorting to bankruptcy proceedings.</w:t>
      </w:r>
    </w:p>
    <w:p>
      <w:pPr>
        <w:pStyle w:val="sub2"/>
        <w:rPr/>
      </w:pPr>
      <w:r>
        <w:rPr/>
        <w:t xml:space="preserve">Moreover, parties disagree as to whether ratepayers would in fact be any worse off by letting the utilities go into bankruptcy if it cannot otherwise be avoided without further rate increases.  </w:t>
      </w:r>
    </w:p>
    <w:p>
      <w:pPr>
        <w:pStyle w:val="sub2"/>
        <w:rPr/>
      </w:pPr>
      <w:r>
        <w:rPr/>
        <w:t xml:space="preserve">CIU argues there will be a substantial impact on customers and the California economy if we grant the requested rate relief.  Assuming an equal cents per kWh allocation of PG&amp;E's increase, as proposed, the cumulative rate increase (including the one-cent-per-kWh approved in D.01-01-018) would be 27% for residential customers, 45% for large firm users, and 75% for large non-firm customers.  (California Industrial Users Brief; pp. 9-10.)  PG&amp;E has not presented any analysis of the adverse effects on the California economy that would result from such burdensome rate increases. </w:t>
      </w:r>
    </w:p>
    <w:p>
      <w:pPr>
        <w:pStyle w:val="sub2"/>
        <w:rPr/>
      </w:pPr>
      <w:r>
        <w:rPr/>
        <w:t>Finally, PG&amp;E’s witness Campbell testified that even with the two cent/kWh rate increase, he couldn’t say if PG&amp;E would be able to avoid bankruptcy, and that the two cents may accomplish nothing.</w:t>
      </w:r>
      <w:r>
        <w:rPr>
          <w:rStyle w:val="FootnoteCharacters"/>
          <w:rStyle w:val="FootnoteReference"/>
        </w:rPr>
        <w:footnoteReference w:id="9"/>
      </w:r>
    </w:p>
    <w:p>
      <w:pPr>
        <w:pStyle w:val="sub2"/>
        <w:rPr/>
      </w:pPr>
      <w:r>
        <w:rPr/>
        <w:t xml:space="preserve">Based upon our review of the evidence in this phase of the proceeding, we find that the utilities are indeed facing unprecedented financial problems.  The BWG and KPMG report findings, specifically those regarding the utilities' cash flow difficulties and inability to obtain additional credit, generally confirm that the financial problems facing the utilities are serious in nature.  Although the utilities take issue with certain statements made in the reports, they essentially agree with the overall findings of the reports.  We conclude that the reports provide reliable independent assessments of the financial state of the utilities.  These reports make factual findings concerning the status of the utilities' financial condition covering the period under examination, but present no recommendations as to the utilities' need for further retail rate increases going forward.  (RT 1049; Heaton/BWG/Energy Division Panel) </w:t>
      </w:r>
    </w:p>
    <w:p>
      <w:pPr>
        <w:pStyle w:val="sub2"/>
        <w:rPr/>
      </w:pPr>
      <w:r>
        <w:rPr/>
        <w:t xml:space="preserve">While acknowledging that serious financial problems exist, we note that both reports find that each of the utilities will continue to have positive cash balances at least through the end of March 2001.  Moreover, the one-cent per kWh increase granted in D.01-01-018 that has since been extended indefinitely will provide a further source of cash flow relief that was not factored into the consultant’s cash flow assessments.  </w:t>
      </w:r>
    </w:p>
    <w:p>
      <w:pPr>
        <w:pStyle w:val="sub2"/>
        <w:rPr/>
      </w:pPr>
      <w:r>
        <w:rPr/>
        <w:t>As we discuss below, parties have also identified other sources of positive cash flow that are available and that were not taken into account by the utilities in explaining the basis for their requested increase.</w:t>
      </w:r>
    </w:p>
    <w:p>
      <w:pPr>
        <w:pStyle w:val="Heading3"/>
        <w:numPr>
          <w:ilvl w:val="2"/>
          <w:numId w:val="13"/>
        </w:numPr>
        <w:tabs>
          <w:tab w:val="clear" w:pos="720"/>
        </w:tabs>
        <w:ind w:hanging="360" w:start="1440" w:end="2160"/>
        <w:rPr/>
      </w:pPr>
      <w:r>
        <w:rPr/>
        <w:t>AB1X</w:t>
      </w:r>
    </w:p>
    <w:p>
      <w:pPr>
        <w:pStyle w:val="sub2"/>
        <w:rPr/>
      </w:pPr>
      <w:r>
        <w:rPr/>
        <w:t>AB1X may provide the utilities a significant source of cash flow relief going forward.  This legislation authorizes, but does not require, CDWR to purchase electric power and to sell power to retail end-user customers and to local publicly-owned electric utilities, with specific exceptions.  AB1X adds Section 80002 to the Water Code.  This section provides that nothing in this new law shall be construed to reduce or modify any electrical corporation’s obligation to serve.</w:t>
      </w:r>
    </w:p>
    <w:p>
      <w:pPr>
        <w:pStyle w:val="sub2"/>
        <w:rPr/>
      </w:pPr>
      <w:r>
        <w:rPr/>
        <w:t>Section 360.5, also added by AB1X, requires the Commission to calculate a California Procurement Adjustment (CPA), which then becomes a portion of the utility retail rate.  The statute defines the CPA as “the difference between the generation related component of the retail rate [on January 5, 2001] and the sum of the costs of the utility’s own generation, qualifying facility contracts, existing bilateral contracts and ancillary services.”  The determination of the CPA will be addressed in separate order, and that issue is not before us here.</w:t>
      </w:r>
      <w:r>
        <w:rPr>
          <w:sz w:val="24"/>
        </w:rPr>
        <w:t xml:space="preserve">  </w:t>
      </w:r>
      <w:r>
        <w:rPr/>
        <w:t xml:space="preserve">The assigned ALJ for that phase of the proceeding has already adopted an expedited schedule to determine the CPA revenue requirement and rates necessary to recover it on an interim basis pursuant to Water Code Section 80114.  Once an interim CPA revenue requirement is established, we will also establish an interim allocation as required by Section 360.5. </w:t>
      </w:r>
    </w:p>
    <w:p>
      <w:pPr>
        <w:pStyle w:val="sub2"/>
        <w:rPr/>
      </w:pPr>
      <w:r>
        <w:rPr/>
        <w:t xml:space="preserve">PG&amp;E expresses uncertainty as to whether CDWR will bear full responsibility for utility power procurement other than existing QF and bilateral contracts.  Although PG&amp;E had originally assumed that CDWR would purchase whatever daily power was needed after the passage of AB1X in accordance with legal requirements, PG&amp;E claims that CDWR appears not to agree. </w:t>
      </w:r>
    </w:p>
    <w:p>
      <w:pPr>
        <w:pStyle w:val="sub2"/>
        <w:rPr/>
      </w:pPr>
      <w:r>
        <w:rPr/>
        <w:t xml:space="preserve">Edison expresses a similar concern that CDWR apparently believes it is not responsible for the entire net short position even though Edison contends that such was the premise underlying the passage of AB1X.  Edison states that if CDWR would acknowledge responsibility for procuring all net short needs and all costs related to those needs, Edison would not require immediate rate relief beyond a continuation of the EPS.  Absent this assumption, Edison claims that it still needs the two-cents per kWh increase.  Edison fails to provide any cash flow analysis, however, regarding what portion of the two-cents per kWh it would need assuming some portion of the its net short position was procured by CDWR.  </w:t>
      </w:r>
    </w:p>
    <w:p>
      <w:pPr>
        <w:pStyle w:val="sub2"/>
        <w:rPr/>
      </w:pPr>
      <w:r>
        <w:rPr/>
        <w:t xml:space="preserve">We recognize that the language in AB1X is permissive.  CDWR is not required to cover the utilities’ net short position.  At the present time, CDWR is still making purchases that cover a substantial portion of each utility's net short position.  In any event, even though each utility may still have to cover a share of procurement costs on a going forward basis, our record indicates their total procurement costs may be less than their total utility generation rate component. (RT 2067; Florio/TURN). </w:t>
      </w:r>
    </w:p>
    <w:p>
      <w:pPr>
        <w:pStyle w:val="sub2"/>
        <w:rPr/>
      </w:pPr>
      <w:r>
        <w:rPr/>
        <w:t>Under cross examination by ORA, PG&amp;E's witness claimed that a two-cent-per-kWh increase is still required even if CDWR covers PG&amp;E's entire net short position, including ancillary services.  Yet under further examination by ALJ Walwyn, PG&amp;E's witness conceded that its two-cent increase fails to account for any offsetting relief from CDWR covering at least some portion of PG&amp;E's prospective wholesale power payments.  (Tr. 1583:2-7).  Therefore, before a utility rate increase to cover a shortfall in power costs could be properly be justified, the CDWR revenue requirement first needs to be determined regarding the portion of purchased power costs it will procure under AB1X.  Without providing a cash flow analysis factoring in any expected financial relief to be provided by CDWR, PG&amp;E has failed to lay a proper foundation to support its claimed need for the two-cents per kWh rate increase.</w:t>
      </w:r>
    </w:p>
    <w:p>
      <w:pPr>
        <w:pStyle w:val="Heading3"/>
        <w:numPr>
          <w:ilvl w:val="2"/>
          <w:numId w:val="13"/>
        </w:numPr>
        <w:tabs>
          <w:tab w:val="clear" w:pos="720"/>
        </w:tabs>
        <w:ind w:hanging="360" w:start="1440" w:end="2160"/>
        <w:rPr/>
      </w:pPr>
      <w:bookmarkStart w:id="17" w:name="__RefHeading___Toc510170327"/>
      <w:bookmarkEnd w:id="17"/>
      <w:r>
        <w:rPr/>
        <w:t>Financial Assistance from Parent Companies</w:t>
      </w:r>
    </w:p>
    <w:p>
      <w:pPr>
        <w:pStyle w:val="sub2"/>
        <w:rPr/>
      </w:pPr>
      <w:r>
        <w:rPr/>
        <w:t xml:space="preserve">We observed in D.01-01-018 that the utilities’ holding companies could provide an additional source of potential funding for cash shortfalls.  We recognize that the cash resources available from the holding companies may be insufficient to fully address the utilities' cash flow problems.  Nonetheless, we believe that further investigation is warranted to explore the extent to which holding company cash resources can and should be used to provide a source of capital to help alleviate the utilities cash flow problems. </w:t>
      </w:r>
    </w:p>
    <w:p>
      <w:pPr>
        <w:pStyle w:val="sub2"/>
        <w:rPr/>
      </w:pPr>
      <w:r>
        <w:rPr/>
        <w:t xml:space="preserve">Both PG&amp;E and Edison oppose any requirement upon their holding companies to provide funding assistance to the utilities in meeting their cash flow needs.  Yet PG&amp;E's financial witness testified that PG&amp;E's holding company management does not believe there is anything that legally precludes it from infusing money into the utility to pay for utility operating costs.  (RT 1537-38; PG&amp;E/Campbell).  </w:t>
      </w:r>
    </w:p>
    <w:p>
      <w:pPr>
        <w:pStyle w:val="sub2"/>
        <w:rPr/>
      </w:pPr>
      <w:r>
        <w:rPr/>
        <w:t xml:space="preserve">In D.99-04-068, we prescribed that: </w:t>
      </w:r>
    </w:p>
    <w:p>
      <w:pPr>
        <w:pStyle w:val="quote"/>
        <w:ind w:start="1440" w:end="1260"/>
        <w:rPr/>
      </w:pPr>
      <w:r>
        <w:rPr/>
        <w:t xml:space="preserve">"Ordering Paragraph 17 of D.96-11-017 is modified to read as follows: 'The capital requirements of PG&amp;E, as determined to be necessary and prudent to meet the obligation to serve or to operate the utility in a prudent and efficient manner, shall be given first priority by PG&amp;E Corporation’s Board of Directors.' (Ordering Paragraph 8) </w:t>
      </w:r>
    </w:p>
    <w:p>
      <w:pPr>
        <w:pStyle w:val="sub2"/>
        <w:rPr/>
      </w:pPr>
      <w:r>
        <w:rPr/>
        <w:t>In view of this directive, we conclude that further scrutiny is warranted concerning whether PG&amp;E Corporation has properly complied with its obligation to give first priority to the utility.</w:t>
      </w:r>
    </w:p>
    <w:p>
      <w:pPr>
        <w:pStyle w:val="sub2"/>
        <w:rPr/>
      </w:pPr>
      <w:r>
        <w:rPr/>
        <w:t>The sheer magnitude of the funds transferred from each utility to its holding company since transition period beginning in 1996, coupled with the meager level of funds flowing back in the other direction raises serious questions as to what further responsibility the holding companies should have in assisting the utilities.  As revealed in cross-examination of PG&amp;E witness Campbell in the previous phase of this proceeding, disbursements from PG&amp;E to the parent company, PG&amp;E Corp., during the transition period were approximately $9.6 billion.  Out of this total, PG&amp;E Corp. issued dividends (both common and preferred stock) of approximately $1.5 billion.  PG&amp;E also repurchased stock in the amount of approximately $2.8 billion and retired approximately $2.8 billion of debt.  PG&amp;E recognized that market problems were beginning to occur in June of 2000, but still decided to declare a third-quarter dividend.  PG&amp;E did not consider establishing a contingency fund or retaining cash to cushion its risk, because it believed that “its generally conservative financial profile and financing practices would adequately provide cushion against . . . a reasonable range of contingencies.”  (TR: 409.)  Now that events have extended beyond the "reasonable range of contingencies," PG&amp;E has turned to the ratepayers for relief.</w:t>
      </w:r>
    </w:p>
    <w:p>
      <w:pPr>
        <w:pStyle w:val="sub2"/>
        <w:rPr/>
      </w:pPr>
      <w:r>
        <w:rPr/>
        <w:t xml:space="preserve">Edison's parent company is Edison International (EIX), and Edison's other affiliated companies include Edison Mission Energy, Edison Mission Marketing and Trading, and Edison Capital.  EIX is dependent upon dividends from its subsidiaries and from financings for its cash flow needs.  Out of an approximate $5 billion in dividends and transfers received from its subsidiaries over the four-year-and-eleven-month period ended November 30, 2000, approximately $4.75 billion was attributable to Edison. </w:t>
      </w:r>
    </w:p>
    <w:p>
      <w:pPr>
        <w:pStyle w:val="sub2"/>
        <w:rPr/>
      </w:pPr>
      <w:r>
        <w:rPr/>
        <w:t xml:space="preserve">For the same period, EIX paid dividends to its common shareholders of $1.9 billion and repurchased common shares for $2.7 billion.  Also, EIX made capital contributions to the Mission Group in the amount of $2.5 billion (of which $2.3 billion was made in 1999).  These outflows and the cash used by the holding company operations totaled $7.1 billion.  During 1999, EIX issued $1.9 billion in long term and short-term debt to support such contributions. </w:t>
      </w:r>
    </w:p>
    <w:p>
      <w:pPr>
        <w:pStyle w:val="sub2"/>
        <w:rPr/>
      </w:pPr>
      <w:r>
        <w:rPr/>
        <w:t xml:space="preserve">In January 2000, EIX, in a manner similar to PGC, took ring-fencing action that separates the Mission Group affiliates from Edison.  </w:t>
      </w:r>
    </w:p>
    <w:p>
      <w:pPr>
        <w:pStyle w:val="sub2"/>
        <w:rPr/>
      </w:pPr>
      <w:r>
        <w:rPr/>
        <w:t xml:space="preserve">The Commission has placed notice on its public agenda of a proposal to open a new investigation to consider whether the utilities and their corporate parents are complying with the Commission's rules regarding utility holding companies.  Our record shows that the holding companies and affiliates of each utility could serve as a source of additional funds for PG&amp;E and Edison.  We should not increase rates for retail customers until we have examined the holding companies' obligations to provide financial support to the utilities. </w:t>
      </w:r>
    </w:p>
    <w:p>
      <w:pPr>
        <w:pStyle w:val="Heading3"/>
        <w:numPr>
          <w:ilvl w:val="2"/>
          <w:numId w:val="13"/>
        </w:numPr>
        <w:tabs>
          <w:tab w:val="clear" w:pos="720"/>
        </w:tabs>
        <w:ind w:hanging="360" w:start="1440" w:end="2160"/>
        <w:rPr/>
      </w:pPr>
      <w:bookmarkStart w:id="18" w:name="__RefHeading___Toc510170328"/>
      <w:bookmarkEnd w:id="18"/>
      <w:r>
        <w:rPr/>
        <w:t>Proceeds from Income Tax Refunds</w:t>
      </w:r>
    </w:p>
    <w:p>
      <w:pPr>
        <w:pStyle w:val="sub2"/>
        <w:rPr/>
      </w:pPr>
      <w:r>
        <w:rPr/>
        <w:t>The BWG report discusses the large tax refund that is attributable to PG&amp;E’s 2000 losses.  PG&amp;E Witness Campbell testified that PG&amp;E Corporation may receive a substantial income tax refund during the first half of 2001, and that most—if not all—of this refund will be returned to PG&amp;E which originated the net operating losses.  Counsel for PG&amp;E later confirmed all of the refund due PG&amp;E on a stand-alone basis would be flowed back to PG&amp;E from its parent and that portions of the refund had already been received.</w:t>
      </w:r>
    </w:p>
    <w:p>
      <w:pPr>
        <w:pStyle w:val="sub2"/>
        <w:rPr/>
      </w:pPr>
      <w:r>
        <w:rPr/>
        <w:t>Similarly, income tax refunds are due to be received by Edison.  Edison’s counsel stated EIX would not be filing its taxes until September, 2001 and that the $420 million refund portion due Edison on a stand-alone basis would be flowed through to Edison.</w:t>
      </w:r>
    </w:p>
    <w:p>
      <w:pPr>
        <w:pStyle w:val="Heading3"/>
        <w:numPr>
          <w:ilvl w:val="2"/>
          <w:numId w:val="13"/>
        </w:numPr>
        <w:tabs>
          <w:tab w:val="clear" w:pos="720"/>
        </w:tabs>
        <w:ind w:hanging="360" w:start="1440" w:end="2160"/>
        <w:rPr/>
      </w:pPr>
      <w:bookmarkStart w:id="19" w:name="__RefHeading___Toc510170329"/>
      <w:bookmarkEnd w:id="19"/>
      <w:r>
        <w:rPr/>
        <w:t>Restructuring of QF Contracts</w:t>
      </w:r>
    </w:p>
    <w:p>
      <w:pPr>
        <w:pStyle w:val="sub2"/>
        <w:rPr/>
      </w:pPr>
      <w:r>
        <w:rPr/>
        <w:t>Another potential means of stretching existing cash resources is through the restructuring of QF power contracts.  During cross examination, PG&amp;E's witness conceded that if current negotiations to restructured QF contracts are successful, PG&amp;E could cover the QF payments and still have some surplus available to satisfy its obligations to the CDWR under the existing one-cent increase already granted in January 2001 (Tr. 1584:16-18).  Therefore, we find that utilities has failed to justify a proposed two-cent increase in view of the failure to take into account the potential for QF contract payment restructuring.</w:t>
      </w:r>
    </w:p>
    <w:p>
      <w:pPr>
        <w:pStyle w:val="Heading3"/>
        <w:numPr>
          <w:ilvl w:val="2"/>
          <w:numId w:val="13"/>
        </w:numPr>
        <w:tabs>
          <w:tab w:val="clear" w:pos="720"/>
        </w:tabs>
        <w:ind w:hanging="360" w:start="1440" w:end="2160"/>
        <w:rPr/>
      </w:pPr>
      <w:bookmarkStart w:id="20" w:name="__RefHeading___Toc510170330"/>
      <w:bookmarkEnd w:id="20"/>
      <w:r>
        <w:rPr/>
        <w:t>Setting prices for Diablo Canyon and SONGS at Cost-Based Levels</w:t>
      </w:r>
    </w:p>
    <w:p>
      <w:pPr>
        <w:pStyle w:val="sub2"/>
        <w:rPr/>
      </w:pPr>
      <w:r>
        <w:rPr/>
        <w:t xml:space="preserve">Both TURN and ORA testify that the Incremental Cost Incentive Proposal (ICIP) pricing mechanism for PG&amp;E’s Diablo Canyon nuclear plant and Edison’s portion of the San Onofre Nuclear Generating Station (SONGS) provides prices far above cost levels to the utilities.  If the utilities were to price these units under cost of service ratemaking, there would be more room in the generation component of rates to fund purchases of electricity.  This is an issue we should explore further in AB1X implementation.  </w:t>
      </w:r>
    </w:p>
    <w:p>
      <w:pPr>
        <w:pStyle w:val="Heading3"/>
        <w:numPr>
          <w:ilvl w:val="2"/>
          <w:numId w:val="13"/>
        </w:numPr>
        <w:tabs>
          <w:tab w:val="clear" w:pos="720"/>
        </w:tabs>
        <w:ind w:hanging="360" w:start="1440" w:end="2160"/>
        <w:rPr/>
      </w:pPr>
      <w:bookmarkStart w:id="21" w:name="__RefHeading___Toc510170331"/>
      <w:bookmarkEnd w:id="21"/>
      <w:r>
        <w:rPr/>
        <w:t>Management Decisions Affecting Cash Flow</w:t>
      </w:r>
    </w:p>
    <w:p>
      <w:pPr>
        <w:pStyle w:val="sub2"/>
        <w:rPr/>
      </w:pPr>
      <w:r>
        <w:rPr/>
        <w:t xml:space="preserve">As an additional factor in considering the justification for a rate increase, various parties raise the issue of utility management responsibility, and whether utility management could have reasonably taken actions sooner to conserve cash resources in anticipation of subsequent need for such resources.  </w:t>
      </w:r>
    </w:p>
    <w:p>
      <w:pPr>
        <w:pStyle w:val="sub2"/>
        <w:rPr/>
      </w:pPr>
      <w:r>
        <w:rPr/>
        <w:t>ORA, for example, attempted to investigate the prudence of PG&amp;E's utility decision-making in the context of the mounting utility debt in the TRA under-collection.  (Koundinya, ORA, Tr. Vol. 16, p. 2181-82).  Because PG&amp;E has not yet responded to ORA discovery requests, ORA recommends that a more thorough investigation into the prudence of utility financial policies and bidding practices be conducted in another phase of this proceeding, (Ex. 81, pp. 3-9).</w:t>
      </w:r>
    </w:p>
    <w:p>
      <w:pPr>
        <w:pStyle w:val="sub2"/>
        <w:rPr/>
      </w:pPr>
      <w:r>
        <w:rPr/>
        <w:t>ORA disputes PG&amp;E's claim that prices were expected to 'come down' after the summer of 2000 and recommends further investigation.  ORA also disputes PG&amp;E's claim that the pattern of wholesale prices during the summer of 2000 was 'typical.'  The abnormalities in the pattern of wholesale prices in terms of high off-peak prices have been documented in the reports issued by the President of the Public Utilities Commission.</w:t>
      </w:r>
      <w:r>
        <w:rPr>
          <w:rStyle w:val="FootnoteCharacters"/>
          <w:rStyle w:val="FootnoteReference"/>
        </w:rPr>
        <w:footnoteReference w:id="10"/>
      </w:r>
      <w:r>
        <w:rPr/>
        <w:t xml:space="preserve">  ORA proposes that the Commission investigate if PG&amp;E made prudent use of the block forward market and other hedging instruments to obtain price stability in energy markets.</w:t>
      </w:r>
      <w:r>
        <w:rPr>
          <w:rStyle w:val="FootnoteCharacters"/>
          <w:rStyle w:val="FootnoteReference"/>
        </w:rPr>
        <w:footnoteReference w:id="11"/>
      </w:r>
      <w:r>
        <w:rPr/>
        <w:t xml:space="preserve">  </w:t>
      </w:r>
    </w:p>
    <w:p>
      <w:pPr>
        <w:pStyle w:val="sub2"/>
        <w:rPr/>
      </w:pPr>
      <w:r>
        <w:rPr/>
        <w:t>BWG, the independent consultants retained to conduct a financial review of PG&amp;E, opined that "with the information that was available, it would not have been inappropriate to start cash conservation earlier than they did."  (Joyner, BWG, Tr. Vol. 8 p. 1051).  The BWG Report points out several 'early' indicators of market dysfunction from 1998 to 2000.</w:t>
      </w:r>
      <w:r>
        <w:rPr>
          <w:rStyle w:val="FootnoteCharacters"/>
          <w:rStyle w:val="FootnoteReference"/>
        </w:rPr>
        <w:footnoteReference w:id="12"/>
      </w:r>
      <w:r>
        <w:rPr/>
        <w:t xml:space="preserve">  BWG further points out losses incurred by PG&amp;E due to imprudent bidding strategies.</w:t>
      </w:r>
      <w:r>
        <w:rPr>
          <w:rStyle w:val="FootnoteCharacters"/>
          <w:rStyle w:val="FootnoteReference"/>
        </w:rPr>
        <w:footnoteReference w:id="13"/>
      </w:r>
      <w:r>
        <w:rPr/>
        <w:t xml:space="preserve">  </w:t>
      </w:r>
    </w:p>
    <w:p>
      <w:pPr>
        <w:pStyle w:val="sub2"/>
        <w:rPr/>
      </w:pPr>
      <w:r>
        <w:rPr/>
        <w:t>Cash transfers of $4.632 billion were made from the utility to PG&amp;E Corp. over the rate freeze period.</w:t>
      </w:r>
      <w:r>
        <w:rPr>
          <w:rStyle w:val="FootnoteCharacters"/>
          <w:rStyle w:val="FootnoteReference"/>
        </w:rPr>
        <w:footnoteReference w:id="14"/>
      </w:r>
      <w:r>
        <w:rPr/>
        <w:t xml:space="preserve">  ORA questions the prudence of this transfer in the context of PG&amp;E's overall financial policy.  PG&amp;E's financial witness, Mr. Campbell, stated that PG&amp;E's financial performance over the past five years could not be interpreted "as being anything closely approaching that of the average utility in the United States."</w:t>
      </w:r>
      <w:r>
        <w:rPr>
          <w:rStyle w:val="FootnoteCharacters"/>
          <w:rStyle w:val="FootnoteReference"/>
        </w:rPr>
        <w:footnoteReference w:id="15"/>
      </w:r>
      <w:r>
        <w:rPr/>
        <w:t xml:space="preserve">  ORA argues that the Commission should not compensate PG&amp;E for past unsystematic, diversifiable and firm-specific business risks.  ORA believes that PG&amp;E's interpretation of its risks, past financial performance and the prudence of its financial policies call for a more detailed showing.  </w:t>
      </w:r>
    </w:p>
    <w:p>
      <w:pPr>
        <w:pStyle w:val="sub2"/>
        <w:rPr/>
      </w:pPr>
      <w:r>
        <w:rPr/>
        <w:t>CIU likewise argues that PG&amp;E’s management were aware of skyrocketing power prices, but did nothing for a very long time.  Although PG&amp;E was aware of wholesale market dysfunction signs as early as summer 1998 (BWG Report; Ex. 28, p. III-1), and expressed concerns about soaring electric prices in summer 2000 (Exh. 37, McManus, pp. 1-3  - 1-4), PG&amp;E continued to count on others to rescue it, according to CIU.  PG&amp;E's witness Campbell testified that PG&amp;E was looking to "indications from the Governor, legislators, the FERC, and this Commission that steps would be taken to mitigate high market prices and to maintain the utility's financial strength." (Exh. 39, Campbell, pp. 3-8, lines 24-27).  PG&amp;E waited until November 2000, after five months of high market prices, to address the issue of cash conservation</w:t>
      </w:r>
      <w:r>
        <w:rPr>
          <w:rStyle w:val="FootnoteCharacters"/>
          <w:rStyle w:val="FootnoteReference"/>
        </w:rPr>
        <w:footnoteReference w:id="16"/>
      </w:r>
    </w:p>
    <w:p>
      <w:pPr>
        <w:pStyle w:val="sub2"/>
        <w:rPr/>
      </w:pPr>
      <w:r>
        <w:rPr/>
        <w:t>CIU also raises questions concerning the management of Edison.  While CIU acknowledges that Edison instituted a more aggressive cash conservation plan than did PG&amp;E, Edison still did not initiate its own cash conservation activities until November 2000.  CIU argues that Edison should therefore bear the consequences of its slowness to react.  (Exh. 34, pp. I-3,V-1).  Edison defends its actions stating that "dividends were paid consistent with Edison's long-standing policy and the repurchase of stock was directly related to Edison's compliance with the Commission's requirements to sale [sic] gas-fired generation." (Exh. 58, Kelly, p. 14, lines 15-17).  CIU discounts Edison's statement, however, merely as further evidence of Edison's "business-as-usual" attitude even as the financial crisis mounted.  CIU also points out that the Commission never required the utility to divest 100% of all gas fired generating plant, but that all divestiture of fossil generation over 50% was entirely voluntary with the utilities, including Edison.</w:t>
      </w:r>
    </w:p>
    <w:p>
      <w:pPr>
        <w:pStyle w:val="sub2"/>
        <w:rPr/>
      </w:pPr>
      <w:r>
        <w:rPr/>
        <w:t xml:space="preserve">CIU argues that because PG&amp;E and Edison did not take substantial proactive steps sooner to try to conserve cash, they should not now seek to be rescued by ratepayers from the consequences of their own discretionary actions.  </w:t>
      </w:r>
    </w:p>
    <w:p>
      <w:pPr>
        <w:pStyle w:val="sub2"/>
        <w:rPr/>
      </w:pPr>
      <w:r>
        <w:rPr/>
        <w:t xml:space="preserve">GSPC likewise argues that it would be unjust and unreasonable in the extreme to grant a ratepayer bailout of the utilities when the evidence shows that corporate profits were paid out as dividends or otherwise spent without any cash reserve strategy to face the risk of escalating utility procurement costs.  GSPC observes, however, that since the money has already been spent, the Commission is left to cope with "after-the-fact" remedies.  As one such remedy, GSPC proposes that the Commission whether the current corporate structure should be changed to protect future utility operations from having their cash resources drained from them, or whether further conditions should be imposed if the existing corporate structure is to be maintained. </w:t>
      </w:r>
    </w:p>
    <w:p>
      <w:pPr>
        <w:pStyle w:val="sub2"/>
        <w:rPr/>
      </w:pPr>
      <w:r>
        <w:rPr/>
        <w:t xml:space="preserve">PG&amp;E defends its management actions with respect to cash conservation measures as a reasonable response to the financial crisis facing it.  PG&amp;E witness Yura argues that the purpose of cash conservation measures was not to enable PG&amp;E to cover the high cost of wholesale power, and that such action would have been impossible without a significant increase in revenues. </w:t>
      </w:r>
      <w:r>
        <w:rPr>
          <w:rStyle w:val="FootnoteCharacters"/>
          <w:rStyle w:val="FootnoteReference"/>
        </w:rPr>
        <w:footnoteReference w:id="17"/>
      </w:r>
      <w:r>
        <w:rPr/>
        <w:t xml:space="preserve">  PG&amp;E also objects to ORA's proposal for a reasonableness review of its management actions, arguing that procurement practices before the end of the AB 1890 rate freeze are </w:t>
      </w:r>
      <w:r>
        <w:rPr>
          <w:i/>
        </w:rPr>
        <w:t>per se</w:t>
      </w:r>
      <w:r>
        <w:rPr/>
        <w:t xml:space="preserve"> reasonable. </w:t>
      </w:r>
    </w:p>
    <w:p>
      <w:pPr>
        <w:pStyle w:val="sub2"/>
        <w:rPr/>
      </w:pPr>
      <w:r>
        <w:rPr/>
        <w:t xml:space="preserve">We reach no final conclusions in this order as to what actions the utilities should have taken earlier in the process to address their looming cash and credit problems more proactively, or what differences earlier management actions could have made in the amount of cash or credit available.  We observe, however, that to the extent that the utilities could have taken proactive measures sooner to conserve cash to deal with their financial problems, there would have been less need to come before the Commission now asking for ratepayers to bear the significant rate burdens that are being requested.  We leave open the option of considering in a further phase of this proceeding what measures should have been pursued earlier by the utilities in addressing their cash flow problems in a more proactive manner prior to assuming that ratepayers would bear the burden for such financial problems.  As we have previously noted, we are also opening a separate investigation docket to address utility compliance with holding company rules and orders of the Commission.  We may consider the need to adopt reform of utility holding company rules based upon the outcome of our further study and investigation. </w:t>
      </w:r>
    </w:p>
    <w:p>
      <w:pPr>
        <w:pStyle w:val="sub2"/>
        <w:rPr/>
      </w:pPr>
      <w:r>
        <w:rPr/>
        <w:t xml:space="preserve">We take official notice of the two news articles attached to the CIU Phase 1 Brief, reporting that PG&amp;E Corp., the parent company of PG&amp;E, the electric utility, has closed a $1 billion loan agreement to restructure the holding company's debt and to pay obligations on which it has defaulted. </w:t>
      </w:r>
      <w:r>
        <w:rPr>
          <w:rStyle w:val="FootnoteCharacters"/>
          <w:rStyle w:val="FootnoteReference"/>
        </w:rPr>
        <w:footnoteReference w:id="18"/>
      </w:r>
      <w:r>
        <w:rPr/>
        <w:t xml:space="preserve">  None of the proceeds from the $1 billion loan will be used to support the electric utility's cash needs, but will instead go toward paying fourth quarter dividends to PG&amp;E Corp. common shareholders and paying off other debt obligations of the holding company.  PG&amp;E Corp. has defended the loan agreement as making the holding company financially stronger and better positioned to focus its energies on the electric utility's problems.  Yet, we view PG&amp;E Corp.'s action as yet more evidence indicating the holding company's priorities are not properly focused on supporting the cash needs of the electric utility.  The timing of the refinancing agreement is particularly questionable, coming only one day after PG&amp;E, the utility, defaulted on $1.21 billion in debts to its wholesale suppliers.   PG&amp;E Corp.'s $1 billion debt restructuring therefore raises further questions as to how much support the holding company should be providing to the utility before simply assuming that ratepayers will provide a shareholder bailout. </w:t>
      </w:r>
    </w:p>
    <w:p>
      <w:pPr>
        <w:pStyle w:val="Heading3"/>
        <w:numPr>
          <w:ilvl w:val="2"/>
          <w:numId w:val="13"/>
        </w:numPr>
        <w:tabs>
          <w:tab w:val="clear" w:pos="720"/>
          <w:tab w:val="left" w:pos="1620" w:leader="none"/>
        </w:tabs>
        <w:ind w:hanging="360" w:start="1440" w:end="2160"/>
        <w:rPr/>
      </w:pPr>
      <w:bookmarkStart w:id="22" w:name="__RefHeading___Toc510170332"/>
      <w:bookmarkEnd w:id="22"/>
      <w:r>
        <w:rPr/>
        <w:t>Overfunded Pension Assets</w:t>
      </w:r>
    </w:p>
    <w:p>
      <w:pPr>
        <w:pStyle w:val="sub2"/>
        <w:rPr/>
      </w:pPr>
      <w:r>
        <w:rPr/>
        <w:t xml:space="preserve">The Commission will not jeopardize the availability of pension funds necessary to cover the utility’s employees.  However, our record indicates the utilities may be able to realize significant savings from exploring further TURN’s recommendations in this area </w:t>
      </w:r>
    </w:p>
    <w:p>
      <w:pPr>
        <w:pStyle w:val="Heading3"/>
        <w:numPr>
          <w:ilvl w:val="2"/>
          <w:numId w:val="4"/>
        </w:numPr>
        <w:tabs>
          <w:tab w:val="clear" w:pos="720"/>
          <w:tab w:val="left" w:pos="1620" w:leader="none"/>
        </w:tabs>
        <w:ind w:hanging="360" w:start="1440" w:end="180"/>
        <w:rPr/>
      </w:pPr>
      <w:bookmarkStart w:id="23" w:name="__RefHeading___Toc510170333"/>
      <w:bookmarkEnd w:id="23"/>
      <w:r>
        <w:rPr/>
        <w:t>Remedial Actions by Governor's Office and State Legislature</w:t>
      </w:r>
    </w:p>
    <w:p>
      <w:pPr>
        <w:pStyle w:val="sub2"/>
        <w:rPr/>
      </w:pPr>
      <w:r>
        <w:rPr/>
        <w:t xml:space="preserve">As noted by CLECA, Governor Davis' administration and the Legislature are currently engaged with all three of the major electric utilities in discussions regarding remedies to deal with their financial problems.  As of this date, the actual terms of any remedies put into place by Sacramento lawmakers remain unknown.  Any agreement that may be reached between the utilities and the governor's administration or the state legislature has the potential to help the utilities to regain sound financial footing.  We believe that it would be premature to consider granting further rate increases at this time in advance of any potential solutions that may be devised through legislative or gubernatorial channels. </w:t>
      </w:r>
    </w:p>
    <w:p>
      <w:pPr>
        <w:pStyle w:val="Heading3"/>
        <w:numPr>
          <w:ilvl w:val="2"/>
          <w:numId w:val="4"/>
        </w:numPr>
        <w:tabs>
          <w:tab w:val="clear" w:pos="720"/>
        </w:tabs>
        <w:ind w:hanging="360" w:start="1440" w:end="180"/>
        <w:rPr>
          <w:sz w:val="24"/>
        </w:rPr>
      </w:pPr>
      <w:bookmarkStart w:id="24" w:name="__RefHeading___Toc510170334"/>
      <w:r>
        <w:rPr/>
        <w:t>Conclusion</w:t>
      </w:r>
      <w:bookmarkEnd w:id="24"/>
      <w:r>
        <w:rPr/>
        <w:t xml:space="preserve"> </w:t>
      </w:r>
    </w:p>
    <w:p>
      <w:pPr>
        <w:pStyle w:val="sub2"/>
        <w:rPr/>
      </w:pPr>
      <w:r>
        <w:rPr/>
        <w:t xml:space="preserve">In view of the existing cash resources, the possibility that all procurement costs, including a portion of the net short, are covered within the existing generation rate, and the range of strategies and potential remedies available to the utilities to deal with their cash flow crisis, we find no basis for granting the requested rate increases of PG&amp;E and Edison. </w:t>
      </w:r>
    </w:p>
    <w:p>
      <w:pPr>
        <w:pStyle w:val="sub2"/>
        <w:rPr/>
      </w:pPr>
      <w:r>
        <w:rPr/>
        <w:t xml:space="preserve">As we stated in D.01-01-018, we remain troubled by the utilities’ assumption that ratepayers must bear the burden of significant rate increases without the shareholders sharing in the pain.  The utilities and their shareholders have received significant financial benefit from industry restructuring thus far.  For example, PG&amp;E and Edison have each received the benefit of over $2 billion in cash proceeds from rate reduction bonds.  As reported in the monthly TCBA reports, PG&amp;E has received over $9 billion in headroom and other transition cost revenues and Edison has received over $7 billion in such revenues. </w:t>
      </w:r>
    </w:p>
    <w:p>
      <w:pPr>
        <w:pStyle w:val="sub2"/>
        <w:rPr/>
      </w:pPr>
      <w:r>
        <w:rPr/>
        <w:t>Ratepayers are not the only answer to the utilities' dilemma.  Before any further electric retail rate increases are granted, a number of additional sources of funds and alternative remedies need to be more fully considered.</w:t>
      </w:r>
    </w:p>
    <w:p>
      <w:pPr>
        <w:pStyle w:val="sub2"/>
        <w:rPr/>
      </w:pPr>
      <w:r>
        <w:rPr/>
        <w:t>Accordingly, in view of all the considerations laid out above, we decline to grant the request of PG&amp;E and Edison, respectively, for an increase of two-cents per kWh.  We treat Edison’s position as a request for rate relief because under AB1X the utilities retain their obligation to serve responsibilities, including the obligation to purchase power to serve their customers.  We assume in this decision that the utilities may be responsible for a portion of their net short position on a going-forward basis but find the evidence indicates this may be covered by the existing generation portion of their rates.  The Commission will establish their generation costs in the implementation phase of AB1X and if there are revenue shortfalls the utilities will then have adequate justification to seek a rate increase.</w:t>
      </w:r>
    </w:p>
    <w:p>
      <w:pPr>
        <w:pStyle w:val="Heading1"/>
        <w:rPr/>
      </w:pPr>
      <w:bookmarkStart w:id="25" w:name="__RefHeading___Toc510170335"/>
      <w:bookmarkEnd w:id="25"/>
      <w:r>
        <w:rPr/>
        <w:t>TURN’s Accounting Proposal</w:t>
      </w:r>
    </w:p>
    <w:p>
      <w:pPr>
        <w:pStyle w:val="Heading2"/>
        <w:numPr>
          <w:ilvl w:val="1"/>
          <w:numId w:val="18"/>
        </w:numPr>
        <w:ind w:hanging="360" w:start="1080" w:end="2880"/>
        <w:rPr/>
      </w:pPr>
      <w:bookmarkStart w:id="26" w:name="__RefHeading___Toc510170336"/>
      <w:bookmarkEnd w:id="26"/>
      <w:r>
        <w:rPr/>
        <w:t>Current Accounting Mechanisms for Tracking Transition Cost Recovery</w:t>
      </w:r>
      <w:r>
        <w:rPr>
          <w:rStyle w:val="FootnoteCharacters"/>
          <w:rStyle w:val="FootnoteReference"/>
        </w:rPr>
        <w:footnoteReference w:id="19"/>
      </w:r>
    </w:p>
    <w:p>
      <w:pPr>
        <w:pStyle w:val="sub1"/>
        <w:rPr/>
      </w:pPr>
      <w:r>
        <w:rPr/>
        <w:t>Until the utilities collect their uneconomic transition costs and the rate freeze ends, as it has for San Diego Gas &amp; Electric Company (SDG&amp;E), rates are fixed or frozen at the June 10, 1996 levels.  As we explained in D.99-10-057, the utility draws down outstanding generation asset costs depending on the revenues remaining after paying off all other authorized costs, such as those associated with the electric distribution system, public purpose programs, transmission costs, and the costs of procuring electricity for its customers.  The rate freeze shall end on the date relevant transition cost balances are zero.  For PG&amp;E and Edison, the end of the rate freeze shall not occur before the generation assets of each utility have been market-valued except as the law or the Commission determines otherwise.  The Commission has established two major accounting mechanisms to track the costs and revenues associated with transition cost recovery: the TCBA and the TRA.</w:t>
      </w:r>
      <w:r>
        <w:rPr>
          <w:rStyle w:val="FootnoteCharacters"/>
          <w:rStyle w:val="FootnoteReference"/>
        </w:rPr>
        <w:footnoteReference w:id="20"/>
      </w:r>
      <w:r>
        <w:rPr/>
        <w:t xml:space="preserve"> </w:t>
      </w:r>
    </w:p>
    <w:p>
      <w:pPr>
        <w:pStyle w:val="sub1"/>
        <w:rPr/>
      </w:pPr>
      <w:r>
        <w:rPr/>
        <w:t>In D.97-06-060, the Commission established the TCBA for each utility.  In that decision, the Commission set forth particular guidelines for transition cost recovery.  These guidelines were clarified in D.97-11-074, D.97-12-039, and D.00</w:t>
        <w:noBreakHyphen/>
        <w:t xml:space="preserve">02-048.  In general terms, the TCBA tracks the accelerated cost recovery of generation assets and other authorized transition costs.  Revenues are recorded on a monthly basis when headroom revenues are credited to the TCBA.  In addition, revenues are recorded when generation assets are sold for greater than net book value.  Costs are tracked on a monthly basis and are recorded in three general subaccounts: current costs, accelerated costs, and post-2001 costs.  The Commission also established generation memorandum accounts that track the costs and revenues of operating in the marketplace.  Prior to D.01-01-018, excess generation revenues (revenues over costs) from these accounts were credited to the TCBA on an annual basis.  The Commission required the utilities to file monthly TCBA reports in D.97-06-060. </w:t>
      </w:r>
    </w:p>
    <w:p>
      <w:pPr>
        <w:pStyle w:val="sub1"/>
        <w:rPr>
          <w:u w:val="single"/>
        </w:rPr>
      </w:pPr>
      <w:r>
        <w:rPr/>
        <w:t xml:space="preserve">The Commission established the TRA in D.97-10-057.  The TRA is a calculation mechanism designed to track the residual calculation of the CTC and to ensure that headroom is calculated correctly and credited to the TCBA on a monthly basis.  As explained in Resolution E-3514, which addresses the advice letters filed by PG&amp;E and Edison to implement the requirements of D.97-10-057, the purpose of the TRA is to match the amount of billed revenues against the amount of the separated revenue requirement and Commission-approved obligations.  Separated revenue requirements consist of transmission, distribution, public purpose programs, and nuclear decommissioning.  Commission-approved obligations consist of Independent System Operator (ISO) charges and Power Exchange (PX) charges.  For PG&amp;E, Commission-approved obligations also include Diablo Canyon-related ICIP exclusions.  Another purpose of the TRA for PG&amp;E is to ensure dollar-for-dollar recovery of distribution, nuclear decommissioning, and public purpose costs.  For Edison, because it operates under a distribution performance-based ratemaking (PBR) mechanism, dollar-for-dollar recovery of its distribution revenues was not ensured.  Therefore, for Edison, another purpose of the TRA is to ensure dollar-for-dollar recovery of nuclear decommissioning and public purpose costs. </w:t>
      </w:r>
    </w:p>
    <w:p>
      <w:pPr>
        <w:pStyle w:val="sub1"/>
        <w:rPr/>
      </w:pPr>
      <w:r>
        <w:rPr/>
        <w:t>Thus, the TRA and TCBA interact, because headroom is calculated through the TRA and credited as monthly revenue to the TCBA.  The Commission has recognized that there may be months where operating costs exceed revenues, because the costs of energy are no longer fixed, but vary on an hourly basis.</w:t>
      </w:r>
      <w:r>
        <w:rPr>
          <w:rStyle w:val="FootnoteCharacters"/>
          <w:rStyle w:val="FootnoteReference"/>
        </w:rPr>
        <w:footnoteReference w:id="21"/>
      </w:r>
      <w:r>
        <w:rPr/>
        <w:t xml:space="preserve">  In Resolution E-3527, the Commission allowed these unrecovered costs to be carried over in the TRA from month to month, and allowed revenues to be applied to these accumulated undercollections first before being transferred to the TCBA.  To the extent that the rate freeze ends (i.e., transition costs are fully collected and final market valuation is established by the Commission), any remaining undercollection in the TRA cannot be recovered after the rate freeze. (See D.99-10-057 and D.00-03-058.)</w:t>
      </w:r>
    </w:p>
    <w:p>
      <w:pPr>
        <w:pStyle w:val="Heading2"/>
        <w:numPr>
          <w:ilvl w:val="1"/>
          <w:numId w:val="8"/>
        </w:numPr>
        <w:tabs>
          <w:tab w:val="clear" w:pos="720"/>
        </w:tabs>
        <w:ind w:hanging="360" w:start="1080" w:end="2880"/>
        <w:rPr/>
      </w:pPr>
      <w:bookmarkStart w:id="27" w:name="__RefHeading___Toc510170337"/>
      <w:bookmarkEnd w:id="27"/>
      <w:r>
        <w:rPr/>
        <w:t>A.00-10-028 (TURN’s Petition to Modify Resolution E-3527)</w:t>
      </w:r>
    </w:p>
    <w:p>
      <w:pPr>
        <w:pStyle w:val="sub1"/>
        <w:rPr/>
      </w:pPr>
      <w:r>
        <w:rPr/>
        <w:t xml:space="preserve">In A.00-10-028, TURN recognizes the interaction of the TRA and the TCBA and focuses on Resolution E-3527, which stopped the transfer of any TRA undercollection to the TCBA on a monthly basis.  TURN proposes that we modify the accounting rules adopted in Resolution E-3527 to require that the balance in the TRA for each utility, whether negative or positive, be transferred on a monthly basis to the TCBA.  The effective date of the proposed accounting changes would be January 1, 1998, the effective date of Resolution E-3527.  TURN and other parties maintain that this simple change will properly capture the concept of “headroom” over the entire frozen rate period, rather than applying the concept in low-cost months but rejecting it s application in high-cost months.  </w:t>
      </w:r>
    </w:p>
    <w:p>
      <w:pPr>
        <w:pStyle w:val="sub1"/>
        <w:rPr/>
      </w:pPr>
      <w:r>
        <w:rPr/>
        <w:t>TURN proposes that we revise our accounting mechanisms to allow such a transfer.  TURN submits that this treatment would be consistent with that originally established in Resolution E</w:t>
        <w:noBreakHyphen/>
        <w:t>3514 and would be more consistent with the intent of AB 1890.  Furthermore, TURN contends that correcting the ratemaking treatment in this manner will recognize the billions of dollars recovered as transition costs for both Edison and PG&amp;E and will properly recognize the revenues achieved from operating their own generation plants.</w:t>
      </w:r>
    </w:p>
    <w:p>
      <w:pPr>
        <w:pStyle w:val="sub1"/>
        <w:rPr/>
      </w:pPr>
      <w:r>
        <w:rPr/>
        <w:t>TURN believes that the rate freeze concept was intended to serve as a meaningful limitation on the utilities’ ability to recover transition costs.  TURN explains that this concept can only be valid if the rate freeze applies to all costs incurred as well as to transition costs recovered over the entire rate freeze period.  By allowing any TRA balance (whether an overcollection or an undercollection) to be transferred to the TCBA on a monthly basis, TURN maintains that the level of market electricity prices is appropriately reflected in the amount of recorded transition costs recovery.  TURN also contends that this action removes the false distinction between excluding PX purchase costs from the rate freeze for purposes of calculating transition cost recovery during periods of high PX prices and including PX purchases costs in the calculation of transition cost recovery during periods of low PX prices.  TURN believes this approach is lawful because it maintains the prohibition against carrying over costs incurred during the rate freeze for post-recovery and achieves consistency between the treatment of undercollections accrued in each utility’s respective Energy Cost Adjustment Clause (ECAC) accounts that the Commission authorized for transfer and recovery though the TCBA.</w:t>
      </w:r>
    </w:p>
    <w:p>
      <w:pPr>
        <w:pStyle w:val="sub1"/>
        <w:rPr/>
      </w:pPr>
      <w:r>
        <w:rPr/>
        <w:t>TURN also asserts that its proposed accounting change will correct the erroneous treatment of revenues associated with the Rate Reduction Bonds (RRBs) authorized in AB 1890.  TURN observes that the Commission’s current accounting treatment does not achieve the “indifference” outcome reflected in the Commissions decisions on rate reduction bonds when TRA undercollections are accumulating.  TURN also rebuffs the utilities’ claim that allowing the transfer of the undercollections in the TRA to the TCBA would result to a transformation of the procurement costs currently recorded in the TRA, into transition costs, in violation of the limitations AB 1890 imposed for what qualifies for transition cost recovery.  TURN contends that allowing the transfer of TRA undercollections merely reduces prior revenues recorded in the TCBA, thereby affecting only the amount of transition cost recovery achieved to date, not the amount of transition costs recorded in the TCBA.  TURN also dismisses the utilities’ suggestion that the accounting proposal would violate prohibition against retroactive ratemaking.</w:t>
      </w:r>
    </w:p>
    <w:p>
      <w:pPr>
        <w:pStyle w:val="Heading2"/>
        <w:numPr>
          <w:ilvl w:val="1"/>
          <w:numId w:val="8"/>
        </w:numPr>
        <w:tabs>
          <w:tab w:val="clear" w:pos="720"/>
        </w:tabs>
        <w:ind w:hanging="360" w:start="1080" w:end="2880"/>
        <w:rPr/>
      </w:pPr>
      <w:bookmarkStart w:id="28" w:name="__RefHeading___Toc510170338"/>
      <w:r>
        <w:rPr/>
        <w:t>Responses to A.00-10-028 (TURN’s Petition to Modify Resolution E-3527)</w:t>
      </w:r>
      <w:bookmarkEnd w:id="28"/>
      <w:r>
        <w:rPr/>
        <w:t xml:space="preserve"> </w:t>
      </w:r>
    </w:p>
    <w:p>
      <w:pPr>
        <w:pStyle w:val="sub1"/>
        <w:rPr/>
      </w:pPr>
      <w:r>
        <w:rPr/>
        <w:t xml:space="preserve">TURN filed its petition to modify on October 17, 2000.  On November 9, 2000, the following parties filed written responses to the petition:  CIU, CMTA, Energy Producers and Users Coalition (Coalition), Enron, Farm Bureau, Greenlining/LIF, ORA, and Western Power Trading Forum (WPTF).  Parties addressing TURN’s proposal through testimony and briefs in this proceeding are: Aglet, CIU, CLECA, CMTA, Edison, Enron, Farm Bureau, FEA, GSPC, Los Angeles, ORA, PG&amp;E, San Francisco, and SMUD. </w:t>
      </w:r>
    </w:p>
    <w:p>
      <w:pPr>
        <w:pStyle w:val="sub1"/>
        <w:rPr/>
      </w:pPr>
      <w:r>
        <w:rPr/>
        <w:t xml:space="preserve">Only PG&amp;E and Edison object to adopting of TURN’s petition, termed the “TURN proposal”; all other interested parties addressing TURN’s proposal urge its adoption.  </w:t>
      </w:r>
    </w:p>
    <w:p>
      <w:pPr>
        <w:pStyle w:val="Heading2"/>
        <w:numPr>
          <w:ilvl w:val="1"/>
          <w:numId w:val="8"/>
        </w:numPr>
        <w:tabs>
          <w:tab w:val="clear" w:pos="720"/>
        </w:tabs>
        <w:ind w:hanging="360" w:start="1080" w:end="2880"/>
        <w:rPr/>
      </w:pPr>
      <w:bookmarkStart w:id="29" w:name="__RefHeading___Toc510170339"/>
      <w:bookmarkEnd w:id="29"/>
      <w:r>
        <w:rPr/>
        <w:t>Legal, Factual, and Policy Analysis of Proposal</w:t>
      </w:r>
    </w:p>
    <w:p>
      <w:pPr>
        <w:pStyle w:val="Heading3"/>
        <w:tabs>
          <w:tab w:val="clear" w:pos="720"/>
        </w:tabs>
        <w:ind w:hanging="360" w:start="1440" w:end="2160"/>
        <w:rPr/>
      </w:pPr>
      <w:bookmarkStart w:id="30" w:name="__RefHeading___Toc510170340"/>
      <w:bookmarkEnd w:id="30"/>
      <w:r>
        <w:rPr/>
        <w:t>Resolution E-3527 Fosters an Accounting Anomaly That Must be Corrected</w:t>
      </w:r>
    </w:p>
    <w:p>
      <w:pPr>
        <w:pStyle w:val="sub2"/>
        <w:rPr/>
      </w:pPr>
      <w:r>
        <w:rPr/>
        <w:t xml:space="preserve">Adopting the accounting change TURN seeks in A.00-10-028 corrects an anomaly that was inadvertently adopted in Resolution E-3527.  Specifically, by requiring that either the debit or credit balance determined through the TRA calculation be recorded in the TCBA, we give full effect to the rate freeze principle, properly apply the matching principle, and adhere to the requirements of </w:t>
      </w:r>
      <w:r>
        <w:rPr>
          <w:rFonts w:cs="Tahoma" w:ascii="Tahoma" w:hAnsi="Tahoma"/>
        </w:rPr>
        <w:t>§</w:t>
      </w:r>
      <w:r>
        <w:rPr/>
        <w:t xml:space="preserve"> 368(a).  It is inconsistent and counterintuitive to continue to allow the utilities to appear to incur substantial undercollections in their operating costs on the one hand, even while they continue to record substantial amounts of transition cost recovery.  As CMTA correctly points out, since the utilities were both sellers to and buyers from the PX market, the utilities simply paid the PX the difference between revenues to which they are entitled for sales into the PX and cost of power purchased from PX.</w:t>
      </w:r>
      <w:r>
        <w:rPr>
          <w:rStyle w:val="FootnoteCharacters"/>
          <w:rStyle w:val="FootnoteReference"/>
        </w:rPr>
        <w:footnoteReference w:id="22"/>
      </w:r>
      <w:r>
        <w:rPr/>
        <w:t xml:space="preserve">  As PG&amp;E witness McManus’ Prepared Rebuttal Testimony indicates, PG&amp;E is not actually out of pocket by the amount of purchase power cost reflected in the TRA.  Instead, it is only out of pocket the difference between the TRA costs and revenues generated from its own generation assets.</w:t>
      </w:r>
      <w:r>
        <w:rPr>
          <w:rStyle w:val="FootnoteCharacters"/>
          <w:rStyle w:val="FootnoteReference"/>
        </w:rPr>
        <w:footnoteReference w:id="23"/>
      </w:r>
      <w:r>
        <w:rPr/>
        <w:t xml:space="preserve">  A simple adjustment that TURN proposes eliminates an unintended consequence of our current flawed accounting mechanism.  It eradicates the anomaly of allowing the utilities to claim recovery of billions of dollars in transition costs, but also claim that they cannot recover the huge sums of operating costs.  This approach also properly offsets generation revenues and costs of procurement, as we discuss more fully below.</w:t>
      </w:r>
    </w:p>
    <w:p>
      <w:pPr>
        <w:pStyle w:val="sub2"/>
        <w:rPr/>
      </w:pPr>
      <w:r>
        <w:rPr/>
        <w:t>As stated in Resolution E-3527, Edison proposed this approach early on:</w:t>
      </w:r>
    </w:p>
    <w:p>
      <w:pPr>
        <w:pStyle w:val="sub2"/>
        <w:rPr/>
      </w:pPr>
      <w:r>
        <w:rPr/>
        <w:t>Edison finds the ED’s proposed approach inequitable because ‘at the same time that the payments to the ISO and PX are increasing, potentially making the TRA balance negative, additional funds from the sales of Edison’s generation output to the PX are being directly credited to the TCBA which will result in a direct benefit to the customers by immediately reducing transition costs recorded in the TCBA.’  Edison argues that with an increase in the PX price, the ED’s proposal results in the utilities bearing the risk of debit balances in the TRA while the benefits of the increased in the market price related to sale of their generation output to the PX are entirely reflected in the TCBA.  (Resolution E</w:t>
        <w:noBreakHyphen/>
        <w:t>3527, mimeo at p. 5.)</w:t>
      </w:r>
    </w:p>
    <w:p>
      <w:pPr>
        <w:pStyle w:val="sub2"/>
        <w:rPr/>
      </w:pPr>
      <w:r>
        <w:rPr/>
        <w:t>In this resolution, the Commission explained that because of the structure of the TRA, the payments to the PX and ISO are the major components that could force the monthly TRA balance to be a debit amount.  Furthermore, the Commission went on to explain additional concerns raised by Edison:</w:t>
      </w:r>
    </w:p>
    <w:p>
      <w:pPr>
        <w:pStyle w:val="sub2"/>
        <w:rPr/>
      </w:pPr>
      <w:r>
        <w:rPr/>
        <w:t>At the end of the rate freeze, there may be a debit balance left in the TRA.  Edison is concerned that a utility can be ‘unjustly harmed if a debit balance is recorded in the TRA during the latter part of the rate freeze period.  For example, if the monthly TRA calculation results in a debit amount during the first month of operation, it is very likely to be offset by future credit amounts.  However, if in the last month of operation, the TRA monthly calculation results in a debit amount, Edison will not have the opportunity to recover this amount in future periods.’  Edison believes this condition results solely because of the timing of the debit.  To remedy this condition, Edison proposes that ‘the amount transferred to the TCBA should be determined in aggregate based on the accumulated balance over the entire rate freeze and not in monthly increments.’  (</w:t>
      </w:r>
      <w:r>
        <w:rPr>
          <w:i/>
        </w:rPr>
        <w:t>Id</w:t>
      </w:r>
      <w:r>
        <w:rPr/>
        <w:t>. at p. 6.)</w:t>
      </w:r>
    </w:p>
    <w:p>
      <w:pPr>
        <w:pStyle w:val="sub2"/>
        <w:rPr/>
      </w:pPr>
      <w:r>
        <w:rPr/>
        <w:t xml:space="preserve">Resolution E-3527 rejected Edison’s arguments by stating that such treatment would be equivalent to treating the TRA debits as transition costs, which would be unlawful pursuant to </w:t>
      </w:r>
      <w:r>
        <w:rPr>
          <w:rFonts w:cs="Tahoma" w:ascii="Tahoma" w:hAnsi="Tahoma"/>
        </w:rPr>
        <w:t>§</w:t>
      </w:r>
      <w:r>
        <w:rPr/>
        <w:t xml:space="preserve"> 367(a).  The Resolution also declined to address the disposition of debits remaining in the TRA at the end of the transition period, as being beyond the scope of the Resolution.</w:t>
      </w:r>
    </w:p>
    <w:p>
      <w:pPr>
        <w:pStyle w:val="sub2"/>
        <w:rPr/>
      </w:pPr>
      <w:r>
        <w:rPr/>
        <w:t>In retrospect, Edison was correct in noting how E-3527 negated the matching principle.  We believe the Resolution incorrectly characterized the nature of TRA debit transfers.  Applying the principles set forth in D.99-10-057 and upheld in D.00</w:t>
        <w:noBreakHyphen/>
        <w:t>03</w:t>
        <w:noBreakHyphen/>
        <w:t xml:space="preserve">058 requires that we take a closer look at the accounting anomalies caused by the treatment provided for in Resolution E-3527, as TURN requests.  We do not intend to further foster such inconsistencies.  As we have previously stated, the Commission has devised the TCBA and TRA accounting mechanisms and it is within our purview to change these mechanisms.  </w:t>
      </w:r>
    </w:p>
    <w:p>
      <w:pPr>
        <w:pStyle w:val="Heading3"/>
        <w:rPr/>
      </w:pPr>
      <w:bookmarkStart w:id="31" w:name="__RefHeading___Toc510170341"/>
      <w:bookmarkEnd w:id="31"/>
      <w:r>
        <w:rPr/>
        <w:t>TURN’s Proposal is Lawful</w:t>
      </w:r>
    </w:p>
    <w:p>
      <w:pPr>
        <w:pStyle w:val="Heading4"/>
        <w:tabs>
          <w:tab w:val="clear" w:pos="720"/>
        </w:tabs>
        <w:ind w:hanging="360" w:start="2160" w:end="1620"/>
        <w:rPr/>
      </w:pPr>
      <w:bookmarkStart w:id="32" w:name="__RefHeading___Toc510170342"/>
      <w:bookmarkEnd w:id="32"/>
      <w:r>
        <w:rPr/>
        <w:t>TURN’s Proposal Is Consistent With AB 1890</w:t>
      </w:r>
    </w:p>
    <w:p>
      <w:pPr>
        <w:pStyle w:val="sub3"/>
        <w:ind w:firstLine="2160" w:end="0"/>
        <w:rPr/>
      </w:pPr>
      <w:r>
        <w:rPr/>
        <w:t>PG&amp;E and Edison claim that allowing the transfer of the undercollections in the TRA to the TCBA would result in transforming the procurement costs currently recorded in the TRA into transition costs.  According to the utilities, this modification would violate AB1890’s limitations on what qualifies for transition cost recovery.</w:t>
      </w:r>
      <w:r>
        <w:rPr>
          <w:rStyle w:val="FootnoteCharacters"/>
          <w:rStyle w:val="FootnoteReference"/>
        </w:rPr>
        <w:footnoteReference w:id="24"/>
      </w:r>
    </w:p>
    <w:p>
      <w:pPr>
        <w:pStyle w:val="sub3"/>
        <w:ind w:firstLine="2160" w:end="0"/>
        <w:rPr/>
      </w:pPr>
      <w:r>
        <w:rPr/>
        <w:t>We do not agree that this modification will treat TRA undercollections as an additional category of transition costs.  Instead, it merely reduces prior revenues recorded in the TCBA, thereby affecting only the amount of transition cost recovery achieved to date, not the amount of transition costs recorded in the TCBA.</w:t>
      </w:r>
      <w:r>
        <w:rPr>
          <w:rStyle w:val="FootnoteCharacters"/>
          <w:rStyle w:val="FootnoteReference"/>
        </w:rPr>
        <w:footnoteReference w:id="25"/>
      </w:r>
      <w:r>
        <w:rPr/>
        <w:t xml:space="preserve">  The TCBA has monthly entries in its “costs” section that record the amount of transition costs eligible for recovery.  Monthly entries in the “revenues” section are applied to the costs to determine to amount of monthly transition cost recovery.  </w:t>
      </w:r>
    </w:p>
    <w:p>
      <w:pPr>
        <w:pStyle w:val="sub3"/>
        <w:ind w:firstLine="2160" w:end="0"/>
        <w:rPr/>
      </w:pPr>
      <w:r>
        <w:rPr/>
        <w:t>Adoption of TURN’s accounting proposal would result in a revenue debit amount on the TRA balance line of the TCBA revenue section.  Changes to the amounts in the revenues section, while affecting the amount of transition cost recovered, does not change, or as PG&amp;E and Edison insist, transform these amounts to transition costs.</w:t>
      </w:r>
      <w:r>
        <w:rPr>
          <w:rStyle w:val="FootnoteCharacters"/>
          <w:rStyle w:val="FootnoteReference"/>
        </w:rPr>
        <w:footnoteReference w:id="26"/>
      </w:r>
      <w:r>
        <w:rPr/>
        <w:t xml:space="preserve">  </w:t>
      </w:r>
    </w:p>
    <w:p>
      <w:pPr>
        <w:pStyle w:val="sub3"/>
        <w:ind w:firstLine="2160" w:end="0"/>
        <w:rPr/>
      </w:pPr>
      <w:r>
        <w:rPr/>
        <w:t xml:space="preserve">TURN observes that the proposed treatment of the TRA undercollections would be consistent with prior treatment afforded other revenue-tacking accounts applied to the TCBA such as the ISO/PX Implementation Delay Memorandum Account (IPIDMA).  </w:t>
      </w:r>
    </w:p>
    <w:p>
      <w:pPr>
        <w:pStyle w:val="sub3"/>
        <w:ind w:firstLine="2160" w:end="0"/>
        <w:rPr/>
      </w:pPr>
      <w:r>
        <w:rPr/>
        <w:t>As TURN, Enron and the Los Angeles County noted, Edison does not characterize its transfer of about $238 million in IPIDMA balances, which made their way to the TCBA as revenue debits, as a “transformation” to transition costs.</w:t>
      </w:r>
      <w:r>
        <w:rPr>
          <w:rStyle w:val="FootnoteCharacters"/>
          <w:rStyle w:val="FootnoteReference"/>
        </w:rPr>
        <w:footnoteReference w:id="27"/>
      </w:r>
      <w:r>
        <w:rPr/>
        <w:t xml:space="preserve">  Likewise, PGE&amp; does not claim that its recovery of $316 million in this similar manner somehow “transformed” these going forward costs into transition costs.</w:t>
      </w:r>
      <w:r>
        <w:rPr>
          <w:rStyle w:val="FootnoteCharacters"/>
          <w:rStyle w:val="FootnoteReference"/>
        </w:rPr>
        <w:footnoteReference w:id="28"/>
      </w:r>
      <w:r>
        <w:rPr/>
        <w:t xml:space="preserve">  Aglet also correctly points out that debits in the TCBA include many non- transition costs.</w:t>
      </w:r>
      <w:r>
        <w:rPr>
          <w:rStyle w:val="FootnoteCharacters"/>
          <w:rStyle w:val="FootnoteReference"/>
        </w:rPr>
        <w:footnoteReference w:id="29"/>
      </w:r>
      <w:r>
        <w:rPr/>
        <w:t xml:space="preserve">  Prior transfers of balances, which were reflected as revenue debits in the TCBA, did not result in any “transformation” to transition costs, neither would transfers of the TRA undercollections.  TURN’s witness Florio for TURN testified that the only way one can argue that the accounting proposal would “create” new transition costs is if the negatives ever exceeded the positives, which is an assumption contrary to the facts.</w:t>
      </w:r>
      <w:r>
        <w:rPr>
          <w:rStyle w:val="FootnoteCharacters"/>
          <w:rStyle w:val="FootnoteReference"/>
        </w:rPr>
        <w:footnoteReference w:id="30"/>
      </w:r>
      <w:r>
        <w:rPr/>
        <w:t xml:space="preserve"> </w:t>
      </w:r>
    </w:p>
    <w:p>
      <w:pPr>
        <w:pStyle w:val="sub3"/>
        <w:ind w:firstLine="2160" w:end="0"/>
        <w:rPr/>
      </w:pPr>
      <w:r>
        <w:rPr/>
        <w:t xml:space="preserve">In D.97-11-074, the Commission determined the costs and categories of costs for generation-related costs and obligations that had the potential of becoming uneconomic as a result of transitioning to a competitive generation market.  These Commission-authorized costs and obligations will not increase, except as they may have been modified by other Commission decisions.  Instead, transferring the TRA balance to the TCBA on a monthly basis, whether that balance is an under- or overcollection, simply serves to match costs and revenues appropriately.  The effect of this change is fully consistent with AB 1890 and several prior Commission decisions, including D.97-10-057, D.99-10-057, and D.00-03-058.  </w:t>
      </w:r>
    </w:p>
    <w:p>
      <w:pPr>
        <w:pStyle w:val="sub3"/>
        <w:ind w:firstLine="2160" w:end="0"/>
        <w:rPr/>
      </w:pPr>
      <w:r>
        <w:rPr/>
        <w:t xml:space="preserve">We find that the elements against which we must measure the proposals before us are whether they afford the utilities a reasonable opportunity to recover their uneconomic generation costs, as is required by §§ 330(s) and 368(a), while ensuring that ratepayers do not assume unintended and unlawful risks.  PG&amp;E and Edison contend that the rate freeze is over, that their respective TCBAs were overcollected as of August, and that at a minimum, ratepayers are responsible for undercollections that have accrued in the TRA since that time.  In other words, the utilities insist that shareholders have achieved full recovery of transition costs and are therefore not at any risk.  At the same time, the utilities demand that ratepayers now be required to reimburse the utilities for energy procurement costs, even while recognizing that rates were frozen at an artificially high level to ensure that transition cost recovery.  The utilities’ positions indicate that they are unwilling to assume the risks contained in AB 1890.  </w:t>
      </w:r>
    </w:p>
    <w:p>
      <w:pPr>
        <w:pStyle w:val="sub3"/>
        <w:ind w:firstLine="2160" w:end="0"/>
        <w:rPr/>
      </w:pPr>
      <w:r>
        <w:rPr/>
        <w:t>In other proceedings at this Commission and before FERC, PG&amp;E and Edison have long recognized the risk that the variable energy costs may create.  For example, in early 1997, PG&amp;E and Edison asserted to FERC that market-based rates were appropriate because they had no incentive to exercise market power.  The utilities recognized that any increase in revenues obtained as a seller of energy in the PX would be offset by a greater loss in headroom revenues.</w:t>
      </w:r>
      <w:r>
        <w:rPr>
          <w:rStyle w:val="FootnoteCharacters"/>
          <w:rStyle w:val="FootnoteReference"/>
        </w:rPr>
        <w:footnoteReference w:id="31"/>
      </w:r>
      <w:r>
        <w:rPr/>
        <w:t xml:space="preserve">  In its order conditionally approving the ISO and PX, FERC adopted market-based wholesale rates and confirmed that the existence of the rate freeze, the fixed transition cost recovery period, and the mandatory sale of energy by the utilities into the PX helped to mitigate market power concerns.</w:t>
      </w:r>
    </w:p>
    <w:p>
      <w:pPr>
        <w:pStyle w:val="sub3"/>
        <w:ind w:firstLine="2160" w:end="0"/>
        <w:rPr/>
      </w:pPr>
      <w:r>
        <w:rPr/>
        <w:t>This finding is based, in part, on the existence of the retail rate freeze under the Restructuring Legislation during the transition period and the then mandatory sale of energy by the companies into the PX.  During the transition period while the retail rate freeze is in effect, the retail rate freeze in conjunction with the CTC will reduce the incentive to raise prices when the companies are net buyers.</w:t>
      </w:r>
      <w:r>
        <w:rPr>
          <w:rStyle w:val="FootnoteCharacters"/>
          <w:rStyle w:val="FootnoteReference"/>
        </w:rPr>
        <w:footnoteReference w:id="32"/>
      </w:r>
    </w:p>
    <w:p>
      <w:pPr>
        <w:pStyle w:val="sub3"/>
        <w:ind w:firstLine="2160" w:end="0"/>
        <w:rPr/>
      </w:pPr>
      <w:r>
        <w:rPr/>
        <w:t>In D.99-06-057, the Commission discussed the risk of the utilities in this regard:</w:t>
      </w:r>
    </w:p>
    <w:p>
      <w:pPr>
        <w:pStyle w:val="quote"/>
        <w:ind w:start="2160" w:end="1260"/>
        <w:rPr/>
      </w:pPr>
      <w:r>
        <w:rPr/>
        <w:t>“</w:t>
      </w:r>
      <w:r>
        <w:rPr/>
        <w:t>Edison believes that the UDC bears a significant energy procurement risk.  During the transition period, utility rates are frozen at the June 10, 1996 level.  Within the frozen rate level, the utility must recover its operating costs, the costs of procuring sufficient energy and capacity to meet its load, pay for mandated public purpose programs, and recover its transition costs.  If its operating or energy procurement costs rise, the UDC’s shareholders may not be able to fully recover transition costs.  The energy procurement cost is the most highly variable component of the utility’s frozen rate and is completely outside the control of the utility.  Customers are shielded from the risk of price increase during the transition period; utility shareholders bear the entire risk.”  (D.99</w:t>
        <w:noBreakHyphen/>
        <w:t>06</w:t>
        <w:noBreakHyphen/>
        <w:t>057, mimeo. at Sec. IIIC.)</w:t>
      </w:r>
    </w:p>
    <w:p>
      <w:pPr>
        <w:pStyle w:val="sub3"/>
        <w:ind w:firstLine="2160" w:end="0"/>
        <w:rPr/>
      </w:pPr>
      <w:r>
        <w:rPr/>
        <w:t>Adopting the accounting treatment proposed in A.00-10-028 will properly recognize these risks and will be consistent with AB 1890.  To be sure, adopting TURN’s proposal will reduce the amounts available for transition cost recovery, while eliminating the undercollections in the TRA.</w:t>
      </w:r>
    </w:p>
    <w:p>
      <w:pPr>
        <w:pStyle w:val="sub3"/>
        <w:ind w:firstLine="2160" w:end="0"/>
        <w:rPr/>
      </w:pPr>
      <w:r>
        <w:rPr/>
        <w:t xml:space="preserve">However, as the Parties explain:  “ . . . the impact of the proposed change is that, consistent with AB 1890, the level of recorded transition cost recovery at any given time will reflect the </w:t>
      </w:r>
      <w:r>
        <w:rPr>
          <w:u w:val="single"/>
        </w:rPr>
        <w:t>total revenues</w:t>
      </w:r>
      <w:r>
        <w:rPr/>
        <w:t xml:space="preserve"> collected to date during the rate freeze, as well as the </w:t>
      </w:r>
      <w:r>
        <w:rPr>
          <w:u w:val="single"/>
        </w:rPr>
        <w:t>total costs</w:t>
      </w:r>
      <w:r>
        <w:rPr/>
        <w:t xml:space="preserve"> incurred to date in providing service during the rate freeze.”</w:t>
      </w:r>
      <w:r>
        <w:rPr>
          <w:rStyle w:val="FootnoteCharacters"/>
          <w:rStyle w:val="FootnoteReference"/>
        </w:rPr>
        <w:footnoteReference w:id="33"/>
      </w:r>
      <w:r>
        <w:rPr/>
        <w:t xml:space="preserve">  This is essentially the same treatment that the utilities have applied themselves in recovery of prior reporting period adjustments and recovery of prior period undercollections.  By collecting these undercollections before headroom is applied to transition cost recovery, the total transition cost recovery achieved is necessarily lower.  </w:t>
      </w:r>
    </w:p>
    <w:p>
      <w:pPr>
        <w:pStyle w:val="sub3"/>
        <w:ind w:firstLine="2160" w:end="0"/>
        <w:rPr/>
      </w:pPr>
      <w:r>
        <w:rPr/>
        <w:t>This approach is also consistent with the Commission’s prior actions in D.96-12-077 and D.97-11-074.  For example, the Commission authorized the rate freeze to commence on January 1, 1997, a year prior to the statutorily-mandated beginning of the transition period (</w:t>
      </w:r>
      <w:r>
        <w:rPr>
          <w:rFonts w:cs="Tahoma" w:ascii="Tahoma" w:hAnsi="Tahoma"/>
        </w:rPr>
        <w:t>§</w:t>
      </w:r>
      <w:r>
        <w:rPr/>
        <w:t xml:space="preserve"> 330(n)).  (70 CPUC 2d, 207, 220.)  The Commission specifically discussed the impact of Energy Cost Adjustment Clause (ECAC) undercollections and overcollections during that initial year when ECAC costs were part of the authorized revenue requirement:</w:t>
      </w:r>
    </w:p>
    <w:p>
      <w:pPr>
        <w:pStyle w:val="quote"/>
        <w:ind w:start="2160" w:end="1260"/>
        <w:rPr/>
      </w:pPr>
      <w:r>
        <w:rPr/>
        <w:t>“</w:t>
      </w:r>
      <w:r>
        <w:rPr/>
        <w:t xml:space="preserve">If ECAC costs are higher than forecasted, then authorized revenues will be insufficient to cover these costs, and the resulting ‘undercollection’ will eventually result in a higher authorized revenue requirement. </w:t>
      </w:r>
      <w:r>
        <w:rPr>
          <w:rFonts w:ascii="Symbol" w:hAnsi="Symbol"/>
          <w:sz w:val="26"/>
        </w:rPr>
        <w:sym w:font="Symbol" w:char="bc"/>
      </w:r>
      <w:r>
        <w:rPr/>
        <w:t xml:space="preserve"> Since rates may not rise to amortize the undercollection, however, the effect is to reduce the headroom revenues available for crediting to the interim TCBA.  Similarly, if ECAC costs are lower than forecasted, a larger headroom and greater credit to the interim TCBA will result.”  (</w:t>
      </w:r>
      <w:r>
        <w:rPr>
          <w:i/>
        </w:rPr>
        <w:t>Id</w:t>
      </w:r>
      <w:r>
        <w:rPr/>
        <w:t>. at 224-225.)</w:t>
      </w:r>
    </w:p>
    <w:p>
      <w:pPr>
        <w:pStyle w:val="Heading3"/>
        <w:tabs>
          <w:tab w:val="clear" w:pos="720"/>
        </w:tabs>
        <w:ind w:hanging="360" w:start="1440" w:end="90"/>
        <w:rPr/>
      </w:pPr>
      <w:bookmarkStart w:id="33" w:name="__RefHeading___Toc510170343"/>
      <w:bookmarkEnd w:id="33"/>
      <w:r>
        <w:rPr/>
        <w:t>TURN’s Proposal Does Not Violate the Filed Rate Doctrine</w:t>
      </w:r>
    </w:p>
    <w:p>
      <w:pPr>
        <w:pStyle w:val="sub2"/>
        <w:rPr/>
      </w:pPr>
      <w:r>
        <w:rPr/>
        <w:t xml:space="preserve">PG&amp;E contends that while AB 1890 exposed them to the risk of recovery of its transition costs, it did not subject them to the risk of recovery of FERC-approved costs.  PG&amp;E argues that adopting TURN’s proposal would do exactly that, and it is therefore unlawful.  Similarly, Edison contends that federal law requires states to pass through to retail customers federally tariffed charges and, to the extent that TURN’s proposal denies Edison of its ability to recover procurement costs, it would go against the filed rate doctrine.  </w:t>
      </w:r>
    </w:p>
    <w:p>
      <w:pPr>
        <w:pStyle w:val="sub2"/>
        <w:rPr/>
      </w:pPr>
      <w:r>
        <w:rPr/>
        <w:t xml:space="preserve">As stated above, we reject the utilities’ contention that allowing the transfer of the TRA undercollections will somehow transform energy procurement costs to transition costs.  In adopting TURN’s accounting proposal we merely reduce prior revenues recorded in the TCBA, thereby affecting only the amount of stranded cost recovery achieved to date.  Under TURN’s proposed accounting mechanism, the utilities would achieve full recovery of their PX costs and any other FERC-approved costs incurred during the rate freeze.  To be clear, TURN’s accounting proposal, in it of itself, does not disallow the recovery of the utilities’ cost of procuring and transmitting electricity in retail rates.  </w:t>
      </w:r>
    </w:p>
    <w:p>
      <w:pPr>
        <w:pStyle w:val="sub2"/>
        <w:rPr/>
      </w:pPr>
      <w:r>
        <w:rPr/>
        <w:t>As TURN’s witness Florio explained in his testimony, “[u]nder the TURN accounting proposal there is NO (zero) unrecovered power purchase costs; only unrecovered transition costs, for which the utilities were clearly and explicitly at risk under the terms of AB 1890</w:t>
      </w:r>
      <w:r>
        <w:rPr>
          <w:rStyle w:val="FootnoteCharacters"/>
          <w:rStyle w:val="FootnoteReference"/>
        </w:rPr>
        <w:footnoteReference w:id="34"/>
      </w:r>
      <w:r>
        <w:rPr/>
        <w:t xml:space="preserve">”(emphasis in original).  </w:t>
      </w:r>
    </w:p>
    <w:p>
      <w:pPr>
        <w:pStyle w:val="sub2"/>
        <w:rPr/>
      </w:pPr>
      <w:r>
        <w:rPr/>
        <w:t xml:space="preserve">Since TURN’s accounting proposal alone does not disallow FERC approved cost, there can be no violation of the filed rate doctrine in our adoption of TURN’s accounting proposal at this time.  </w:t>
      </w:r>
    </w:p>
    <w:p>
      <w:pPr>
        <w:pStyle w:val="Heading3"/>
        <w:tabs>
          <w:tab w:val="clear" w:pos="720"/>
        </w:tabs>
        <w:ind w:hanging="360" w:start="1440" w:end="90"/>
        <w:rPr/>
      </w:pPr>
      <w:bookmarkStart w:id="34" w:name="__RefHeading___Toc510170344"/>
      <w:bookmarkEnd w:id="34"/>
      <w:r>
        <w:rPr/>
        <w:t>TURN’s Proposal Does Not Constitute Unconstitutional Takings</w:t>
      </w:r>
    </w:p>
    <w:p>
      <w:pPr>
        <w:pStyle w:val="sub2"/>
        <w:rPr/>
      </w:pPr>
      <w:r>
        <w:rPr/>
        <w:t>PG&amp;E and Edison are also aligned in asserting that the failure to authorize them to recover the TRA undercollections would result in a takings under the California and United States Constitutions.  Edison asserts nothing in AB1890 changes the principle that a regulated company is entitled to a fair opportunity to recover its just and reasonable cost of operation.  Both utilities claim the constitutional right to retail rates that are not confiscatory.</w:t>
      </w:r>
    </w:p>
    <w:p>
      <w:pPr>
        <w:pStyle w:val="sub2"/>
        <w:rPr/>
      </w:pPr>
      <w:r>
        <w:rPr/>
        <w:t xml:space="preserve">PG&amp;E maintains that any change of Commission’s rules that would result in an indirect disallowance of PG&amp;E’s reasonable utility costs of service, whether the costs are operating costs or transition costs, is unlawful.  According to Edison, TURN proposes that the TRA undercollection be transferred to the TCBA, where generation revenues are too minimal to offset them.  Edison argues, because TURN’s proposal would have the effect of denying Edison’s ability to recover its procurement costs, it is confiscatory.  </w:t>
      </w:r>
    </w:p>
    <w:p>
      <w:pPr>
        <w:pStyle w:val="sub2"/>
        <w:rPr/>
      </w:pPr>
      <w:r>
        <w:rPr/>
        <w:t>We find these assertions unpersuasive as they relate to the adoption of TURN’s proposal.  With regard to PG&amp;E’s assertion, we note that under AB1890 the utilities are at risk for the recovery of transition costs.  Accordingly, we do not believe that the fact that some portion of this risk has now come to pass necessarily means that there has been an unconstitutional taking.  In short, the utilities’ argument alleging an unconstitutional taking of property, is premature.  In this decision, we do not find the rate freeze over.  Therefore, while adopting TURN’s proposal reduces prior transition cost recovery, we do not have a definite landscape in which to ascertain the exist3nce or extent of unrecovered costs.</w:t>
      </w:r>
    </w:p>
    <w:p>
      <w:pPr>
        <w:pStyle w:val="sub2"/>
        <w:rPr/>
      </w:pPr>
      <w:r>
        <w:rPr/>
        <w:t>Edison’s argument about procurement costs essentially adds nothing to PG&amp;E’s argument.  Furthermore, we note that in prior decisions we have consistently stressed that if we were to allow the utilities to recover procurement costs incurred during the rate freeze following the end of rate freeze, the utility’s rates during the rate freeze period would have effectively exceeded those in effect on June 10, 1996.  This action would therefore be unlawful and would result in recovery of excess transition costs, an outcome inconsistent with AB 1890.</w:t>
      </w:r>
    </w:p>
    <w:p>
      <w:pPr>
        <w:pStyle w:val="sub2"/>
        <w:rPr/>
      </w:pPr>
      <w:r>
        <w:rPr/>
        <w:t>We find these assertions unpersuasive as they relate to our adoption of TURN’s proposal.  The Commission has steadfastly maintained TURN’s Proposal Does Not Constitute Unconstitutional Takings</w:t>
      </w:r>
    </w:p>
    <w:p>
      <w:pPr>
        <w:pStyle w:val="sub2"/>
        <w:rPr/>
      </w:pPr>
      <w:r>
        <w:rPr/>
        <w:t>With regard to PG&amp;E’s assertion, we note that under AB 1890 the utilities are at risk for the recovery of transition costs.  Accordingly, we do not believe that the fact that some portion of this risk has now come to pass necessarily means that there has been an unconstitutional taking.  In short, the utilities’ argument alleging an unconstitutional taking of property, is premature.  In this decision, we do not find the rate freeze over.  Therefore, while adopting TURN’s proposal reduces prior transition cost recovery, we do not have a definite landscape in which to ascertain the existence or extent of unrecovered costs.</w:t>
      </w:r>
    </w:p>
    <w:p>
      <w:pPr>
        <w:pStyle w:val="sub2"/>
        <w:rPr/>
      </w:pPr>
      <w:r>
        <w:rPr/>
        <w:t>Edison’s argument about procurement costs essentially adds nothing to PG&amp;E’s argument.  Furthermore, we note that in prior decisions we have consistently stressed that if we were to allow the utilities to recover procurement costs incurred during the rate freeze following the end of rate freeze, the utility’s rates during the rate freeze period would have effectively exceeded those in effect on June 10, 1996.  This action would therefore be unlawful and would result in recovery of excess transition costs, an outcome inconsistent with AB 1890.</w:t>
      </w:r>
    </w:p>
    <w:p>
      <w:pPr>
        <w:pStyle w:val="Heading3"/>
        <w:tabs>
          <w:tab w:val="clear" w:pos="720"/>
        </w:tabs>
        <w:ind w:hanging="360" w:start="1440" w:end="2160"/>
        <w:rPr/>
      </w:pPr>
      <w:bookmarkStart w:id="35" w:name="__RefHeading___Toc510170345"/>
      <w:bookmarkEnd w:id="35"/>
      <w:r>
        <w:rPr/>
        <w:t>TURN’s Proposal Does Not Constitute Retroactive Ratemaking</w:t>
      </w:r>
    </w:p>
    <w:p>
      <w:pPr>
        <w:pStyle w:val="sub2"/>
        <w:rPr/>
      </w:pPr>
      <w:r>
        <w:rPr/>
        <w:t>PG&amp;E calls TURN’s proposal illegal retroactive ratemaking because it changes the “rules of the game” after the fact.  PG&amp;E argues that Resolution E</w:t>
        <w:noBreakHyphen/>
        <w:t>3527 set the rule:  TRA undercollections are not to be transferred into the TCBA.  PG&amp;E asserts that TURN’s proposal adjusts the ratemaking as though the earlier rule were not adopted.  PG&amp;E contrasts this approach with making a later entry to a balancing account whose entries are subject to reasonableness review, in order to partially or wholly reverse a previous entry as a result of a reasonableness review.  In such a case, PG&amp;E contends, the rules of the game from the beginning contemplated the review and possible later “adjusting” entry.</w:t>
      </w:r>
    </w:p>
    <w:p>
      <w:pPr>
        <w:pStyle w:val="sub2"/>
        <w:rPr/>
      </w:pPr>
      <w:r>
        <w:rPr/>
        <w:t xml:space="preserve">We disagree with PG&amp;E’s position that adopting TURN’s accounting proposal violates the prohibition against retroactive ratemaking, as PG&amp;E construes this prohibition too broadly.  Even if this accounting change were a change in the rules of the game, it would not constitute prohibited retroactive ratemaking.  As the California Supreme Court explained in </w:t>
      </w:r>
      <w:r>
        <w:rPr>
          <w:u w:val="single"/>
        </w:rPr>
        <w:t>Southern California Edison Company v. Public Utilities Commission</w:t>
      </w:r>
      <w:r>
        <w:rPr/>
        <w:t xml:space="preserve"> (1978) 20 Cal.3d 813 (</w:t>
      </w:r>
      <w:r>
        <w:rPr>
          <w:u w:val="single"/>
        </w:rPr>
        <w:t>Edison</w:t>
      </w:r>
      <w:r>
        <w:rPr/>
        <w:t>), not every order involving rates that has a retroactive effect is prohibited retroactive ratemaking.</w:t>
      </w:r>
    </w:p>
    <w:p>
      <w:pPr>
        <w:pStyle w:val="sub2"/>
        <w:rPr/>
      </w:pPr>
      <w:r>
        <w:rPr/>
        <w:t xml:space="preserve">In </w:t>
      </w:r>
      <w:r>
        <w:rPr>
          <w:u w:val="single"/>
        </w:rPr>
        <w:t>Edison</w:t>
      </w:r>
      <w:r>
        <w:rPr/>
        <w:t xml:space="preserve">, the Commission had established a fuel cost adjustment clause for the utility.  The fuel clause permitted Edison to increase its rates to compensate for the predicted higher cost of fossil fuels.  Under the fuel clause, Edison recovered these increased costs for the quantity of fossil fuel that would be consumed in a year of average weather.  Due to favorable weather conditions, Edison in fact collected considerably more money under the fuel clause than it needed to pay its increased fuel costs (because it was consuming less fuel than it would have in years of average weather).  The Commission then terminated the fuel clause, and replaced it with an energy cost adjustment clause (ECAC).  The ECAC, unlike the fuel clause, took account of the actual amount of fuel consumed.  The Commission also ordered Edison to refund to its customers the amount collected under its fuel clause that it in fact did not need to pay for fuel costs.  Edison challenged this refund on retroactive ratemaking grounds, and lost.  The California Supreme Court concluded that an adjustment of rates, which does not involve general ratemaking, may be retroactive in effect without violating the rule against retroactive ratemaking.  Here, as in Edison the accounting change at issue does not involve general ratemaking.  </w:t>
      </w:r>
    </w:p>
    <w:p>
      <w:pPr>
        <w:pStyle w:val="sub2"/>
        <w:rPr/>
      </w:pPr>
      <w:r>
        <w:rPr/>
        <w:t xml:space="preserve">In </w:t>
      </w:r>
      <w:r>
        <w:rPr>
          <w:u w:val="single"/>
        </w:rPr>
        <w:t>Edison</w:t>
      </w:r>
      <w:r>
        <w:rPr/>
        <w:t xml:space="preserve">, while the accounting rules changed in a way that Edison argued was detrimental, the new rules, together with the required refund, simply carried out the Commission’s original intent, to allow Edison to recover its increased fuel costs on a dollar-for-dollar basis.  Similarly, here, although TURN has proposed an accounting change, the effect of this change is to carry out the original intent of AB 1890, that the utilities are at risk for recovery of transition costs during the transition period.  </w:t>
      </w:r>
    </w:p>
    <w:p>
      <w:pPr>
        <w:pStyle w:val="sub2"/>
        <w:rPr/>
      </w:pPr>
      <w:r>
        <w:rPr/>
        <w:t xml:space="preserve">There are a number of additional and related reasons why TURN’s proposal does not constitute prohibited retroactive ratemaking.  First, no rates are being changed here.  Unlike the situation in </w:t>
      </w:r>
      <w:r>
        <w:rPr>
          <w:u w:val="single"/>
        </w:rPr>
        <w:t>Edison</w:t>
      </w:r>
      <w:r>
        <w:rPr/>
        <w:t xml:space="preserve"> where refunds were ordered, here the utilities’ rates remain frozen at the same level both before and after implementation of TURN’s proposal.  Second, the prohibition on retroactive ratemaking is a general statutory prohibition, imposed by section 728 of the Public Utilities Code.  (See </w:t>
      </w:r>
      <w:r>
        <w:rPr>
          <w:u w:val="single"/>
        </w:rPr>
        <w:t>Edison</w:t>
      </w:r>
      <w:r>
        <w:rPr/>
        <w:t xml:space="preserve">, 20 Cal.3d at 816.)  The accounting changes we are adopting here are required to carry out a more specific and more recently enacted statute, AB 1890.  Thus, even if there were a conflict between the retroactive ratemaking prohibition imposed by Section 728 and the requirement of AB 1890 that the utilities be at risk for recovery of transition costs during the transition period, the more recently enacted and more specific requirements of AB 1890 would control.  </w:t>
      </w:r>
    </w:p>
    <w:p>
      <w:pPr>
        <w:pStyle w:val="sub2"/>
        <w:rPr/>
      </w:pPr>
      <w:r>
        <w:rPr/>
        <w:t xml:space="preserve">The Commission established the TRA and TCBA based on our authority as an administrative agency to implement the provisions of AB 1890.  In retrospect, the accounting treatment we adopted in Resolution E-3527 contravenes the principles promulgated in AB 1890.  Given the change in circumstances, we find it necessary to modify our accounting approach, as proposed by TURN.  The Commission has the authority to do so and is not preempted by any law, contrary to the claims proffered by the utilities. </w:t>
      </w:r>
    </w:p>
    <w:p>
      <w:pPr>
        <w:pStyle w:val="Heading3"/>
        <w:tabs>
          <w:tab w:val="clear" w:pos="720"/>
        </w:tabs>
        <w:ind w:hanging="360" w:start="1440" w:end="2160"/>
        <w:rPr/>
      </w:pPr>
      <w:bookmarkStart w:id="36" w:name="__RefHeading___Toc510170346"/>
      <w:bookmarkEnd w:id="36"/>
      <w:r>
        <w:rPr/>
        <w:t>Adopting TURN’s Proposal Will Not Impede Edison’s Right To Due Process</w:t>
      </w:r>
    </w:p>
    <w:p>
      <w:pPr>
        <w:pStyle w:val="sub2"/>
        <w:rPr/>
      </w:pPr>
      <w:r>
        <w:rPr/>
        <w:t>As stated above, Edison contends that the Commission’s adoption of TURN’s accounting proposal at this time will frustrate due process and call to question whether a “neutral and detached” Commission is presiding over this proceeding.  Edison explains that when the recovery of the TRA undercollection is presently before a federal court, the Commission can not, consistent with due process, take any action which would have the intent of disguising the costs at issue in Federal Court.</w:t>
      </w:r>
    </w:p>
    <w:p>
      <w:pPr>
        <w:pStyle w:val="sub2"/>
        <w:rPr/>
      </w:pPr>
      <w:r>
        <w:rPr/>
        <w:t xml:space="preserve">Parties, in their responses, disagree.  Edison filed its case with the Federal Court after TURN filed its accounting proposal with the Commission.   The Commission’s consideration of TURN’s proposal is a timely exercise of our ratemaking authority.  </w:t>
      </w:r>
    </w:p>
    <w:p>
      <w:pPr>
        <w:pStyle w:val="Heading3"/>
        <w:tabs>
          <w:tab w:val="clear" w:pos="720"/>
        </w:tabs>
        <w:ind w:hanging="360" w:start="1440" w:end="2160"/>
        <w:rPr>
          <w:b w:val="false"/>
        </w:rPr>
      </w:pPr>
      <w:bookmarkStart w:id="37" w:name="__RefHeading___Toc510170347"/>
      <w:r>
        <w:rPr/>
        <w:t>TURNS Proposal Will Once Again Achieve “Neutrality” of the Rate Reduction Bonds (RRB) Transactions</w:t>
      </w:r>
      <w:bookmarkEnd w:id="37"/>
      <w:r>
        <w:rPr/>
        <w:t xml:space="preserve"> </w:t>
      </w:r>
    </w:p>
    <w:p>
      <w:pPr>
        <w:pStyle w:val="sub2"/>
        <w:rPr/>
      </w:pPr>
      <w:r>
        <w:rPr/>
        <w:t>We accept TURN’s contention that current accounting treatment negates the neutrality of the RRB transactions since the utilities’ TRAs are undercollected.  The Financing Order,</w:t>
      </w:r>
      <w:r>
        <w:rPr>
          <w:rStyle w:val="FootnoteCharacters"/>
          <w:rStyle w:val="FootnoteReference"/>
        </w:rPr>
        <w:footnoteReference w:id="35"/>
      </w:r>
      <w:r>
        <w:rPr/>
        <w:t xml:space="preserve"> which governed the 10% rate reduction and the issuance of the RRBs, adopted a ratemaking approach designed to render the RRB transactions neutral as to when rate freeze ends and that prevents cost-shifting between residential and small commercial customers and large customers.</w:t>
      </w:r>
      <w:r>
        <w:rPr>
          <w:rStyle w:val="FootnoteCharacters"/>
          <w:rStyle w:val="FootnoteReference"/>
        </w:rPr>
        <w:footnoteReference w:id="36"/>
      </w:r>
      <w:r>
        <w:rPr/>
        <w:t xml:space="preserve">  </w:t>
      </w:r>
    </w:p>
    <w:p>
      <w:pPr>
        <w:pStyle w:val="sub2"/>
        <w:rPr/>
      </w:pPr>
      <w:r>
        <w:rPr/>
        <w:t>Since the TRA undercollections began to accrue, there has been no transition recovery from rate revenues.</w:t>
      </w:r>
      <w:r>
        <w:rPr>
          <w:rStyle w:val="FootnoteCharacters"/>
          <w:rStyle w:val="FootnoteReference"/>
        </w:rPr>
        <w:footnoteReference w:id="37"/>
      </w:r>
      <w:r>
        <w:rPr/>
        <w:t xml:space="preserve">  Absent the financed 10% rate reduction, the total amount of revenues collected from residential and small commercial customers would have been applied to offset the undercollections in the TRA.</w:t>
      </w:r>
      <w:r>
        <w:rPr>
          <w:rStyle w:val="FootnoteCharacters"/>
          <w:rStyle w:val="FootnoteReference"/>
        </w:rPr>
        <w:footnoteReference w:id="38"/>
      </w:r>
      <w:r>
        <w:rPr/>
        <w:t xml:space="preserve">  But because of the adopted RRB transactions and the Commission’s current accounting mechanism, the utilities continue to impute into the TCBA revenues related to the RRBs.  Consequently, residential and small commercial customers’ continue to contribute to transition cost recovery by the amount of the imputed revenues, despite the lack of headroom.  </w:t>
      </w:r>
    </w:p>
    <w:p>
      <w:pPr>
        <w:pStyle w:val="sub2"/>
        <w:rPr/>
      </w:pPr>
      <w:r>
        <w:rPr/>
        <w:t>TURN concludes, as a result, that the utilities have recorded a greater amount of transition cost recovery than they would have had absent the RRB transaction and that residential and small commercial customers are paying a disproportionate share of the utilities’ transition cost recovery.</w:t>
      </w:r>
      <w:r>
        <w:rPr>
          <w:rStyle w:val="FootnoteCharacters"/>
          <w:rStyle w:val="FootnoteReference"/>
        </w:rPr>
        <w:footnoteReference w:id="39"/>
      </w:r>
      <w:r>
        <w:rPr/>
        <w:t xml:space="preserve">  According to TURN, this outcome contradicts the objectives of the Financing Order.  We agree with TURN that by applying the monthly TRA balance to the TCBA, whether positive or negative, ratepayers are made indifferent as to how the revenues associated with the RRBs are treated and the neutrality contemplated in the Financing Order will hence be once again achieved.</w:t>
      </w:r>
    </w:p>
    <w:p>
      <w:pPr>
        <w:pStyle w:val="Heading3"/>
        <w:tabs>
          <w:tab w:val="clear" w:pos="720"/>
        </w:tabs>
        <w:ind w:hanging="360" w:start="1440" w:end="2160"/>
        <w:rPr>
          <w:b w:val="false"/>
        </w:rPr>
      </w:pPr>
      <w:bookmarkStart w:id="38" w:name="__RefHeading___Toc510170348"/>
      <w:r>
        <w:rPr/>
        <w:t>Crediting the Balances in the Generation Memorandum Accounts into the TCBA Monthly Will Provide a More Accurate View of Transition Cost Recovery</w:t>
      </w:r>
      <w:bookmarkEnd w:id="38"/>
      <w:r>
        <w:rPr/>
        <w:t xml:space="preserve"> </w:t>
      </w:r>
    </w:p>
    <w:p>
      <w:pPr>
        <w:pStyle w:val="sub2"/>
        <w:rPr/>
      </w:pPr>
      <w:r>
        <w:rPr/>
        <w:t>While this is not a part of TURN’s proposal but instead was raised in comments, we should modify our approach to generation revenues tracked and recorded in the generation memorandum accounts.</w:t>
      </w:r>
      <w:r>
        <w:rPr>
          <w:rStyle w:val="FootnoteCharacters"/>
          <w:rStyle w:val="FootnoteReference"/>
        </w:rPr>
        <w:footnoteReference w:id="40"/>
      </w:r>
      <w:r>
        <w:rPr/>
        <w:t xml:space="preserve">  D.97-11-074 allowed the utilities to credit these accounts to the TCBA on an annual basis, in part to address Edison’s concerns regarding the seasonal nature of its costs and revenues</w:t>
      </w:r>
      <w:r>
        <w:rPr>
          <w:highlight w:val="cyan"/>
        </w:rPr>
        <w:t xml:space="preserve">.  </w:t>
      </w:r>
    </w:p>
    <w:p>
      <w:pPr>
        <w:pStyle w:val="sub2"/>
        <w:rPr/>
      </w:pPr>
      <w:r>
        <w:rPr/>
        <w:t xml:space="preserve">TURN and other parties who support this modification propose in their responses that the balance (whether overcollected or undercollected) in generation-related memorandum accounts be transferred to the TCBA monthly, rather than annually.  </w:t>
      </w:r>
    </w:p>
    <w:p>
      <w:pPr>
        <w:pStyle w:val="sub2"/>
        <w:rPr/>
      </w:pPr>
      <w:r>
        <w:rPr/>
        <w:t xml:space="preserve">PG&amp;E on the other hand proposes that a portion of the retained generation revenues accruing in the TCBA accounts and generation memorandum accounts should be credited to the TRA undercollection.  Enron agrees that, to the extent we reject the treatment proposed in A.00-10-028, all generation revenue should first flow into the TRA to offset the utilities’ operating costs on a monthly basis.  </w:t>
      </w:r>
    </w:p>
    <w:p>
      <w:pPr>
        <w:pStyle w:val="sub2"/>
        <w:rPr/>
      </w:pPr>
      <w:r>
        <w:rPr/>
        <w:t xml:space="preserve">Because we are now transferring the balance in the TRA to the TCBA on a monthly basis, we will also require the utilities to transfer the excess revenues that accrue in the generation memorandum accounts to the TCBA on a monthly basis.  This is appropriate because it will match the costs of procuring power on a monthly basis with the net revenues resulting from generating that power.  </w:t>
      </w:r>
    </w:p>
    <w:p>
      <w:pPr>
        <w:pStyle w:val="sub2"/>
        <w:rPr/>
      </w:pPr>
      <w:r>
        <w:rPr/>
        <w:t xml:space="preserve">Consistent with D.97-11-074 and </w:t>
      </w:r>
      <w:r>
        <w:rPr>
          <w:rFonts w:cs="Tahoma" w:ascii="Tahoma" w:hAnsi="Tahoma"/>
        </w:rPr>
        <w:t>§</w:t>
      </w:r>
      <w:r>
        <w:rPr/>
        <w:t xml:space="preserve"> 367(c), overcollections should be transferred to the TCBA on a monthly basis.  Undercollections will then be carried over from month to month in the generation memorandum accounts and offset by market revenues.  We may adjust this accounting as we move forward and consider the impact of § 367(c) on recording the balance, whether positive or negative, in the TCBA.</w:t>
      </w:r>
    </w:p>
    <w:p>
      <w:pPr>
        <w:pStyle w:val="Heading2"/>
        <w:numPr>
          <w:ilvl w:val="0"/>
          <w:numId w:val="0"/>
        </w:numPr>
        <w:ind w:hanging="360" w:start="1080" w:end="2880"/>
        <w:rPr/>
      </w:pPr>
      <w:bookmarkStart w:id="39" w:name="__RefHeading___Toc510170349"/>
      <w:bookmarkEnd w:id="39"/>
      <w:r>
        <w:rPr/>
        <w:t>E.</w:t>
        <w:tab/>
        <w:t>Impact of Proposal on Rate Freeze</w:t>
      </w:r>
    </w:p>
    <w:p>
      <w:pPr>
        <w:pStyle w:val="sub1"/>
        <w:rPr/>
      </w:pPr>
      <w:r>
        <w:rPr/>
        <w:t>In adopting TURN’s petition to modify Resolution E-3527, we agree with TURN that the effective date of this accounting change is January 1, 1998, the effective date of Resolution E-3527.  We will make our accounting change regarding the GMA effective on the same date and direct that PG&amp;E and Edison make these accounting changes for each month and file by advice letter each month’s accounting adjustment and balance.  We estimate that, as a result of transferring the TRA undercollections to the TCBA along with applying the net revenues in generation memorandum accounts as of January 31, 2001 to the TCBA, the restated TCBA for Edison and PG&amp;E will shoe undercollections of approximately $3.7 billion and 6.3 billion, respectively.</w:t>
      </w:r>
      <w:r>
        <w:rPr>
          <w:rStyle w:val="FootnoteCharacters"/>
          <w:rStyle w:val="FootnoteReference"/>
        </w:rPr>
        <w:footnoteReference w:id="41"/>
      </w:r>
      <w:r>
        <w:rPr/>
        <w:t xml:space="preserve">  </w:t>
      </w:r>
    </w:p>
    <w:p>
      <w:pPr>
        <w:pStyle w:val="Heading1"/>
        <w:numPr>
          <w:ilvl w:val="0"/>
          <w:numId w:val="0"/>
        </w:numPr>
        <w:ind w:hanging="0" w:start="0"/>
        <w:rPr/>
      </w:pPr>
      <w:bookmarkStart w:id="40" w:name="__RefHeading___Toc510170350"/>
      <w:bookmarkEnd w:id="40"/>
      <w:r>
        <w:rPr/>
        <w:t>IV.</w:t>
        <w:tab/>
        <w:t>Status of Rate Freeze</w:t>
      </w:r>
    </w:p>
    <w:p>
      <w:pPr>
        <w:pStyle w:val="standard"/>
        <w:rPr/>
      </w:pPr>
      <w:r>
        <w:rPr/>
        <w:t>In this phase of the proceeding, the Commission is considering whether the rate freeze has ended on a prospective basis.  While parties differ in their reasons, several support the Commission deciding that the rate freeze enacted under the AB 1890 statutes is over.  Other parties, while acknowledging that the purpose of the rate freeze may have been overtaken by the recently enacted legislation AB1X, argue that the Commission should not end the rate freeze outside the provisions of the AB 1890 statutes.</w:t>
      </w:r>
    </w:p>
    <w:p>
      <w:pPr>
        <w:pStyle w:val="standard"/>
        <w:rPr/>
      </w:pPr>
      <w:r>
        <w:rPr/>
        <w:t>The statutory requirements of AB 1890 are that the rate freeze remain in place for PG&amp;E and Edison until the earlier of March 31, 2002 or the date relevant cost balances are zero.</w:t>
      </w:r>
      <w:r>
        <w:rPr>
          <w:rStyle w:val="FootnoteCharacters"/>
          <w:rStyle w:val="FootnoteReference"/>
        </w:rPr>
        <w:footnoteReference w:id="42"/>
      </w:r>
      <w:r>
        <w:rPr/>
        <w:t xml:space="preserve">  In making this determination, Section 367(b) provides that the Commission shall determine the market value of each utility’s economic assets and use this valuation to offset the costs of each utility’s uneconomic assets.</w:t>
      </w:r>
      <w:r>
        <w:rPr>
          <w:rStyle w:val="FootnoteCharacters"/>
          <w:rStyle w:val="FootnoteReference"/>
        </w:rPr>
        <w:footnoteReference w:id="43"/>
      </w:r>
      <w:r>
        <w:rPr/>
        <w:t xml:space="preserve"> </w:t>
      </w:r>
    </w:p>
    <w:p>
      <w:pPr>
        <w:pStyle w:val="standard"/>
        <w:rPr/>
      </w:pPr>
      <w:r>
        <w:rPr/>
        <w:t>In looking at whether the rate freeze has ended, we first look to the balance in each utility’s TCBA of transition costs before valuation and then determine the value of remaining non-nuclear utility generation assets that would be applied as an offset to these transition costs.</w:t>
      </w:r>
      <w:r>
        <w:rPr>
          <w:rStyle w:val="FootnoteCharacters"/>
          <w:rStyle w:val="FootnoteReference"/>
        </w:rPr>
        <w:footnoteReference w:id="44"/>
      </w:r>
      <w:r>
        <w:rPr/>
        <w:t xml:space="preserve">  As we estimated in the previous section, the balance in PG&amp;E’s TCBA at January 31, 2001 is $6.3 billion and the balance in Edison’s TCBA at January 31, 2001 is $3.7 billion.  </w:t>
      </w:r>
    </w:p>
    <w:p>
      <w:pPr>
        <w:pStyle w:val="Heading2"/>
        <w:numPr>
          <w:ilvl w:val="0"/>
          <w:numId w:val="0"/>
        </w:numPr>
        <w:ind w:hanging="360" w:start="1080" w:end="2880"/>
        <w:rPr/>
      </w:pPr>
      <w:bookmarkStart w:id="41" w:name="__RefHeading___Toc510170351"/>
      <w:bookmarkEnd w:id="41"/>
      <w:r>
        <w:rPr/>
        <w:t>A.</w:t>
        <w:tab/>
        <w:t>Valuation of Remaining Utility Generation</w:t>
      </w:r>
    </w:p>
    <w:p>
      <w:pPr>
        <w:pStyle w:val="Heading3"/>
        <w:numPr>
          <w:ilvl w:val="2"/>
          <w:numId w:val="15"/>
        </w:numPr>
        <w:tabs>
          <w:tab w:val="clear" w:pos="720"/>
        </w:tabs>
        <w:ind w:hanging="360" w:start="1440" w:end="2160"/>
        <w:rPr/>
      </w:pPr>
      <w:bookmarkStart w:id="42" w:name="__RefHeading___Toc510170352"/>
      <w:bookmarkEnd w:id="42"/>
      <w:r>
        <w:rPr/>
        <w:t>Is valuation required before the Rate Freeze may end?</w:t>
      </w:r>
    </w:p>
    <w:p>
      <w:pPr>
        <w:pStyle w:val="sub2"/>
        <w:rPr/>
      </w:pPr>
      <w:r>
        <w:rPr/>
        <w:t>The Commission has always been very clear that the rate freeze under the AB 1890 statutes cannot end until valuation of all remaining non-nuclear utility generation assets has occurred.  This is because the level of Commission-authorized “uneconomic costs” which may be recovered during the rate freeze cannot be determined without netting above-market generation assets against below-market generation assets.</w:t>
      </w:r>
      <w:r>
        <w:rPr>
          <w:rStyle w:val="FootnoteCharacters"/>
          <w:rStyle w:val="FootnoteReference"/>
        </w:rPr>
        <w:footnoteReference w:id="45"/>
      </w:r>
      <w:r>
        <w:rPr/>
        <w:t xml:space="preserve">  In D.99-10-057, the Commission found:  “The timing of market valuations is critical in cases where those valuations might accelerate the end of the rate freeze to a date prior to the statutory deadline.  Accordingly, we find that interim or final market valuations, to the extent they remain the Commission’s responsibility, will precede the end of the rate freeze.”</w:t>
      </w:r>
      <w:r>
        <w:rPr>
          <w:rStyle w:val="FootnoteCharacters"/>
          <w:rStyle w:val="FootnoteReference"/>
        </w:rPr>
        <w:footnoteReference w:id="46"/>
      </w:r>
      <w:r>
        <w:rPr/>
        <w:t xml:space="preserve"> </w:t>
      </w:r>
    </w:p>
    <w:p>
      <w:pPr>
        <w:pStyle w:val="sub2"/>
        <w:rPr/>
      </w:pPr>
      <w:r>
        <w:rPr/>
        <w:t>CIU states that with the passage of ABX6, the Commission is no longer required to market value PG&amp;E’s and Edison’s remaining generation assets because the assets cannot be sold until 2005 and thus are no longer subject to the market valuation of Section 367(b).  CLECA agrees with this position.</w:t>
      </w:r>
    </w:p>
    <w:p>
      <w:pPr>
        <w:pStyle w:val="sub2"/>
        <w:rPr/>
      </w:pPr>
      <w:r>
        <w:rPr/>
        <w:t xml:space="preserve">PG&amp;E and Edison argue in their applications that Commission approved valuation is not required to end the rate freeze and assert that the rate freeze ended prior to commencement of this proceeding by virtue of their own estimation of the value of their facilities.  They also assert that all remaining generation assets are economic in today’s power market, therefore the Commission should not delay ending the rate freeze if TCBA balances are zero or overcollected and valuation of remaining generation assets has not been completed.  They argue that the requirements of D.99-10-057 are in addition to what AB 1890 requires and are therefore not controlling.  </w:t>
      </w:r>
    </w:p>
    <w:p>
      <w:pPr>
        <w:pStyle w:val="sub2"/>
        <w:rPr/>
      </w:pPr>
      <w:r>
        <w:rPr/>
        <w:t>PG&amp;E and Edison base their positions on an assessment of the TCBA without considering the impact of TURN’s proposal.  By netting the TRA and the TCBA, the TCBA is undercollected.  Furthermore, Section 367(b) leaves “the determination of costs eligible for recovery and the valuation of the assets” in the hands of the Commission.</w:t>
      </w:r>
      <w:r>
        <w:rPr>
          <w:rStyle w:val="FootnoteCharacters"/>
          <w:rStyle w:val="FootnoteReference"/>
        </w:rPr>
        <w:footnoteReference w:id="47"/>
      </w:r>
      <w:r>
        <w:rPr/>
        <w:t xml:space="preserve"> </w:t>
      </w:r>
    </w:p>
    <w:p>
      <w:pPr>
        <w:pStyle w:val="sub2"/>
        <w:rPr/>
      </w:pPr>
      <w:r>
        <w:rPr/>
        <w:t>Without the Commission having adopted a final valuation of remaining non-nuclear generation assets, we cannot find that PG&amp;E and Edison have recovered their stranded costs.  While CIU and CLECA may be correct in their reading of the interaction of Sections 367(b) and 377, the Commission still retains the discretion, even if not the requirement, to value remaining generation assets. Until the Commission approves a valuation of PG&amp;E’s and Edison’s remaining non-nuclear generation assets, this valuation would be a credit to the current TCBA balances.  Therefore, without such valuation, there is no way to determine whether the utilities have recovered the “Commission authorized” level of uneconomic generation costs.</w:t>
      </w:r>
    </w:p>
    <w:p>
      <w:pPr>
        <w:pStyle w:val="sub2"/>
        <w:rPr/>
      </w:pPr>
      <w:r>
        <w:rPr/>
        <w:t xml:space="preserve">Therefore, the primary criterion for ending the rate freeze imposed by Public Utilities Code Section 368(a) - recovery of the utilities’ Commission-authorized stranded costs - has not occurred.  The utilities cannot unilaterally establish a value for their facilities that allows their TCBA balance to be zero or overcollected and then declare the rate freeze has ended. </w:t>
      </w:r>
    </w:p>
    <w:p>
      <w:pPr>
        <w:pStyle w:val="Heading3"/>
        <w:numPr>
          <w:ilvl w:val="2"/>
          <w:numId w:val="15"/>
        </w:numPr>
        <w:tabs>
          <w:tab w:val="clear" w:pos="720"/>
        </w:tabs>
        <w:ind w:hanging="360" w:start="1440" w:end="2160"/>
        <w:rPr/>
      </w:pPr>
      <w:bookmarkStart w:id="43" w:name="__RefHeading___Toc510170353"/>
      <w:bookmarkEnd w:id="43"/>
      <w:r>
        <w:rPr/>
        <w:t>May interim valuation be used in determining whether the rate freeze has ended?</w:t>
      </w:r>
    </w:p>
    <w:p>
      <w:pPr>
        <w:pStyle w:val="sub2"/>
        <w:rPr/>
      </w:pPr>
      <w:r>
        <w:rPr/>
        <w:t xml:space="preserve">Parties have differed, and changed positions, on the issue of whether the valuation used for determining the end of the rate freeze can be an interim estimated valuation or must be a final market valuation.  </w:t>
      </w:r>
    </w:p>
    <w:p>
      <w:pPr>
        <w:pStyle w:val="sub2"/>
        <w:rPr/>
      </w:pPr>
      <w:r>
        <w:rPr/>
        <w:t>PG&amp;E states that in the past it has objected to an interim valuation being used to determine when the rate freeze is over.  However, as PG&amp;E witness McManus testified, the Commission decided against PG&amp;E on this point and “did not make the changes in the GABA</w:t>
      </w:r>
      <w:r>
        <w:rPr>
          <w:rStyle w:val="FootnoteCharacters"/>
          <w:rStyle w:val="FootnoteReference"/>
        </w:rPr>
        <w:footnoteReference w:id="48"/>
      </w:r>
      <w:r>
        <w:rPr/>
        <w:t xml:space="preserve"> decision that PG&amp;E had asked for…. Therefore, it is appropriate to use an interim valuation to determine if the rate freeze is over.”</w:t>
      </w:r>
      <w:r>
        <w:rPr>
          <w:rStyle w:val="FootnoteCharacters"/>
          <w:rStyle w:val="FootnoteReference"/>
        </w:rPr>
        <w:footnoteReference w:id="49"/>
      </w:r>
      <w:r>
        <w:rPr/>
        <w:t xml:space="preserve">  </w:t>
      </w:r>
    </w:p>
    <w:p>
      <w:pPr>
        <w:pStyle w:val="sub2"/>
        <w:rPr/>
      </w:pPr>
      <w:r>
        <w:rPr/>
        <w:t>In its rebuttal testimony, PG&amp;E sponsored the use of an estimated market value of $2.8 Billion for its hydro facilities, based on a 1999 settlement it reached with ORA and other parties, and later withdrew, in A.99-07-053.  Cross-examination established that this valuation was based on a discounted cash flow analysis using gas prices that do not reflect today’s market.</w:t>
      </w:r>
      <w:r>
        <w:rPr>
          <w:rStyle w:val="FootnoteCharacters"/>
          <w:rStyle w:val="FootnoteReference"/>
        </w:rPr>
        <w:footnoteReference w:id="50"/>
      </w:r>
      <w:r>
        <w:rPr/>
        <w:t xml:space="preserve">  </w:t>
      </w:r>
    </w:p>
    <w:p>
      <w:pPr>
        <w:pStyle w:val="sub2"/>
        <w:rPr/>
      </w:pPr>
      <w:r>
        <w:rPr/>
        <w:t>PG&amp;E argues that even a book value is a reasonable proxy for the value of its remaining generation assets because until the rate freeze is over there is substantial uncertainty over whether PG&amp;E’s costs going forward will be recovered.  Nevertheless, it asserts that AB 1890 requires the Commission to market value its remaining non-nuclear generation assets before December 31, 2001 and net book value is not a reasonable estimate of market value.</w:t>
      </w:r>
      <w:r>
        <w:rPr>
          <w:rStyle w:val="FootnoteCharacters"/>
          <w:rStyle w:val="FootnoteReference"/>
        </w:rPr>
        <w:footnoteReference w:id="51"/>
      </w:r>
      <w:r>
        <w:rPr/>
        <w:t xml:space="preserve"> </w:t>
      </w:r>
    </w:p>
    <w:p>
      <w:pPr>
        <w:pStyle w:val="sub2"/>
        <w:rPr/>
      </w:pPr>
      <w:r>
        <w:rPr/>
        <w:t xml:space="preserve">All other parties state that rather than using an interim valuation estimate, the Commission should value the remaining generation assets at net book value due to the passage of ABX6, effective January 18, 2001.  ABX6 replaces former Section 377 which stated that non-nuclear generation assets were to continue under Commission regulation “until those assets have been subject to market valuation in accordance with procedures established by the commission.”  Parties argue that the new Section 377 no longer renders any utility generation assets “subject to valuation.”  Instead, it clarifies that the Commission retains regulatory authority over all utility electrical generation until and unless the Commission allows disposal of any such generation assets under Section 851, and further bars disposal of any such assets until after December 31, 2005.  </w:t>
      </w:r>
    </w:p>
    <w:p>
      <w:pPr>
        <w:pStyle w:val="sub2"/>
        <w:rPr/>
      </w:pPr>
      <w:r>
        <w:rPr/>
        <w:t xml:space="preserve">Edison states that ABX6 requires cost-of-service ratemaking based on book value until December 31, 2005 and thus net book value is not only reasonable, but required. Aglet, CLECA/ CMTA, GSPC, Los Angeles, ORA, and TURN agree that net book value is the proper valuation under ABX6. </w:t>
      </w:r>
    </w:p>
    <w:p>
      <w:pPr>
        <w:pStyle w:val="sub2"/>
        <w:rPr/>
      </w:pPr>
      <w:r>
        <w:rPr/>
        <w:t>Aglet and ORA go even further, and argue that net book value meets the final market value requirement of Section 367(b).  Aglet does this by asserting that net book value is market value under cost of service ratemaking and cites Edison witness Dominski as agreeing with this conclusion.</w:t>
      </w:r>
      <w:r>
        <w:rPr>
          <w:rStyle w:val="FootnoteCharacters"/>
          <w:rStyle w:val="FootnoteReference"/>
        </w:rPr>
        <w:footnoteReference w:id="52"/>
      </w:r>
      <w:r>
        <w:rPr/>
        <w:t xml:space="preserve">  ORA draws a similar conclusion in its brief.</w:t>
      </w:r>
      <w:r>
        <w:rPr>
          <w:rStyle w:val="FootnoteCharacters"/>
          <w:rStyle w:val="FootnoteReference"/>
        </w:rPr>
        <w:footnoteReference w:id="53"/>
      </w:r>
      <w:r>
        <w:rPr/>
        <w:t xml:space="preserve"> </w:t>
      </w:r>
    </w:p>
    <w:p>
      <w:pPr>
        <w:pStyle w:val="sub2"/>
        <w:rPr/>
      </w:pPr>
      <w:r>
        <w:rPr/>
        <w:t xml:space="preserve">CIU states that the Commission should not allow the utilities to use interim valuation but instead, consistent with our past decisions, conduct a final market valuation before determining whether the rate freeze has ended.  Enron states that it is unclear whether interim valuation would be sufficient to end the rate freeze.  </w:t>
      </w:r>
    </w:p>
    <w:p>
      <w:pPr>
        <w:pStyle w:val="sub2"/>
        <w:rPr/>
      </w:pPr>
      <w:r>
        <w:rPr/>
        <w:t xml:space="preserve">We find that net book value rather than PG&amp;E’s proposed interim estimated valuation is the appropriate valuation for non-nuclear generation assets subject to cost of service ratemaking under ABX6.  Under cost of service ratemaking the utilities will have the opportunity to earn a return on the cost of their investment.  Cost of service regulation has always used net book value for valuation.  Because the Commission is determining a value that reflects a dedication to public service and Commission regulation, it is reasonable for the Commission to determine the assets’ value to reflect that regulation.  </w:t>
      </w:r>
    </w:p>
    <w:p>
      <w:pPr>
        <w:pStyle w:val="sub2"/>
        <w:rPr/>
      </w:pPr>
      <w:r>
        <w:rPr/>
        <w:t xml:space="preserve">We find that net book value may also meet the statutory requirements of Section 367(b) for the Commission to determine a final market value for PG&amp;E’s and Edison’s non-nuclear remaining generation assets prior to December 31, 2001.  Unlike prior disposition of utility assets, which were sold to third parties, reliance on third party values makes little sense under present circumstances.  </w:t>
      </w:r>
    </w:p>
    <w:p>
      <w:pPr>
        <w:pStyle w:val="sub2"/>
        <w:rPr/>
      </w:pPr>
      <w:r>
        <w:rPr/>
        <w:t>Valuation cannot be determined by sale or divestiture under ABX6.  Any appraisal done would take into consideration that the generation assets are dedicated to public service and Commission regulation and would use a discounted cash flow analysis that reflected cost-based prices.</w:t>
      </w:r>
    </w:p>
    <w:p>
      <w:pPr>
        <w:pStyle w:val="sub2"/>
        <w:rPr/>
      </w:pPr>
      <w:r>
        <w:rPr/>
        <w:t xml:space="preserve">We should not make a determination of final market value without first giving notice, and an opportunity to comment, to all parties in Commission proceedings addressing this issue for PG&amp;E and Edison.  Therefore, we will provide an opportunity for comment and address final market valuation in a later decision. </w:t>
      </w:r>
      <w:r>
        <w:rPr>
          <w:rStyle w:val="FootnoteCharacters"/>
          <w:rStyle w:val="FootnoteReference"/>
        </w:rPr>
        <w:footnoteReference w:id="54"/>
      </w:r>
    </w:p>
    <w:p>
      <w:pPr>
        <w:pStyle w:val="Heading3"/>
        <w:numPr>
          <w:ilvl w:val="2"/>
          <w:numId w:val="15"/>
        </w:numPr>
        <w:tabs>
          <w:tab w:val="clear" w:pos="720"/>
        </w:tabs>
        <w:ind w:hanging="360" w:start="1440" w:end="2160"/>
        <w:rPr/>
      </w:pPr>
      <w:bookmarkStart w:id="44" w:name="__RefHeading___Toc510170354"/>
      <w:bookmarkEnd w:id="44"/>
      <w:r>
        <w:rPr/>
        <w:t>Valuation Date for Purpose of Determining if the Rate Freeze Has Ended.</w:t>
      </w:r>
    </w:p>
    <w:p>
      <w:pPr>
        <w:pStyle w:val="sub2"/>
        <w:rPr/>
      </w:pPr>
      <w:r>
        <w:rPr/>
        <w:t xml:space="preserve">Edison uses December 31, 2000 as the date it credits the net book value of its remaining non-nuclear generation assets to its TCBA.  PG&amp;E’s position is to use its interim estimated valuation it has booked previously, to be trued up later when a market valuation is done.  </w:t>
      </w:r>
    </w:p>
    <w:p>
      <w:pPr>
        <w:pStyle w:val="sub2"/>
        <w:rPr/>
      </w:pPr>
      <w:r>
        <w:rPr/>
        <w:t xml:space="preserve">ORA states a date after the January 26, 2001 ACR issued would be consistent with the scope of this phase and also be more accurate as it would reflect the changed circumstances that have occurred with the passage of ABX6 and AB1X.  Specifically, ORA recommends the Commission use a valuation date of February 1, 2001 or later.  </w:t>
      </w:r>
    </w:p>
    <w:p>
      <w:pPr>
        <w:pStyle w:val="sub2"/>
        <w:rPr/>
      </w:pPr>
      <w:r>
        <w:rPr/>
        <w:t xml:space="preserve">Farm Bureau assumes the valuation date is synonymous with the date of the end of the rate freeze and argues that the criteria for ending the rate freeze have not been met for either PG&amp;E or Edison </w:t>
      </w:r>
    </w:p>
    <w:p>
      <w:pPr>
        <w:pStyle w:val="sub2"/>
        <w:rPr/>
      </w:pPr>
      <w:r>
        <w:rPr/>
        <w:t xml:space="preserve">TURN does not recommend a specific date, stating that if the Commission uses net book value, the date of valuation is less of a determining factor.  </w:t>
      </w:r>
    </w:p>
    <w:p>
      <w:pPr>
        <w:pStyle w:val="sub2"/>
        <w:rPr/>
      </w:pPr>
      <w:r>
        <w:rPr/>
        <w:t>For purpose of determining if the rate freeze has ended, we will use a valuation date of January 31, 2001 for the net book value of PG&amp;E’s and Edison’s remaining non-nuclear generation assets.  This date is reasonable because it (1) is consistent with the January 26</w:t>
      </w:r>
      <w:r>
        <w:rPr>
          <w:vertAlign w:val="superscript"/>
        </w:rPr>
        <w:t>th</w:t>
      </w:r>
      <w:r>
        <w:rPr/>
        <w:t xml:space="preserve"> ACR, (2) after the date of ABX6 which establishes net book value as the appropriate valuation, and (3) compatible with the utilities’ end of the month accounting balances. </w:t>
      </w:r>
    </w:p>
    <w:p>
      <w:pPr>
        <w:pStyle w:val="Heading2"/>
        <w:numPr>
          <w:ilvl w:val="1"/>
          <w:numId w:val="10"/>
        </w:numPr>
        <w:tabs>
          <w:tab w:val="clear" w:pos="720"/>
        </w:tabs>
        <w:ind w:hanging="360" w:start="1080" w:end="2880"/>
        <w:rPr/>
      </w:pPr>
      <w:bookmarkStart w:id="45" w:name="__RefHeading___Toc510170355"/>
      <w:bookmarkEnd w:id="45"/>
      <w:r>
        <w:rPr/>
        <w:t>Has the Rate Freeze Ended on a Prospective Basis?</w:t>
      </w:r>
    </w:p>
    <w:p>
      <w:pPr>
        <w:pStyle w:val="sub1"/>
        <w:rPr/>
      </w:pPr>
      <w:r>
        <w:rPr/>
        <w:t xml:space="preserve">PG&amp;E and Edison state the rate freeze has ended, based on their claims that their transition costs have been fully recovered under the accounting mechanisms of Resolution E-3527.  Because all stranded costs have been fully recovered, they assert there is no legal basis for not ending the rate freeze in this decision, and later examining the utilities’ claim that the rate freeze ended even earlier.  Both also cite policy reasons why the Commission should declare an end to the rate freeze as of today. PG&amp;E states that nothing is to be gained, and much is potentially lost, by prolonging the uncertainty over whether the freeze is over.  Specifically, continuing the rate freeze exacerbates the concerns of lenders and creditors that their position may deteriorate if they do not take PG&amp;E into bankruptcy.  Edison states that there is a broad consensus among parties, citing to TURN and ORA, to end the rate freeze and there is no legal or policy reason to delay declaring an end. </w:t>
      </w:r>
    </w:p>
    <w:p>
      <w:pPr>
        <w:pStyle w:val="sub1"/>
        <w:rPr/>
      </w:pPr>
      <w:r>
        <w:rPr/>
        <w:t xml:space="preserve">ORA states that the rate freeze has ended on a prospective basis because AB1X and ABX6 together make retail ratepayers responsible for the cost of any wholesale power procured by CDWR whether a rate freeze is needed or not.  Without this legislation, says ORA, the rate freeze could only be over if the Commission fails to adopt TURN’s accounting proposal.  </w:t>
      </w:r>
    </w:p>
    <w:p>
      <w:pPr>
        <w:pStyle w:val="sub1"/>
        <w:rPr/>
      </w:pPr>
      <w:r>
        <w:rPr/>
        <w:t xml:space="preserve">TURN states that AB1X renders the rate freeze largely irrelevant and, therefore, the Commission should declare the freeze over as of the date of the statute’s enactment.  TURN states that AB1X is premised on the notion that each utility’s generation rate component will exceed the costs of its own generation resources, providing a component that will become the CPA that flows to CDWR, rather than being “headroom” available to the utility for transition cost recovery.  Further, the legislation provides for rate increases if the generation rate component is insufficient to meet CDWR’s procurement costs, a provision that cannot be reconciled with a continuing rate freeze.  In the absence of AB1X, TURN states the rate freeze would not be over for either utility under any reasonable set of assumptions and appropriate accounting practices.  </w:t>
      </w:r>
    </w:p>
    <w:p>
      <w:pPr>
        <w:pStyle w:val="sub1"/>
        <w:rPr/>
      </w:pPr>
      <w:r>
        <w:rPr/>
        <w:t xml:space="preserve">Parties that do not support a determination that the rate freeze has ended for either PG&amp;E or Edison are Aglet, CIU, CLECA, CMTA, Farm Bureau, Greenlining/LIF, Los Angeles, and SMUD.  All cite that the conditions of AB 1890 have not been met.  In addition, Farm Bureau cautions the Commission against arbitrarily ending the rate freeze without the utilities accepting the companion proposition that costs incurred during the rate freeze cannot be recovered from customers.  SMUD urges the Commission to adopt measures to mitigate the real and potential exercise of market power by PG&amp;E, and other generators prior to lifting the rate freeze.  CLECA states the Commission would be best served to await further word from the administration and the Legislature before deciding whether the rate freeze has ended.  </w:t>
      </w:r>
    </w:p>
    <w:p>
      <w:pPr>
        <w:pStyle w:val="sub1"/>
        <w:rPr/>
      </w:pPr>
      <w:r>
        <w:rPr/>
        <w:t xml:space="preserve">FEA, while not taking a position on whether the Commission should end the rate freeze, states that the Commission needs to clearly reaffirm that consistent with the intent and requirements of AB 1890 and prior decisions, any uncollected balances at the end of rate freeze, cannot be collected from customers and must be written off by the utilities under Financial Accounting Standards Board (FASB) 71. </w:t>
      </w:r>
    </w:p>
    <w:p>
      <w:pPr>
        <w:pStyle w:val="sub1"/>
        <w:rPr/>
      </w:pPr>
      <w:r>
        <w:rPr/>
        <w:t>We find that under AB 1890 the rate freeze has not ended for either PG&amp;E or Edison.  Using January 31, 2001 TCBA balances and the net book value of remaining non-nuclear generation assets, all transition costs specified under Section 368(a) have not been recovered by the utilities.  The adjusted TCBA balances for PG&amp;E and Edison are $6.3 and $3.7 billion, respectively, as of January 31, 2001, before applying net book values of approximately $700 million for each utility.</w:t>
      </w:r>
    </w:p>
    <w:p>
      <w:pPr>
        <w:pStyle w:val="sub1"/>
        <w:rPr/>
      </w:pPr>
      <w:r>
        <w:rPr/>
        <w:t xml:space="preserve">We recognize that there may be incompatibilities between the rate freeze and AB1X, particularly if headroom is not available to allow the utilities the opportunity to recover their remaining transition costs.  However, until we have completed implementation of AB1X, it is premature to reach conclusions regarding the interaction between AB1X and AB 1890.  Further, we agree with CIU that to find existing AB 1890 statutes inconsistent with AB1X, and to take action based on that conclusion, would be to repeal portions of AB 1890 by implication.  </w:t>
      </w:r>
    </w:p>
    <w:p>
      <w:pPr>
        <w:pStyle w:val="sub1"/>
        <w:rPr/>
      </w:pPr>
      <w:r>
        <w:rPr/>
        <w:t>To end the rate freeze would require us to address the disposition of the balances in the TCBA.  As we stated in D.99-10-057, these balances cannot be collected from customers after the rate freeze ends.</w:t>
      </w:r>
    </w:p>
    <w:p>
      <w:pPr>
        <w:pStyle w:val="Heading1"/>
        <w:tabs>
          <w:tab w:val="clear" w:pos="360"/>
        </w:tabs>
        <w:ind w:hanging="720" w:start="720" w:end="3600"/>
        <w:rPr/>
      </w:pPr>
      <w:bookmarkStart w:id="46" w:name="__RefHeading___Toc510170356"/>
      <w:r>
        <w:rPr/>
        <w:t>Care Discount</w:t>
      </w:r>
      <w:bookmarkEnd w:id="46"/>
      <w:r>
        <w:rPr/>
        <w:t xml:space="preserve"> </w:t>
      </w:r>
    </w:p>
    <w:p>
      <w:pPr>
        <w:pStyle w:val="standard"/>
        <w:tabs>
          <w:tab w:val="clear" w:pos="720"/>
          <w:tab w:val="left" w:pos="1080" w:leader="none"/>
        </w:tabs>
        <w:rPr/>
      </w:pPr>
      <w:r>
        <w:rPr/>
        <w:t>The January 26</w:t>
      </w:r>
      <w:r>
        <w:rPr>
          <w:vertAlign w:val="superscript"/>
        </w:rPr>
        <w:t>th</w:t>
      </w:r>
      <w:r>
        <w:rPr/>
        <w:t xml:space="preserve"> ACR permitted Greenlining/LIF to present testimony on specific changes to the California Alternative Rates for Energy (CARE) program for eligible low-income residential customers.</w:t>
      </w:r>
      <w:r>
        <w:rPr>
          <w:rStyle w:val="FootnoteCharacters"/>
          <w:rStyle w:val="FootnoteReference"/>
        </w:rPr>
        <w:footnoteReference w:id="55"/>
      </w:r>
      <w:r>
        <w:rPr/>
        <w:t xml:space="preserve">  Greenlining/LIF proposes to:  </w:t>
      </w:r>
    </w:p>
    <w:p>
      <w:pPr>
        <w:pStyle w:val="standard"/>
        <w:numPr>
          <w:ilvl w:val="0"/>
          <w:numId w:val="5"/>
        </w:numPr>
        <w:tabs>
          <w:tab w:val="clear" w:pos="720"/>
          <w:tab w:val="left" w:pos="990" w:leader="none"/>
        </w:tabs>
        <w:spacing w:lineRule="auto" w:line="240" w:before="120" w:after="120"/>
        <w:rPr/>
      </w:pPr>
      <w:r>
        <w:rPr/>
        <w:t xml:space="preserve">Exempt CARE-eligible customers from the current surcharge and any increases that result from implementation of AB1X.  Because low-income households often consist of multiple families living in sub-standard housing stock usage above 130% baseline exempted from rate increases under AB1X is often unavoidable; </w:t>
      </w:r>
    </w:p>
    <w:p>
      <w:pPr>
        <w:pStyle w:val="standard"/>
        <w:numPr>
          <w:ilvl w:val="0"/>
          <w:numId w:val="5"/>
        </w:numPr>
        <w:tabs>
          <w:tab w:val="clear" w:pos="720"/>
          <w:tab w:val="left" w:pos="990" w:leader="none"/>
        </w:tabs>
        <w:spacing w:lineRule="auto" w:line="240" w:before="120" w:after="120"/>
        <w:rPr/>
      </w:pPr>
      <w:r>
        <w:rPr/>
        <w:t xml:space="preserve">Increase the CARE discount from 15 to 25%, applicable to all Edison and PG&amp;E  customers, including PG&amp;E’s gas customers; </w:t>
      </w:r>
    </w:p>
    <w:p>
      <w:pPr>
        <w:pStyle w:val="standard"/>
        <w:numPr>
          <w:ilvl w:val="0"/>
          <w:numId w:val="5"/>
        </w:numPr>
        <w:tabs>
          <w:tab w:val="clear" w:pos="720"/>
          <w:tab w:val="left" w:pos="990" w:leader="none"/>
        </w:tabs>
        <w:spacing w:lineRule="auto" w:line="240" w:before="120" w:after="120"/>
        <w:rPr/>
      </w:pPr>
      <w:r>
        <w:rPr/>
        <w:t xml:space="preserve">Increase the CARE eligibility criteria from 150% to 175% of Federal poverty guidelines. The effect of increasing eligibility would allow a family of three to make up to $25, 000 and still qualify for the discount.  Adoption of an increase in eligibility essentially acknowledges the reality of the high cost of living in California;  </w:t>
      </w:r>
    </w:p>
    <w:p>
      <w:pPr>
        <w:pStyle w:val="standard"/>
        <w:numPr>
          <w:ilvl w:val="0"/>
          <w:numId w:val="5"/>
        </w:numPr>
        <w:tabs>
          <w:tab w:val="clear" w:pos="720"/>
          <w:tab w:val="left" w:pos="990" w:leader="none"/>
        </w:tabs>
        <w:spacing w:lineRule="auto" w:line="240" w:before="120" w:after="120"/>
        <w:rPr/>
      </w:pPr>
      <w:r>
        <w:rPr/>
        <w:t>Rule favorably on Greenlining/LIF’s motion for Clarification of D.01</w:t>
        <w:noBreakHyphen/>
        <w:t>01-018 regarding application of the EPS exemption.</w:t>
      </w:r>
    </w:p>
    <w:p>
      <w:pPr>
        <w:pStyle w:val="standard"/>
        <w:tabs>
          <w:tab w:val="clear" w:pos="720"/>
          <w:tab w:val="left" w:pos="990" w:leader="none"/>
        </w:tabs>
        <w:rPr/>
      </w:pPr>
      <w:r>
        <w:rPr/>
        <w:t xml:space="preserve">TURN supports these proposals, stating that Pub. Util. Code § 382 authorizes the Commission to ensure that the CARE program is funded at a level that will serve customers need and there are indications that customer need for such assistance is far higher than what is being provided today.  CCSF also support Commission consideration of financial assistance programs for low-income customers. </w:t>
      </w:r>
    </w:p>
    <w:p>
      <w:pPr>
        <w:pStyle w:val="standard"/>
        <w:tabs>
          <w:tab w:val="clear" w:pos="720"/>
          <w:tab w:val="left" w:pos="990" w:leader="none"/>
        </w:tabs>
        <w:rPr/>
      </w:pPr>
      <w:r>
        <w:rPr/>
        <w:t xml:space="preserve">ORA does not support further changes to the CARE discount during this phase of the proceeding because (1) CARE customers are already exempt from the 9% EPS increase applicable to residential customers; and (2) the Legislature is considering bills that increase the CARE discount. </w:t>
      </w:r>
    </w:p>
    <w:p>
      <w:pPr>
        <w:pStyle w:val="standard"/>
        <w:tabs>
          <w:tab w:val="clear" w:pos="720"/>
          <w:tab w:val="left" w:pos="990" w:leader="none"/>
        </w:tabs>
        <w:rPr/>
      </w:pPr>
      <w:r>
        <w:rPr/>
        <w:t>CMTA shares the opinion of ORA and adds that CARE customers are already receiving an effective discount of 22.5% due to their exemption from the EPS and current CARE rates are 13% lower than they were in 1993.  If additional discounts to CARE customers are adopted, non-CARE customers will be forced to bear the increased cost burden.</w:t>
      </w:r>
    </w:p>
    <w:p>
      <w:pPr>
        <w:pStyle w:val="standard"/>
        <w:tabs>
          <w:tab w:val="clear" w:pos="720"/>
          <w:tab w:val="left" w:pos="990" w:leader="none"/>
        </w:tabs>
        <w:rPr/>
      </w:pPr>
      <w:r>
        <w:rPr/>
        <w:t>PG&amp;E supports increasing the CARE discount level to 25% for the electric portion of CARE customer bills if the Commission adopts PG&amp;E’s requested two-cents per kWh increase in customer electric rates.  Absent the Commission’s adoption of a two-cents per kWh rate increase, PG&amp;E supports continuation of the current discount and the exemption for CARE customers from the one cent per kWh increase (EPS) adopted in D.01-01-018.</w:t>
      </w:r>
    </w:p>
    <w:p>
      <w:pPr>
        <w:pStyle w:val="standard"/>
        <w:tabs>
          <w:tab w:val="clear" w:pos="720"/>
          <w:tab w:val="left" w:pos="990" w:leader="none"/>
        </w:tabs>
        <w:rPr/>
      </w:pPr>
      <w:r>
        <w:rPr/>
        <w:t xml:space="preserve">PG&amp;E states that it may be appropriate to revisit the income threshold for participation in the CARE program, as well as other issues raised by the Greenlining/LIF in its testimony, in the ongoing low-income proceeding where consistency can be assured between gas and electricity customers, and between the state’s investor-owned utilities.  Edison asserts that the Commission should either retain the current EPS exemption for CARE customers or increase the CARE discount, but not both.  </w:t>
      </w:r>
    </w:p>
    <w:p>
      <w:pPr>
        <w:pStyle w:val="standard"/>
        <w:tabs>
          <w:tab w:val="clear" w:pos="720"/>
          <w:tab w:val="left" w:pos="990" w:leader="none"/>
        </w:tabs>
        <w:rPr/>
      </w:pPr>
      <w:r>
        <w:rPr/>
        <w:t>Edison is opposed to raising the income eligibility guidelines for the CARE because over one-fourth of its residential customers would become eligible for CARE, placing substantial additional burdens on the remaining ratepayers to cover these costs due to the potential increase in spending to fund the program.</w:t>
      </w:r>
    </w:p>
    <w:p>
      <w:pPr>
        <w:pStyle w:val="standard"/>
        <w:tabs>
          <w:tab w:val="clear" w:pos="720"/>
          <w:tab w:val="left" w:pos="990" w:leader="none"/>
        </w:tabs>
        <w:rPr/>
      </w:pPr>
      <w:r>
        <w:rPr/>
        <w:t xml:space="preserve">We find the record supports increasing the CARE discount from 15% to 25% and the eligibility levels from 150% of federal poverty guidelines to 175% for electric customers of PG&amp;E and Edison.  Low income households are struggling now to meet the cost of utility energy services, which includes both their electric and gas usage bills, and we recognize in this that electric rate increases may occur in the near future through other phases of this proceeding, including implementation of AB1X.  </w:t>
      </w:r>
    </w:p>
    <w:p>
      <w:pPr>
        <w:pStyle w:val="standard"/>
        <w:tabs>
          <w:tab w:val="clear" w:pos="720"/>
          <w:tab w:val="left" w:pos="990" w:leader="none"/>
        </w:tabs>
        <w:rPr/>
      </w:pPr>
      <w:r>
        <w:rPr/>
        <w:t xml:space="preserve">We do not extend these changes to gas customers of PG&amp;E because the applications filed and noticed here address only electric issues.  We recognize we need to quickly address similar CARE changes for gas customers of PG&amp;E, SDG&amp;E, and Southern California Gas Company and will move quickly to address the applicability of the Commission’s decision to all jurisdictional utilities offering CARE discounts under the Commission’s oversight.  </w:t>
      </w:r>
    </w:p>
    <w:p>
      <w:pPr>
        <w:pStyle w:val="standard"/>
        <w:tabs>
          <w:tab w:val="clear" w:pos="720"/>
          <w:tab w:val="left" w:pos="990" w:leader="none"/>
        </w:tabs>
        <w:rPr/>
      </w:pPr>
      <w:r>
        <w:rPr/>
        <w:t>We do not adopt Greenlining/LIF’s proposal to exempt CARE customers from any increases that result from implementation of AB1X as that is an issue to be considered within the context of our implementation.  AB1X does continue the exemption of CARE customers from the EPS based on its language that references rates in effect as of January 5, 2001, and we affirm that finding here.</w:t>
      </w:r>
    </w:p>
    <w:p>
      <w:pPr>
        <w:pStyle w:val="Heading1"/>
        <w:numPr>
          <w:ilvl w:val="0"/>
          <w:numId w:val="9"/>
        </w:numPr>
        <w:ind w:hanging="720" w:start="720" w:end="90"/>
        <w:rPr/>
      </w:pPr>
      <w:bookmarkStart w:id="47" w:name="__RefHeading___Toc510170357"/>
      <w:bookmarkEnd w:id="47"/>
      <w:r>
        <w:rPr/>
        <w:t>Residential Tiering and Rate Design Proposals</w:t>
      </w:r>
    </w:p>
    <w:p>
      <w:pPr>
        <w:pStyle w:val="standard"/>
        <w:tabs>
          <w:tab w:val="clear" w:pos="720"/>
          <w:tab w:val="left" w:pos="990" w:leader="none"/>
        </w:tabs>
        <w:rPr/>
      </w:pPr>
      <w:r>
        <w:rPr/>
        <w:t>In the January 26</w:t>
      </w:r>
      <w:r>
        <w:rPr>
          <w:vertAlign w:val="superscript"/>
        </w:rPr>
        <w:t>th</w:t>
      </w:r>
      <w:r>
        <w:rPr/>
        <w:t xml:space="preserve"> ACR, the Commission included in the scope of this proceeding the issue of tiered residential rates.  Parties presented detailed proposals on this issue.  At the February 2d PHC, TURN voiced its concern that if PG&amp;E and Edison presented their originally served rate design testimony in Phase 1, this issue would be addressed at a level of detail which would be inappropriate and would extend hearings beyond the time available within the schedule.  Subsequent to this discussion, PG&amp;E and Edison all notified parties that they were withdrawing their rate design testimony based on TURN’s comments and an understanding that if the Commission adopts a rate increase in this phase, the Commission must use some rate design and revenue allocation principles to allocate the increase.</w:t>
      </w:r>
      <w:r>
        <w:rPr>
          <w:rStyle w:val="FootnoteCharacters"/>
          <w:rStyle w:val="FootnoteReference"/>
        </w:rPr>
        <w:footnoteReference w:id="56"/>
      </w:r>
      <w:r>
        <w:rPr/>
        <w:t xml:space="preserve">  All parties who address rate design in this phase, except FEA, propose we use the equal cent/kWh approach that we adopted for the EPS in D.01-01-018.</w:t>
      </w:r>
    </w:p>
    <w:p>
      <w:pPr>
        <w:pStyle w:val="standard"/>
        <w:tabs>
          <w:tab w:val="clear" w:pos="720"/>
          <w:tab w:val="left" w:pos="990" w:leader="none"/>
        </w:tabs>
        <w:rPr/>
      </w:pPr>
      <w:r>
        <w:rPr/>
        <w:t>We do not adopt a rate increase here and therefore do not need to adopt a specific residential tiering and/or overall rate design proposal.  However, we find it informative to present a summary of parties’ proposals as these issues will be before us in other forums.</w:t>
      </w:r>
    </w:p>
    <w:p>
      <w:pPr>
        <w:pStyle w:val="standard"/>
        <w:tabs>
          <w:tab w:val="clear" w:pos="720"/>
          <w:tab w:val="left" w:pos="990" w:leader="none"/>
        </w:tabs>
        <w:rPr/>
      </w:pPr>
      <w:r>
        <w:rPr/>
        <w:t>Greening/LIF supports the concept of residential tiering as set out in AB1X, and is open to it in a broader sense, with one important caveat: low-income households who –usually through no fault of their own – consume above the 130% baseline should be exempt from any further emergency or interim rate surcharges.  Greenlining/LIF believes this can be done most efficiently by exempting CARE-eligible customers from any further emergency or interim procurement surcharges.</w:t>
      </w:r>
    </w:p>
    <w:p>
      <w:pPr>
        <w:pStyle w:val="standard"/>
        <w:tabs>
          <w:tab w:val="clear" w:pos="720"/>
          <w:tab w:val="left" w:pos="990" w:leader="none"/>
        </w:tabs>
        <w:rPr/>
      </w:pPr>
      <w:r>
        <w:rPr/>
        <w:t xml:space="preserve">TURN proposes that any adoption of a further rate increase in this phase be allocated on an equal-cents-per-kilowatt-hour basis (except to CARE customers and residential load at less than 130% of baseline).  Additionally, enactment of AB1X may have mooted the need to implement additional residential rate tiers in Phase I.  However, TURN requests that the Commission be prepared to promptly revisit this issue, either to implement whatever additional legislation may be enacted in the current extraordinary session, or to consider the reasonableness and legality of further rate design changes at that time. TURN states that any rate increase ordered pursuant to AB1X should only be allocated among those customers eligible under AB1X to have their rates increased. </w:t>
      </w:r>
    </w:p>
    <w:p>
      <w:pPr>
        <w:pStyle w:val="standard"/>
        <w:tabs>
          <w:tab w:val="clear" w:pos="720"/>
          <w:tab w:val="left" w:pos="990" w:leader="none"/>
        </w:tabs>
        <w:rPr/>
      </w:pPr>
      <w:r>
        <w:rPr/>
        <w:t>Aglet supports three-tiered rates for residential customers, but testifies that the Commission should recognize their implications.  Aglet recommends that residential usage below 130% of baseline amounts be removed from consideration during the revenue allocation step.</w:t>
      </w:r>
    </w:p>
    <w:p>
      <w:pPr>
        <w:pStyle w:val="standard"/>
        <w:tabs>
          <w:tab w:val="clear" w:pos="720"/>
          <w:tab w:val="left" w:pos="990" w:leader="none"/>
        </w:tabs>
        <w:rPr/>
      </w:pPr>
      <w:r>
        <w:rPr/>
        <w:t>ORA presents its residential rate design proposal to collect the entire residential class rate allocation in the third tier.  CIU, CMTA, and Farm Bureau agree with this principle, stating that in the event of further rate increases, the Commission design the residential tiers such that the shortfall created by the 130% provision is recovered in a third tier rate for residential customers.  CMTA states that no other customer classes be forced to subsidize energy costs associated with residential usage because doing so would send the wrong price signal to all classes constituting a major step backwards in coping with current supply shortage.</w:t>
      </w:r>
    </w:p>
    <w:p>
      <w:pPr>
        <w:pStyle w:val="standard"/>
        <w:tabs>
          <w:tab w:val="clear" w:pos="720"/>
          <w:tab w:val="left" w:pos="990" w:leader="none"/>
        </w:tabs>
        <w:rPr/>
      </w:pPr>
      <w:r>
        <w:rPr/>
        <w:t>PG&amp;E believes that in order to implement the residential tiering provisions of AB1X, any rate increase should be allocated to classes on an equal-cents-per-kWh basis, and then residential rates should incorporate the increase into a third tier for usage above 130 % of baseline.</w:t>
      </w:r>
    </w:p>
    <w:p>
      <w:pPr>
        <w:pStyle w:val="standard"/>
        <w:tabs>
          <w:tab w:val="clear" w:pos="720"/>
          <w:tab w:val="left" w:pos="990" w:leader="none"/>
        </w:tabs>
        <w:rPr/>
      </w:pPr>
      <w:r>
        <w:rPr/>
        <w:t xml:space="preserve">Edison argues that implementation of a tiered rate design should be postponed until the Legislature provides anticipated policy guidance given the passage of AB1X and other proposals before the Legislature. </w:t>
      </w:r>
    </w:p>
    <w:p>
      <w:pPr>
        <w:pStyle w:val="standard"/>
        <w:tabs>
          <w:tab w:val="clear" w:pos="720"/>
          <w:tab w:val="left" w:pos="990" w:leader="none"/>
        </w:tabs>
        <w:rPr/>
      </w:pPr>
      <w:r>
        <w:rPr/>
        <w:t xml:space="preserve">FEA does not present a residential tiering proposal but states that if the Commission should authorize a rate increase here, the increase should be applied as a uniform percentage increase to the generation component of current rates.  TURN objects to this proposal, stating that current generation rates are a residual from the days of frozen rates, and therefore reflect an Equal Percentage of Marginal Cost (EPMC) share of total system marginal costs, with an implicit assumption of a marginal energy cost of approximately two-cents/kWh, and gas prices of $2/MMBtu.  The marginal cost realities in today’s energy market are very different.  </w:t>
      </w:r>
    </w:p>
    <w:p>
      <w:pPr>
        <w:pStyle w:val="Heading1"/>
        <w:numPr>
          <w:ilvl w:val="0"/>
          <w:numId w:val="0"/>
        </w:numPr>
        <w:ind w:hanging="0" w:start="0"/>
        <w:rPr/>
      </w:pPr>
      <w:bookmarkStart w:id="48" w:name="__RefHeading___Toc510170358"/>
      <w:bookmarkEnd w:id="48"/>
      <w:r>
        <w:rPr/>
        <w:t>VII.</w:t>
        <w:tab/>
        <w:t>Issuance of the Proposed Decision</w:t>
      </w:r>
    </w:p>
    <w:p>
      <w:pPr>
        <w:pStyle w:val="standard"/>
        <w:rPr/>
      </w:pPr>
      <w:r>
        <w:rPr/>
        <w:t xml:space="preserve">Pursuant to the schedule established by ALJ ruling dated February 2, 2001 and Section 311(d) of the Public Utilities Code, the proposed decision was issued on March 26, 2001 and parties’ appeared for final oral argument (FOA) before a quorum of the Commission on Monday, March 26, 2001.  Public Utilities Code Section 311(d) generally requires, in matters that have gone to hearing, a 30-day period between service of an ALJ’s proposed decision and the Commission’s issuance of the decision.  However, Section 311(d) provides that that period may be reduced or waived by the Commission “upon the stipulation of all parties to the proceeding or as otherwise provided by law.”  </w:t>
      </w:r>
    </w:p>
    <w:p>
      <w:pPr>
        <w:pStyle w:val="standard"/>
        <w:rPr/>
      </w:pPr>
      <w:r>
        <w:rPr/>
        <w:t>Although not expressly stated in Section 311(d), the 30-day period provides an opportunity for parties to comment on the proposed decision.  In this proceeding, we are considering the continuation of a surcharge which, pursuant to D.01-01-018, will expire on April 5, 2001 unless the Commission orders it extended on or before then.  Given that deadline and the 30-day requirement of Section 311(d), the assigned ALJ discussed with the parties at the January 10</w:t>
      </w:r>
      <w:r>
        <w:rPr>
          <w:vertAlign w:val="superscript"/>
        </w:rPr>
        <w:t>th</w:t>
      </w:r>
      <w:r>
        <w:rPr/>
        <w:t xml:space="preserve"> PHC alternative schedules for the current phase of this proceeding.  Under one of these, there would have been 30 days to comment on the proposed decision, but the time available to prepare for and conduct hearings and brief the matter would have been very short.  </w:t>
      </w:r>
    </w:p>
    <w:p>
      <w:pPr>
        <w:pStyle w:val="standard"/>
        <w:rPr/>
      </w:pPr>
      <w:r>
        <w:rPr/>
        <w:t>At the PHC on January 10</w:t>
      </w:r>
      <w:r>
        <w:rPr>
          <w:vertAlign w:val="superscript"/>
        </w:rPr>
        <w:t>th</w:t>
      </w:r>
      <w:r>
        <w:rPr/>
        <w:t xml:space="preserve">, the parties proposed an alternative schedule, under which the parties would waive the 30-day period under Section 311(d) and forgo the Commission’s usual procedure for filing written comments on the proposed decision, as set forth in Article 19 of the Commission’s Rules of Practice and Procedure, in order for the amount of time available for the other steps necessary to issue a decision before April 5th to be correspondingly lengthened.  </w:t>
      </w:r>
      <w:r>
        <w:rPr>
          <w:caps/>
        </w:rPr>
        <w:t>a</w:t>
      </w:r>
      <w:r>
        <w:rPr/>
        <w:t>ll those present agreed to waive the 30-day period under Section 311(d) in order to obtain the benefits of that schedule.  At the PHC, PG&amp;E and Edison offered to send out a request for a formal waiver to all parties, and the Assigned Commissioner directed this process be undertaken in the January 26</w:t>
      </w:r>
      <w:r>
        <w:rPr>
          <w:vertAlign w:val="superscript"/>
        </w:rPr>
        <w:t>th</w:t>
      </w:r>
      <w:r>
        <w:rPr/>
        <w:t xml:space="preserve"> Assigned Commissioner’s Ruling.  During hearing the ALJ asked parties if in light of AB1X making the EPS permanent there was a need for the Commission to act by April 5, 2001.  PG&amp;E and Edison answered affirmatively and no party objected.</w:t>
      </w:r>
    </w:p>
    <w:p>
      <w:pPr>
        <w:pStyle w:val="standard"/>
        <w:rPr/>
      </w:pPr>
      <w:r>
        <w:rPr/>
        <w:t>Ultimately, all parties on the service list agreed to waive the 30-day period, except for one, California Association of Cogenerators (CAC).  To date, CAC has not been active in this proceeding.  It did not file testimony, it did not cross-examine witnesses at the hearing, and it did not file a brief.  If we were to allow CAC, an inactive party, to unilaterally torpedo the agreed-upon schedule, we would be allowing it to veto the choice the active parties made: to obtain more time to prepare for hearings and to brief the matter, by waiving the Section 311(d) period.  We do not view Section 311 as requiring us to give CAC this veto-power over the ability of the active parties to participate effectively.  Accordingly, on the facts of this case, where there is a pre-set deadline, where the active parties have chosen to meet this deadline by waiving the 30-day period under Section 311(d) and thereby allow themselves more time to prepare for hearings and to brief the matter, we construe the requirement of 311(d) that a waiver be obtained from all parties not to refer to an inactive party that has not participated in the hearing or briefing process.  Accordingly, we will reduce the 30-day advance publication period of Section 311(d) to one</w:t>
      </w:r>
      <w:r>
        <w:rPr>
          <w:b/>
        </w:rPr>
        <w:t xml:space="preserve"> </w:t>
      </w:r>
      <w:r>
        <w:rPr/>
        <w:t>day, and hold oral argument on March 26</w:t>
      </w:r>
      <w:r>
        <w:rPr>
          <w:vertAlign w:val="superscript"/>
        </w:rPr>
        <w:t>th</w:t>
      </w:r>
      <w:r>
        <w:rPr/>
        <w:t>, in lieu of providing for written comments.</w:t>
      </w:r>
    </w:p>
    <w:p>
      <w:pPr>
        <w:pStyle w:val="dummy"/>
        <w:rPr/>
      </w:pPr>
      <w:bookmarkStart w:id="49" w:name="__RefHeading___Toc510170359"/>
      <w:bookmarkEnd w:id="49"/>
      <w:r>
        <w:rPr/>
        <w:t>Findings of Fact</w:t>
      </w:r>
    </w:p>
    <w:p>
      <w:pPr>
        <w:pStyle w:val="num1"/>
        <w:numPr>
          <w:ilvl w:val="0"/>
          <w:numId w:val="2"/>
        </w:numPr>
        <w:rPr/>
      </w:pPr>
      <w:r>
        <w:rPr/>
        <w:t>In this decision we look at one piece of the need to raise electric prices, the need to increase prices in order for Pacific Gas and Electric Company (PG&amp;E) and Southern California Edison Company (Edison) to continue to purchase power to serve their customers on a going-forward basis.</w:t>
      </w:r>
    </w:p>
    <w:p>
      <w:pPr>
        <w:pStyle w:val="num1"/>
        <w:numPr>
          <w:ilvl w:val="0"/>
          <w:numId w:val="2"/>
        </w:numPr>
        <w:rPr/>
      </w:pPr>
      <w:r>
        <w:rPr/>
        <w:t xml:space="preserve">We will address in other decisions (1) the money needed by the California Department of Water Resources (CDWR) for its power purchases on behalf of the customers of PG&amp;E and Edison and (2) whether customers should bear any portion of financial responsibility beyond that already in existing rates for past purchase power obligations.  </w:t>
      </w:r>
    </w:p>
    <w:p>
      <w:pPr>
        <w:pStyle w:val="num1"/>
        <w:numPr>
          <w:ilvl w:val="0"/>
          <w:numId w:val="2"/>
        </w:numPr>
        <w:rPr/>
      </w:pPr>
      <w:r>
        <w:rPr/>
        <w:t>The firm of Barrington-Wellesley Group, Inc. (BWG) conducted an independent review of PG&amp;E, and the firm of KPMG LLP (KPMG) conducted an independent review of Edison focusing on their cash liquidity, credit capacity, and solvency.</w:t>
      </w:r>
    </w:p>
    <w:p>
      <w:pPr>
        <w:pStyle w:val="num1"/>
        <w:numPr>
          <w:ilvl w:val="0"/>
          <w:numId w:val="2"/>
        </w:numPr>
        <w:rPr/>
      </w:pPr>
      <w:r>
        <w:rPr/>
        <w:t>The BWG and KPMG report findings regarding the utilities' cash flow difficulties and inability to obtain additional credit, generally confirm that the financial problems facing the utilities are serious in nature, and could potentially lead to bankruptcy proceedings for the utilities.</w:t>
      </w:r>
    </w:p>
    <w:p>
      <w:pPr>
        <w:pStyle w:val="num1"/>
        <w:numPr>
          <w:ilvl w:val="0"/>
          <w:numId w:val="2"/>
        </w:numPr>
        <w:rPr>
          <w:sz w:val="24"/>
        </w:rPr>
      </w:pPr>
      <w:r>
        <w:rPr/>
        <w:t>The utilities' financial problems involve two interrelated aspects: (1) liquidity risk, that is, the risk that insufficient cash is available to pay bills as they become due, and (2) the risk of insolvency (i.e., negative net worth whereby the sum of the utility's debts exceeds the fair value of its property).</w:t>
      </w:r>
    </w:p>
    <w:p>
      <w:pPr>
        <w:pStyle w:val="num1"/>
        <w:numPr>
          <w:ilvl w:val="0"/>
          <w:numId w:val="2"/>
        </w:numPr>
        <w:rPr>
          <w:sz w:val="24"/>
        </w:rPr>
      </w:pPr>
      <w:r>
        <w:rPr/>
        <w:t>A significant source of cash flow should be provided in covering utility wholesale power obligations by AB1X which authorizes the California Department of Water Resources (CDWR) to purchase electric power and to sell power to retail end-use customers and to local publicly-owned electric utilities.</w:t>
      </w:r>
    </w:p>
    <w:p>
      <w:pPr>
        <w:pStyle w:val="num1"/>
        <w:numPr>
          <w:ilvl w:val="0"/>
          <w:numId w:val="2"/>
        </w:numPr>
        <w:rPr/>
      </w:pPr>
      <w:r>
        <w:rPr/>
        <w:t>PG&amp;E's requested two-cents per kWh rate increase is based on its proposed "trigger" mechanism which would have been activated twice since November 2000 due to the high wholesale prices that have been experienced.</w:t>
      </w:r>
    </w:p>
    <w:p>
      <w:pPr>
        <w:pStyle w:val="num1"/>
        <w:numPr>
          <w:ilvl w:val="0"/>
          <w:numId w:val="2"/>
        </w:numPr>
        <w:rPr/>
      </w:pPr>
      <w:r>
        <w:rPr/>
        <w:t>PG&amp;E's proposed two-cents rate increase fails to account for sources of incoming cash flow from the CDWR, income tax refunds, and other potential sources expected to become available.</w:t>
      </w:r>
    </w:p>
    <w:p>
      <w:pPr>
        <w:pStyle w:val="num1"/>
        <w:numPr>
          <w:ilvl w:val="0"/>
          <w:numId w:val="2"/>
        </w:numPr>
        <w:rPr/>
      </w:pPr>
      <w:r>
        <w:rPr/>
        <w:t>Edison's financial witness testified that if CDWR assumes full responsibility for procurement of the utility's net short position, then its requested 20% rate increase is not necessary.</w:t>
      </w:r>
    </w:p>
    <w:p>
      <w:pPr>
        <w:pStyle w:val="num2"/>
        <w:numPr>
          <w:ilvl w:val="0"/>
          <w:numId w:val="2"/>
        </w:numPr>
        <w:rPr/>
      </w:pPr>
      <w:r>
        <w:rPr/>
        <w:t>BWG found that PG&amp;E would likely have positive cash reserves through at least March, 2001, and through April or May if CDWR procures PG&amp;E's wholesale power other than existing QF and bilateral contracts.</w:t>
      </w:r>
    </w:p>
    <w:p>
      <w:pPr>
        <w:pStyle w:val="num2"/>
        <w:numPr>
          <w:ilvl w:val="0"/>
          <w:numId w:val="2"/>
        </w:numPr>
        <w:rPr/>
      </w:pPr>
      <w:r>
        <w:rPr/>
        <w:t>Edison fails to provide any cash flow analysis regarding what portion of the two-cents per kWh increase it would actually need assuming some portion of the its net short position is procured by CDWR.</w:t>
      </w:r>
    </w:p>
    <w:p>
      <w:pPr>
        <w:pStyle w:val="num2"/>
        <w:numPr>
          <w:ilvl w:val="0"/>
          <w:numId w:val="2"/>
        </w:numPr>
        <w:rPr/>
      </w:pPr>
      <w:r>
        <w:rPr/>
        <w:t>While there remains some uncertainty regarding the precise share of the utilities' net short position that CDWR will cover, CDWR is still making purchases that cover a substantial portion of each utility's net short position.</w:t>
      </w:r>
    </w:p>
    <w:p>
      <w:pPr>
        <w:pStyle w:val="num2"/>
        <w:numPr>
          <w:ilvl w:val="0"/>
          <w:numId w:val="2"/>
        </w:numPr>
        <w:rPr/>
      </w:pPr>
      <w:r>
        <w:rPr/>
        <w:t>While each utility may be incurring a portion of procurement costs under AB1X, their total procurement costs may still be less than the existing utility generation rate component.</w:t>
      </w:r>
    </w:p>
    <w:p>
      <w:pPr>
        <w:pStyle w:val="num2"/>
        <w:numPr>
          <w:ilvl w:val="0"/>
          <w:numId w:val="2"/>
        </w:numPr>
        <w:rPr/>
      </w:pPr>
      <w:r>
        <w:rPr/>
        <w:t>Between January 31 and March 8, 2001, PG&amp;E's cash balance increased from $827 million to $2.508 billion, while outstanding obligations due and in default increased from $1.542 billion to $3.324 billion.  Thus, the growth rate of cash exceeded that of debts between the end of January and early March 2001.</w:t>
      </w:r>
    </w:p>
    <w:p>
      <w:pPr>
        <w:pStyle w:val="num2"/>
        <w:numPr>
          <w:ilvl w:val="0"/>
          <w:numId w:val="2"/>
        </w:numPr>
        <w:rPr/>
      </w:pPr>
      <w:r>
        <w:rPr/>
        <w:t xml:space="preserve">Edison's cash balance improved from $1.5 billion at the end of January 2001 to $1.6 billion by early March 2001 while debts due and in default increased from $1.24 billion to $1.77 billion over the same period.  Thus, while Edison debts grew somewhat faster than cash, the overall ratio of cash to debt remained relatively stable. </w:t>
      </w:r>
    </w:p>
    <w:p>
      <w:pPr>
        <w:pStyle w:val="num2"/>
        <w:numPr>
          <w:ilvl w:val="0"/>
          <w:numId w:val="2"/>
        </w:numPr>
        <w:rPr/>
      </w:pPr>
      <w:r>
        <w:rPr/>
        <w:t>The utilities failed to make any showing that the rate increases they seek will cause less economic disruption or hardship on the utility’s customers and the state’s economy than would be caused were the utility’s request not granted.</w:t>
      </w:r>
    </w:p>
    <w:p>
      <w:pPr>
        <w:pStyle w:val="num2"/>
        <w:numPr>
          <w:ilvl w:val="0"/>
          <w:numId w:val="2"/>
        </w:numPr>
        <w:rPr/>
      </w:pPr>
      <w:r>
        <w:rPr/>
        <w:t>The utilities and their shareholders have received significant financial benefit from industry restructuring thus far.</w:t>
      </w:r>
    </w:p>
    <w:p>
      <w:pPr>
        <w:pStyle w:val="num2"/>
        <w:numPr>
          <w:ilvl w:val="0"/>
          <w:numId w:val="2"/>
        </w:numPr>
        <w:rPr/>
      </w:pPr>
      <w:r>
        <w:rPr/>
        <w:t>Disbursements from PG&amp;E, the utility, to the parent company, PG&amp;E Corporation (PG&amp;E Corp.) since 1996 have been approximately $9.6 billion.  Out of this total, PG&amp;E Corp. issued has paid dividends of approximately $1.5 billion, repurchased stock in the amount of approximately $2.8 billion, and retire $2.8 billion debt.</w:t>
      </w:r>
    </w:p>
    <w:p>
      <w:pPr>
        <w:pStyle w:val="num2"/>
        <w:numPr>
          <w:ilvl w:val="0"/>
          <w:numId w:val="2"/>
        </w:numPr>
        <w:rPr/>
      </w:pPr>
      <w:r>
        <w:rPr/>
        <w:t>Out of an approximate $5 billion in dividends and transfers received from its subsidiaries over the four-year-and-eleven-month period ended November 30, 2000, approximately $4.75 billion was attributable to Edison.</w:t>
      </w:r>
    </w:p>
    <w:p>
      <w:pPr>
        <w:pStyle w:val="num2"/>
        <w:numPr>
          <w:ilvl w:val="0"/>
          <w:numId w:val="2"/>
        </w:numPr>
        <w:rPr/>
      </w:pPr>
      <w:r>
        <w:rPr/>
        <w:t>In D.99-04-068, the Commission prescribed that the capital requirements of PG&amp;E, as determined to be necessary and prudent to meet the obligation to serve or to operate the utility in a prudent and efficient manner, shall be given first priority by PG&amp;E Corporation’s Board of Directors.</w:t>
      </w:r>
    </w:p>
    <w:p>
      <w:pPr>
        <w:pStyle w:val="num2"/>
        <w:numPr>
          <w:ilvl w:val="0"/>
          <w:numId w:val="2"/>
        </w:numPr>
        <w:rPr/>
      </w:pPr>
      <w:r>
        <w:rPr/>
        <w:t>PG&amp;E Corp. took “ring-fencing” action to separate the NEG affiliates from the financial difficulties of PG&amp;E and Edison International took the same action to separate the Mission Group affiliates from the financial difficulties of Edison.</w:t>
      </w:r>
    </w:p>
    <w:p>
      <w:pPr>
        <w:pStyle w:val="num2"/>
        <w:numPr>
          <w:ilvl w:val="0"/>
          <w:numId w:val="2"/>
        </w:numPr>
        <w:rPr/>
      </w:pPr>
      <w:r>
        <w:rPr/>
        <w:t xml:space="preserve">Despite the significant cash needs of PG&amp;E, the electric utility, its holding company closed a $1 billion loan agreement in early March 2001 while allocating none of the loan proceeds to relieve the utility's cash burdens. </w:t>
      </w:r>
    </w:p>
    <w:p>
      <w:pPr>
        <w:pStyle w:val="num2"/>
        <w:numPr>
          <w:ilvl w:val="0"/>
          <w:numId w:val="2"/>
        </w:numPr>
        <w:rPr/>
      </w:pPr>
      <w:r>
        <w:rPr/>
        <w:t>We cannot fully assess the utilities’ claims of dire financial problems without considering the facts associated with all streams of revenues and costs, as well as the relationships of the utilities to their parent companies and affiliates.  We will undertake this consideration in other proceedings.</w:t>
      </w:r>
    </w:p>
    <w:p>
      <w:pPr>
        <w:pStyle w:val="num2"/>
        <w:numPr>
          <w:ilvl w:val="0"/>
          <w:numId w:val="2"/>
        </w:numPr>
        <w:rPr/>
      </w:pPr>
      <w:r>
        <w:rPr/>
        <w:t>The Commission has placed notice on its public agenda of a proposal to open a new investigation to consider whether the utilities and their corporate parents are complying with the Commission's rules regarding utility holding companies.</w:t>
      </w:r>
    </w:p>
    <w:p>
      <w:pPr>
        <w:pStyle w:val="num2"/>
        <w:numPr>
          <w:ilvl w:val="0"/>
          <w:numId w:val="2"/>
        </w:numPr>
        <w:rPr/>
      </w:pPr>
      <w:r>
        <w:rPr/>
        <w:t>Governor Davis' administration and the Legislature are currently engaged with all three of the major electric utilities in discussions regarding remedies to deal with their financial problems, including the possible sale of transmission assets at a price above book value, and other concessions by the utilities or their corporate parents, among other things.</w:t>
      </w:r>
    </w:p>
    <w:p>
      <w:pPr>
        <w:pStyle w:val="num2"/>
        <w:numPr>
          <w:ilvl w:val="0"/>
          <w:numId w:val="2"/>
        </w:numPr>
        <w:rPr/>
      </w:pPr>
      <w:r>
        <w:rPr/>
        <w:t>The Commission established the TCBA to track the accelerated cost recovery of generation assets and other authorized transition cost, and also established the TRA to track the residual calculation of the CTC and to ensure that headroom is properly calculated and credited to the TCBA.</w:t>
      </w:r>
    </w:p>
    <w:p>
      <w:pPr>
        <w:pStyle w:val="num2"/>
        <w:numPr>
          <w:ilvl w:val="0"/>
          <w:numId w:val="2"/>
        </w:numPr>
        <w:rPr/>
      </w:pPr>
      <w:r>
        <w:rPr/>
        <w:t>In Resolution E-3527, the Commission allowed unrecovered operating costs to be carried over in the TRA from month to month, and allowed revenues to be applied to these accumulated undercollections first before being transferred to the TCBA.  In D.99-10-057 we found that no utility may carry over costs incurred during the rate freeze period to the post-rate freeze period.</w:t>
      </w:r>
    </w:p>
    <w:p>
      <w:pPr>
        <w:pStyle w:val="num2"/>
        <w:numPr>
          <w:ilvl w:val="0"/>
          <w:numId w:val="2"/>
        </w:numPr>
        <w:rPr/>
      </w:pPr>
      <w:r>
        <w:rPr/>
        <w:t>In A.00-10-028, TURN recognizes the interaction of the TRA and the TCBA and focuses on Resolution E-3527, which stopped the transfer of any TRA undercollection to the TCBA on a monthly basis.  TURN proposes that this ratemaking be revised to allow such a transfer.</w:t>
      </w:r>
    </w:p>
    <w:p>
      <w:pPr>
        <w:pStyle w:val="num2"/>
        <w:numPr>
          <w:ilvl w:val="0"/>
          <w:numId w:val="2"/>
        </w:numPr>
        <w:rPr/>
      </w:pPr>
      <w:r>
        <w:rPr/>
        <w:t>If we were to authorize rate changes at the end of the rate freeze period to allow cost recovery of costs incurred during the rate freeze period, the utility’s rates from the rate freeze period would effectively exceed those in effect on June 10, 1996.</w:t>
      </w:r>
    </w:p>
    <w:p>
      <w:pPr>
        <w:pStyle w:val="num2"/>
        <w:numPr>
          <w:ilvl w:val="0"/>
          <w:numId w:val="2"/>
        </w:numPr>
        <w:rPr/>
      </w:pPr>
      <w:r>
        <w:rPr/>
        <w:t>If the Commission were to defer recovery of other costs incurred during the rate freeze or costs that have not been approved for recovery, the utility might be able to recover more transition costs than the statute permits.</w:t>
      </w:r>
    </w:p>
    <w:p>
      <w:pPr>
        <w:pStyle w:val="num2"/>
        <w:numPr>
          <w:ilvl w:val="0"/>
          <w:numId w:val="2"/>
        </w:numPr>
        <w:rPr/>
      </w:pPr>
      <w:r>
        <w:rPr/>
        <w:t>The utilities’ assertions regarding potential violations of the filed rate doctrine are premature.</w:t>
      </w:r>
    </w:p>
    <w:p>
      <w:pPr>
        <w:pStyle w:val="num2"/>
        <w:numPr>
          <w:ilvl w:val="0"/>
          <w:numId w:val="2"/>
        </w:numPr>
        <w:rPr/>
      </w:pPr>
      <w:r>
        <w:rPr/>
        <w:t xml:space="preserve">Adopting the accounting change TURN seeks in A.00-10-028 corrects an anomaly that was adopted in Resolution E-3527.  By requiring that either the debit or credit balance determined through the TRA calculation be recorded in the TCBA, we give full effect to the rate freeze principle, properly apply the matching principle, and adhere to the requirements of </w:t>
      </w:r>
      <w:r>
        <w:rPr>
          <w:rFonts w:cs="Tahoma" w:ascii="Tahoma" w:hAnsi="Tahoma"/>
        </w:rPr>
        <w:t>§</w:t>
      </w:r>
      <w:r>
        <w:rPr/>
        <w:t xml:space="preserve"> 368(a).  This approach also properly offsets generation revenues and costs of procurement.</w:t>
      </w:r>
    </w:p>
    <w:p>
      <w:pPr>
        <w:pStyle w:val="num2"/>
        <w:numPr>
          <w:ilvl w:val="0"/>
          <w:numId w:val="2"/>
        </w:numPr>
        <w:rPr/>
      </w:pPr>
      <w:r>
        <w:rPr/>
        <w:t xml:space="preserve">Resolution E-3527 rejected the accounting approach proposed by TURN by stating that such treatment would be equivalent to treating the TRA debits as transition costs, which would be unlawful pursuant to </w:t>
      </w:r>
      <w:r>
        <w:rPr>
          <w:rFonts w:cs="Tahoma" w:ascii="Tahoma" w:hAnsi="Tahoma"/>
        </w:rPr>
        <w:t>§</w:t>
      </w:r>
      <w:r>
        <w:rPr/>
        <w:t xml:space="preserve"> 367(a).  The Resolution also declined to address the disposition of debits remaining in the TRA at the end of the transition period, as being beyond the scope of the Resolution.</w:t>
      </w:r>
    </w:p>
    <w:p>
      <w:pPr>
        <w:pStyle w:val="num2"/>
        <w:numPr>
          <w:ilvl w:val="0"/>
          <w:numId w:val="2"/>
        </w:numPr>
        <w:rPr/>
      </w:pPr>
      <w:r>
        <w:rPr/>
        <w:t>Resolution E-3527 incorrectly characterized the nature of this transfer.  Applying the principles set forth in D.99-10-057 and upheld in D.00-03-058 requires that we take a closer look at the accounting anomalies caused by the treatment provided for in Resolution E-3527.</w:t>
      </w:r>
    </w:p>
    <w:p>
      <w:pPr>
        <w:pStyle w:val="num2"/>
        <w:numPr>
          <w:ilvl w:val="0"/>
          <w:numId w:val="2"/>
        </w:numPr>
        <w:rPr/>
      </w:pPr>
      <w:r>
        <w:rPr/>
        <w:t>Adoption of TURN’s proposal will not treat TRA undercollections as an additional category of transition costs.</w:t>
      </w:r>
    </w:p>
    <w:p>
      <w:pPr>
        <w:pStyle w:val="num2"/>
        <w:numPr>
          <w:ilvl w:val="0"/>
          <w:numId w:val="2"/>
        </w:numPr>
        <w:rPr/>
      </w:pPr>
      <w:r>
        <w:rPr/>
        <w:t>Transferring the TRA balance to the TCBA on a monthly basis, whether that balance is an under- or overcollection, matches costs and revenues appropriately and is consistent with AB 1890.</w:t>
      </w:r>
    </w:p>
    <w:p>
      <w:pPr>
        <w:pStyle w:val="num2"/>
        <w:numPr>
          <w:ilvl w:val="0"/>
          <w:numId w:val="2"/>
        </w:numPr>
        <w:rPr/>
      </w:pPr>
      <w:r>
        <w:rPr/>
        <w:t xml:space="preserve">PG&amp;E and Edison have long recognized the risk that the variable energy costs may create.  The utilities have referred to this risk in several proceedings, both at this Commission and before FERC. </w:t>
      </w:r>
    </w:p>
    <w:p>
      <w:pPr>
        <w:pStyle w:val="num2"/>
        <w:numPr>
          <w:ilvl w:val="0"/>
          <w:numId w:val="2"/>
        </w:numPr>
        <w:rPr/>
      </w:pPr>
      <w:r>
        <w:rPr/>
        <w:t>Adopting the accounting treatment proposed in A.00-10-028 will properly recognize the risk that variable energy costs may create.</w:t>
      </w:r>
    </w:p>
    <w:p>
      <w:pPr>
        <w:pStyle w:val="num2"/>
        <w:numPr>
          <w:ilvl w:val="0"/>
          <w:numId w:val="2"/>
        </w:numPr>
        <w:rPr/>
      </w:pPr>
      <w:r>
        <w:rPr/>
        <w:t>The adopted accounting treatment is consistent with the Commission’s prior actions in D.96-12-077 and D.97-11-074 and the utilities’ approach to prior period undercollections in the TRA.</w:t>
      </w:r>
    </w:p>
    <w:p>
      <w:pPr>
        <w:pStyle w:val="num2"/>
        <w:numPr>
          <w:ilvl w:val="0"/>
          <w:numId w:val="2"/>
        </w:numPr>
        <w:rPr/>
      </w:pPr>
      <w:r>
        <w:rPr/>
        <w:t xml:space="preserve">Based on the information provided in each utility’s monthly TCBA report, we estimate that Edison has recorded $7.6 billion thus far in headroom revenue, gains on divested generation assets, revenues from generation memorandum accounts.  These totals do not include rate reduction bond proceeds of $2.5 billion that Edison received in early 1998. </w:t>
      </w:r>
    </w:p>
    <w:p>
      <w:pPr>
        <w:pStyle w:val="num2"/>
        <w:numPr>
          <w:ilvl w:val="0"/>
          <w:numId w:val="2"/>
        </w:numPr>
        <w:rPr/>
      </w:pPr>
      <w:r>
        <w:rPr/>
        <w:t>We estimate that PG&amp;E has recovered $9.3 billion in headroom revenues, gains on sales of generation assets, and revenues from the generation memorandum accounts.  These amounts do not include rate reduction bond proceeds of approximately $2.9 billion.</w:t>
      </w:r>
    </w:p>
    <w:p>
      <w:pPr>
        <w:pStyle w:val="num2"/>
        <w:numPr>
          <w:ilvl w:val="0"/>
          <w:numId w:val="2"/>
        </w:numPr>
        <w:rPr/>
      </w:pPr>
      <w:r>
        <w:rPr/>
        <w:t>Transferring the TRA balance to the TCBA each month allows us to consider the net impacts of operating cost recovery and transition cost recovery.  This adjustment will delay transition cost recovery.  The restated TCBA for Edison will show unrecovered transition costs of approximately $3.7 billion at January 31,2001.  The restated TCBA for PG&amp;E would show approximately $6.3 billion in unrecovered transition costs at January 31, 2001.</w:t>
      </w:r>
    </w:p>
    <w:p>
      <w:pPr>
        <w:pStyle w:val="num2"/>
        <w:numPr>
          <w:ilvl w:val="0"/>
          <w:numId w:val="2"/>
        </w:numPr>
        <w:rPr/>
      </w:pPr>
      <w:r>
        <w:rPr/>
        <w:t>While we recognize that significant amount of transition costs remain unrecovered at this time, we cannot agree that these costs are necessarily at risk.</w:t>
      </w:r>
    </w:p>
    <w:p>
      <w:pPr>
        <w:pStyle w:val="num2"/>
        <w:numPr>
          <w:ilvl w:val="0"/>
          <w:numId w:val="2"/>
        </w:numPr>
        <w:rPr/>
      </w:pPr>
      <w:r>
        <w:rPr/>
        <w:t>The rate freeze is not terminated at this time.  We find that while in D.00</w:t>
        <w:noBreakHyphen/>
        <w:t>02-048, the Commission ordered the utilities to properly credit the TCBA for the estimated market value of their remaining generation, the rate freeze will not and should not end until final market valuation occurs.</w:t>
      </w:r>
    </w:p>
    <w:p>
      <w:pPr>
        <w:pStyle w:val="num2"/>
        <w:numPr>
          <w:ilvl w:val="0"/>
          <w:numId w:val="2"/>
        </w:numPr>
        <w:rPr/>
      </w:pPr>
      <w:r>
        <w:rPr/>
        <w:t xml:space="preserve">The transfer of TRA undercollections to the TCBA does not transform energy procurement costs into transition costs, but merely reduces the prior revenues recorded in the TCBA.  </w:t>
      </w:r>
    </w:p>
    <w:p>
      <w:pPr>
        <w:pStyle w:val="num2"/>
        <w:numPr>
          <w:ilvl w:val="0"/>
          <w:numId w:val="2"/>
        </w:numPr>
        <w:rPr/>
      </w:pPr>
      <w:r>
        <w:rPr/>
        <w:t xml:space="preserve">By applying the monthly TRA balance to the TCBA, ratepayers are made indifferent as to how revenues associated with the Rate Reduction Bonds are treated, and the neutrality contemplated in the Financing Orders (D.97-09-055 and D.97-09-056) will be restored. </w:t>
      </w:r>
    </w:p>
    <w:p>
      <w:pPr>
        <w:pStyle w:val="num2"/>
        <w:numPr>
          <w:ilvl w:val="0"/>
          <w:numId w:val="2"/>
        </w:numPr>
        <w:rPr/>
      </w:pPr>
      <w:r>
        <w:rPr/>
        <w:t xml:space="preserve">Requiring the utilities to transfer the excess revenues that accrue in their generation memorandum accounts to the TCBA on a monthly basis will match the costs of procuring power with net revenues resulting from that power generation.  </w:t>
      </w:r>
    </w:p>
    <w:p>
      <w:pPr>
        <w:pStyle w:val="num2"/>
        <w:numPr>
          <w:ilvl w:val="0"/>
          <w:numId w:val="2"/>
        </w:numPr>
        <w:rPr/>
      </w:pPr>
      <w:r>
        <w:rPr/>
        <w:t>Adoption of TURN's accounting proposal does not violate the Filed Rate Doctrine since there is no disallowance of FERC-approved costs.</w:t>
      </w:r>
    </w:p>
    <w:p>
      <w:pPr>
        <w:pStyle w:val="num2"/>
        <w:numPr>
          <w:ilvl w:val="0"/>
          <w:numId w:val="2"/>
        </w:numPr>
        <w:rPr/>
      </w:pPr>
      <w:r>
        <w:rPr/>
        <w:t>We find the record supports increasing the CARE discount from 15% to 25% and the eligibility levels from 150% of federal poverty guidelines to 175% for electric customers of PG&amp;E and Edison.</w:t>
      </w:r>
    </w:p>
    <w:p>
      <w:pPr>
        <w:pStyle w:val="num2"/>
        <w:numPr>
          <w:ilvl w:val="0"/>
          <w:numId w:val="2"/>
        </w:numPr>
        <w:rPr/>
      </w:pPr>
      <w:r>
        <w:rPr/>
        <w:t>CARE changes for gas customers of PG&amp;E, SDG&amp;E, and Southern California Gas Company should be addressed in R.98-07-037.</w:t>
      </w:r>
    </w:p>
    <w:p>
      <w:pPr>
        <w:pStyle w:val="num2"/>
        <w:numPr>
          <w:ilvl w:val="0"/>
          <w:numId w:val="2"/>
        </w:numPr>
        <w:rPr/>
      </w:pPr>
      <w:r>
        <w:rPr/>
        <w:t>In looking at whether the rate freeze has ended, we first look to the balance in each utility’s TCBA of transition costs before valuation and then determine the value of remaining non-nuclear utility generation assets that would be applied as an offset to these transition costs.</w:t>
      </w:r>
    </w:p>
    <w:p>
      <w:pPr>
        <w:pStyle w:val="num2"/>
        <w:numPr>
          <w:ilvl w:val="0"/>
          <w:numId w:val="2"/>
        </w:numPr>
        <w:rPr/>
      </w:pPr>
      <w:r>
        <w:rPr/>
        <w:t>The rate freeze under the AB 1890 statutes cannot end until valuation of all remaining non-nuclear utility generation assets has occurred.  This is because the level of Commission-authorized “uneconomic costs” which may be recovered during the rate freeze cannot be determined without netting above-market generation assets against below-market generation assets.</w:t>
      </w:r>
    </w:p>
    <w:p>
      <w:pPr>
        <w:pStyle w:val="num2"/>
        <w:numPr>
          <w:ilvl w:val="0"/>
          <w:numId w:val="2"/>
        </w:numPr>
        <w:rPr/>
      </w:pPr>
      <w:r>
        <w:rPr/>
        <w:t>Under cost of service ratemaking the utilities have the opportunity to earn a return on the cost of their investment.  Cost of service regulation has always used net book value for valuation.</w:t>
      </w:r>
    </w:p>
    <w:p>
      <w:pPr>
        <w:pStyle w:val="num2"/>
        <w:numPr>
          <w:ilvl w:val="0"/>
          <w:numId w:val="2"/>
        </w:numPr>
        <w:rPr/>
      </w:pPr>
      <w:r>
        <w:rPr/>
        <w:t>Valuation cannot be determined by sale or divestiture under ABX6.  Any appraisal done would likely take into consideration that the generation assets are dedicated to public service and Commission regulation and would use a discounted cash flow analysis that reflected cost-based prices.</w:t>
      </w:r>
    </w:p>
    <w:p>
      <w:pPr>
        <w:pStyle w:val="num2"/>
        <w:numPr>
          <w:ilvl w:val="0"/>
          <w:numId w:val="2"/>
        </w:numPr>
        <w:rPr/>
      </w:pPr>
      <w:r>
        <w:rPr/>
        <w:t>Low income households are struggling now to meet the cost of utility energy services, which includes both their electric and gas usage bills, and we recognize that electric rate increases may occur in the near future through other phases of this proceeding, including implementation of ABX1.</w:t>
      </w:r>
    </w:p>
    <w:p>
      <w:pPr>
        <w:pStyle w:val="num2"/>
        <w:numPr>
          <w:ilvl w:val="0"/>
          <w:numId w:val="2"/>
        </w:numPr>
        <w:rPr/>
      </w:pPr>
      <w:r>
        <w:rPr/>
        <w:t>Because we do not adopt a rate increase at this time, we need not address proposals for residential rate tiers.</w:t>
      </w:r>
    </w:p>
    <w:p>
      <w:pPr>
        <w:pStyle w:val="num2"/>
        <w:numPr>
          <w:ilvl w:val="0"/>
          <w:numId w:val="2"/>
        </w:numPr>
        <w:rPr/>
      </w:pPr>
      <w:r>
        <w:rPr/>
        <w:t>All active parties agreed to waive the 30-day advance publication period for the proposed decision, otherwise applicable under Public Utilities Code Section 311(d), in order to obtain more time to prepare for hearings and to brief the matter.</w:t>
      </w:r>
    </w:p>
    <w:p>
      <w:pPr>
        <w:pStyle w:val="num2"/>
        <w:numPr>
          <w:ilvl w:val="0"/>
          <w:numId w:val="2"/>
        </w:numPr>
        <w:rPr/>
      </w:pPr>
      <w:r>
        <w:rPr/>
        <w:t xml:space="preserve">CAC did not participate in the hearings, it did not file testimony nor cross-examine witnesses nor did it file a brief </w:t>
      </w:r>
    </w:p>
    <w:p>
      <w:pPr>
        <w:pStyle w:val="num2"/>
        <w:numPr>
          <w:ilvl w:val="0"/>
          <w:numId w:val="2"/>
        </w:numPr>
        <w:rPr/>
      </w:pPr>
      <w:r>
        <w:rPr/>
        <w:t>Only one inactive party, CAC, did not agree to waive the 30-day period under Public Utilities Code Section 311(d).</w:t>
      </w:r>
    </w:p>
    <w:p>
      <w:pPr>
        <w:pStyle w:val="num2"/>
        <w:numPr>
          <w:ilvl w:val="0"/>
          <w:numId w:val="2"/>
        </w:numPr>
        <w:rPr/>
      </w:pPr>
      <w:r>
        <w:rPr/>
        <w:t>If the Commission were to allow CAC, an inactive party, to unilaterally torpedo the agreed-upon schedule, that would allow CAC to veto the choice the active parties made: to obtain more time to prepare for hearings and to brief the matter, by waiving the Section 311(d) period.</w:t>
      </w:r>
    </w:p>
    <w:p>
      <w:pPr>
        <w:pStyle w:val="num2"/>
        <w:numPr>
          <w:ilvl w:val="0"/>
          <w:numId w:val="2"/>
        </w:numPr>
        <w:rPr/>
      </w:pPr>
      <w:r>
        <w:rPr/>
        <w:t xml:space="preserve">Where there is a pre-set deadline for the issuance of a Commission decision, where the active parties have chosen to meet this deadline by waiving the 30-day period under Section 311(d) and thereby allow themselves more time to prepare for hearings and to brief the matter, the requirement of Section 311(d) that a waiver be obtained from all parties does not refer to an inactive party that has not participated in the hearing or briefing process.  </w:t>
      </w:r>
    </w:p>
    <w:p>
      <w:pPr>
        <w:pStyle w:val="num2"/>
        <w:numPr>
          <w:ilvl w:val="0"/>
          <w:numId w:val="2"/>
        </w:numPr>
        <w:rPr/>
      </w:pPr>
      <w:r>
        <w:rPr/>
        <w:t>All required parties have stipulated to waive the 30-day period under Section 311(d).</w:t>
      </w:r>
    </w:p>
    <w:p>
      <w:pPr>
        <w:pStyle w:val="dummy"/>
        <w:spacing w:before="0" w:after="0"/>
        <w:rPr/>
      </w:pPr>
      <w:bookmarkStart w:id="50" w:name="__RefHeading___Toc510170360"/>
      <w:bookmarkEnd w:id="50"/>
      <w:r>
        <w:rPr/>
        <w:t>Conclusions of Law</w:t>
      </w:r>
    </w:p>
    <w:p>
      <w:pPr>
        <w:pStyle w:val="num1"/>
        <w:numPr>
          <w:ilvl w:val="0"/>
          <w:numId w:val="7"/>
        </w:numPr>
        <w:spacing w:before="120" w:after="0"/>
        <w:ind w:firstLine="360" w:start="0" w:end="0"/>
        <w:rPr/>
      </w:pPr>
      <w:r>
        <w:rPr/>
        <w:tab/>
        <w:t>Without providing a cash flow analysis factoring in any potential financial relief from the CDWR, income tax refunds, state legislative and executive measures, and other potential sources, PG&amp;E has failed to lay a proper foundation to support its claimed need for the two-cents per kWh rate increase.</w:t>
      </w:r>
    </w:p>
    <w:p>
      <w:pPr>
        <w:pStyle w:val="num1"/>
        <w:numPr>
          <w:ilvl w:val="0"/>
          <w:numId w:val="7"/>
        </w:numPr>
        <w:ind w:firstLine="360" w:start="0" w:end="0"/>
        <w:rPr/>
      </w:pPr>
      <w:r>
        <w:rPr/>
        <w:tab/>
        <w:t>Edison has failed to show that it requires a two-cents per kWh rate increase unless CDWR procures 100% of the utility's net short position.</w:t>
      </w:r>
    </w:p>
    <w:p>
      <w:pPr>
        <w:pStyle w:val="num1"/>
        <w:numPr>
          <w:ilvl w:val="0"/>
          <w:numId w:val="7"/>
        </w:numPr>
        <w:ind w:firstLine="360" w:start="0" w:end="0"/>
        <w:rPr/>
      </w:pPr>
      <w:r>
        <w:rPr/>
        <w:tab/>
        <w:t>The utilities have not justified their requested rate relief under the standard for just and reasonable rates set forth in Pub. Util. Code § 451.</w:t>
      </w:r>
    </w:p>
    <w:p>
      <w:pPr>
        <w:pStyle w:val="num1"/>
        <w:numPr>
          <w:ilvl w:val="0"/>
          <w:numId w:val="7"/>
        </w:numPr>
        <w:ind w:firstLine="360" w:start="0" w:end="0"/>
        <w:rPr/>
      </w:pPr>
      <w:r>
        <w:rPr/>
        <w:tab/>
        <w:t>There is no basis to conclude that either granting or denying the utilities' requested increase would, of itself, be the determining factor in triggering bankruptcy proceedings.</w:t>
      </w:r>
    </w:p>
    <w:p>
      <w:pPr>
        <w:pStyle w:val="num1"/>
        <w:numPr>
          <w:ilvl w:val="0"/>
          <w:numId w:val="7"/>
        </w:numPr>
        <w:ind w:firstLine="360" w:start="0" w:end="0"/>
        <w:rPr/>
      </w:pPr>
      <w:r>
        <w:rPr/>
        <w:tab/>
        <w:t>The Commission should further consider investigating the reasonableness of utility management actions in not acting sooner to conserve cash in view of their worsening financial problems over time.  In this decision we are considering legal interpretations of the statute and the Commission’s prior decisions.</w:t>
      </w:r>
    </w:p>
    <w:p>
      <w:pPr>
        <w:pStyle w:val="num1"/>
        <w:numPr>
          <w:ilvl w:val="0"/>
          <w:numId w:val="7"/>
        </w:numPr>
        <w:ind w:firstLine="360" w:start="0" w:end="0"/>
        <w:rPr/>
      </w:pPr>
      <w:r>
        <w:rPr/>
        <w:tab/>
        <w:t xml:space="preserve">As provided in </w:t>
      </w:r>
      <w:r>
        <w:rPr>
          <w:rFonts w:cs="Tahoma" w:ascii="Tahoma" w:hAnsi="Tahoma"/>
        </w:rPr>
        <w:t>§</w:t>
      </w:r>
      <w:r>
        <w:rPr/>
        <w:t xml:space="preserve"> 330(s) and </w:t>
      </w:r>
      <w:r>
        <w:rPr>
          <w:rFonts w:cs="Tahoma" w:ascii="Tahoma" w:hAnsi="Tahoma"/>
        </w:rPr>
        <w:t>§</w:t>
      </w:r>
      <w:r>
        <w:rPr/>
        <w:t xml:space="preserve"> 368(a), the Legislature was aware that costs would vary over the transition period, thus impacting the ability of the utilities to recover transition costs. </w:t>
      </w:r>
    </w:p>
    <w:p>
      <w:pPr>
        <w:pStyle w:val="num1"/>
        <w:numPr>
          <w:ilvl w:val="0"/>
          <w:numId w:val="7"/>
        </w:numPr>
        <w:ind w:firstLine="360" w:start="0" w:end="0"/>
        <w:rPr/>
      </w:pPr>
      <w:r>
        <w:rPr/>
        <w:tab/>
        <w:t xml:space="preserve">Pursuant to </w:t>
      </w:r>
      <w:r>
        <w:rPr>
          <w:rFonts w:cs="Tahoma" w:ascii="Tahoma" w:hAnsi="Tahoma"/>
        </w:rPr>
        <w:t>§</w:t>
      </w:r>
      <w:r>
        <w:rPr/>
        <w:t xml:space="preserve"> 368(a) and prior Commission decisions, a rate freeze is just that: it is a freeze, not a deferral of costs.</w:t>
      </w:r>
    </w:p>
    <w:p>
      <w:pPr>
        <w:pStyle w:val="num1"/>
        <w:numPr>
          <w:ilvl w:val="0"/>
          <w:numId w:val="7"/>
        </w:numPr>
        <w:ind w:firstLine="360" w:start="0" w:end="0"/>
        <w:rPr/>
      </w:pPr>
      <w:r>
        <w:rPr/>
        <w:tab/>
        <w:t xml:space="preserve">Consistent with </w:t>
      </w:r>
      <w:r>
        <w:rPr>
          <w:rFonts w:cs="Tahoma" w:ascii="Tahoma" w:hAnsi="Tahoma"/>
        </w:rPr>
        <w:t>§</w:t>
      </w:r>
      <w:r>
        <w:rPr/>
        <w:t xml:space="preserve"> 368(c) and </w:t>
      </w:r>
      <w:r>
        <w:rPr>
          <w:rFonts w:cs="Tahoma" w:ascii="Tahoma" w:hAnsi="Tahoma"/>
        </w:rPr>
        <w:t>§</w:t>
      </w:r>
      <w:r>
        <w:rPr/>
        <w:t xml:space="preserve"> 397, the Legislature recognized that energy procurement costs will vary and would impact transition cost recovery.</w:t>
      </w:r>
    </w:p>
    <w:p>
      <w:pPr>
        <w:pStyle w:val="num1"/>
        <w:numPr>
          <w:ilvl w:val="0"/>
          <w:numId w:val="7"/>
        </w:numPr>
        <w:ind w:firstLine="360" w:start="0" w:end="0"/>
        <w:rPr/>
      </w:pPr>
      <w:r>
        <w:rPr/>
        <w:tab/>
        <w:t xml:space="preserve">Our findings in D.99-10-057 were upheld in D.00-03-058 and have been upheld by the First District Court of Appeals and the California Supreme Court. </w:t>
      </w:r>
    </w:p>
    <w:p>
      <w:pPr>
        <w:pStyle w:val="num2"/>
        <w:numPr>
          <w:ilvl w:val="0"/>
          <w:numId w:val="14"/>
        </w:numPr>
        <w:rPr/>
      </w:pPr>
      <w:r>
        <w:rPr/>
        <w:t>The Commission has devised the TCBA and TRA accounting mechanisms and it is within our purview to change these mechanisms, after proper notice and opportunity to be heard.</w:t>
      </w:r>
    </w:p>
    <w:p>
      <w:pPr>
        <w:pStyle w:val="num2"/>
        <w:numPr>
          <w:ilvl w:val="0"/>
          <w:numId w:val="14"/>
        </w:numPr>
        <w:rPr/>
      </w:pPr>
      <w:r>
        <w:rPr/>
        <w:t>Consistent with the requirements of AB 1890, the level of recorded transition cost recovery at any given time should reflect the total revenues collected to date during the rate freeze, as well as the total costs incurred to date in providing service during the rate freeze.</w:t>
      </w:r>
    </w:p>
    <w:p>
      <w:pPr>
        <w:pStyle w:val="num2"/>
        <w:numPr>
          <w:ilvl w:val="0"/>
          <w:numId w:val="14"/>
        </w:numPr>
        <w:rPr/>
      </w:pPr>
      <w:r>
        <w:rPr/>
        <w:t>Consistent with D.99-10-057, the rate freeze cannot end until final market valuation occurs, which must be completed by December 31, 2001.</w:t>
      </w:r>
    </w:p>
    <w:p>
      <w:pPr>
        <w:pStyle w:val="num2"/>
        <w:numPr>
          <w:ilvl w:val="0"/>
          <w:numId w:val="14"/>
        </w:numPr>
        <w:rPr/>
      </w:pPr>
      <w:r>
        <w:rPr/>
        <w:t>Adopting TURN’s proposal would not constitute retroactive ratemaking.</w:t>
      </w:r>
    </w:p>
    <w:p>
      <w:pPr>
        <w:pStyle w:val="num2"/>
        <w:numPr>
          <w:ilvl w:val="0"/>
          <w:numId w:val="14"/>
        </w:numPr>
        <w:rPr/>
      </w:pPr>
      <w:r>
        <w:rPr/>
        <w:t xml:space="preserve">The California Supreme Court in </w:t>
      </w:r>
      <w:r>
        <w:rPr>
          <w:u w:val="single"/>
        </w:rPr>
        <w:t>Southern California Edison Company v. Public Utilities Commission</w:t>
      </w:r>
      <w:r>
        <w:rPr/>
        <w:t xml:space="preserve"> (1978) 20 Cal.3d 813 concluded that an adjustment of rates, which does not involve general ratemaking, may be retroactive in effect without violating the rule against retroactive ratemaking.</w:t>
      </w:r>
    </w:p>
    <w:p>
      <w:pPr>
        <w:pStyle w:val="num2"/>
        <w:numPr>
          <w:ilvl w:val="0"/>
          <w:numId w:val="14"/>
        </w:numPr>
        <w:rPr/>
      </w:pPr>
      <w:r>
        <w:rPr>
          <w:rFonts w:eastAsia="PALATINO"/>
        </w:rPr>
        <w:t xml:space="preserve"> </w:t>
      </w:r>
      <w:r>
        <w:rPr/>
        <w:t xml:space="preserve">Because TURN's proposed accounting change at issue does not involve general ratemaking, the Commission may adopt the change without violating the prohibition against retroactive ratemaking. </w:t>
      </w:r>
    </w:p>
    <w:p>
      <w:pPr>
        <w:pStyle w:val="num2"/>
        <w:numPr>
          <w:ilvl w:val="0"/>
          <w:numId w:val="14"/>
        </w:numPr>
        <w:rPr/>
      </w:pPr>
      <w:r>
        <w:rPr/>
        <w:t xml:space="preserve">Even if there were a conflict between the retroactive ratemaking prohibition imposed by Section 728 and the requirement of AB 1890 that the utilities be at risk for recovery of transition costs during the transition period, the more recently enacted and more specific requirements of AB 1890 would control.  </w:t>
      </w:r>
    </w:p>
    <w:p>
      <w:pPr>
        <w:pStyle w:val="num2"/>
        <w:numPr>
          <w:ilvl w:val="0"/>
          <w:numId w:val="14"/>
        </w:numPr>
        <w:rPr/>
      </w:pPr>
      <w:r>
        <w:rPr/>
        <w:t>It is appropriate to require the utilities to transfer the excess revenues that accrue in the generation memorandum accounts to the TCBA on a monthly basis.  This modification will match the costs of procuring power on a monthly basis with the net revenues resulting from generating that power.  To the extent that the utilities have not recovered their costs from market revenues, any undercollections should remain in the generation memorandum accounts.</w:t>
      </w:r>
    </w:p>
    <w:p>
      <w:pPr>
        <w:pStyle w:val="num2"/>
        <w:numPr>
          <w:ilvl w:val="0"/>
          <w:numId w:val="14"/>
        </w:numPr>
        <w:rPr/>
      </w:pPr>
      <w:r>
        <w:rPr/>
        <w:t>Because we are making no determinations of disallowances, the utilities’ claims regarding unconstitutional takings and violations of the filed rate doctrine are premature.</w:t>
      </w:r>
    </w:p>
    <w:p>
      <w:pPr>
        <w:pStyle w:val="num2"/>
        <w:numPr>
          <w:ilvl w:val="0"/>
          <w:numId w:val="14"/>
        </w:numPr>
        <w:rPr/>
      </w:pPr>
      <w:r>
        <w:rPr/>
        <w:t>Adopting TURN's accounting proposal does not impede Edison's due process rights, but is a timely exercise of Commission ratemaking authority.</w:t>
      </w:r>
    </w:p>
    <w:p>
      <w:pPr>
        <w:pStyle w:val="num2"/>
        <w:numPr>
          <w:ilvl w:val="0"/>
          <w:numId w:val="14"/>
        </w:numPr>
        <w:rPr/>
      </w:pPr>
      <w:r>
        <w:rPr/>
        <w:t>The statutory requirements of AB 1890 are that the rate freeze remain in place for PG&amp;E and Edison until the earlier of March 31, 2002 or the date relevant transition cost balances are zero.  As set forth in D.99-10-057, for PG&amp;E and Edison, the end of the rate freeze shall not occur before the generation assets of each utility have been market-valued except as the law or the Commission determines otherwise.</w:t>
      </w:r>
    </w:p>
    <w:p>
      <w:pPr>
        <w:pStyle w:val="num2"/>
        <w:numPr>
          <w:ilvl w:val="0"/>
          <w:numId w:val="14"/>
        </w:numPr>
        <w:rPr/>
      </w:pPr>
      <w:r>
        <w:rPr/>
        <w:t xml:space="preserve">Despite the interaction of </w:t>
      </w:r>
      <w:r>
        <w:rPr>
          <w:rFonts w:cs="Tahoma" w:ascii="Tahoma" w:hAnsi="Tahoma"/>
        </w:rPr>
        <w:t>§§</w:t>
      </w:r>
      <w:r>
        <w:rPr/>
        <w:t xml:space="preserve"> 367(b) and 377, as revised by ABX6, the Commission still retains the discretion, even if not the requirement, to value remaining generation assets.</w:t>
      </w:r>
    </w:p>
    <w:p>
      <w:pPr>
        <w:pStyle w:val="num2"/>
        <w:numPr>
          <w:ilvl w:val="0"/>
          <w:numId w:val="14"/>
        </w:numPr>
        <w:rPr/>
      </w:pPr>
      <w:r>
        <w:rPr/>
        <w:t xml:space="preserve">ABX6 replaces former </w:t>
      </w:r>
      <w:r>
        <w:rPr>
          <w:rFonts w:cs="Tahoma" w:ascii="Tahoma" w:hAnsi="Tahoma"/>
        </w:rPr>
        <w:t>§</w:t>
      </w:r>
      <w:r>
        <w:rPr/>
        <w:t xml:space="preserve"> 377 that stated that non-nuclear generation assets were to continue under Commission regulation “until those assets have been subject to market valuation in accordance with procedures established by the commission.”  Section 377 no longer renders any utility generation assets “subject to valuation”.  Instead, it now continues Commission regulatory authority over all utility electrical generation until after the Commission has allowed disposal of any such generation assets under Section 851, and further bars disposal of any such assets until after December 31, 2005. </w:t>
      </w:r>
    </w:p>
    <w:p>
      <w:pPr>
        <w:pStyle w:val="num2"/>
        <w:numPr>
          <w:ilvl w:val="0"/>
          <w:numId w:val="14"/>
        </w:numPr>
        <w:rPr/>
      </w:pPr>
      <w:r>
        <w:rPr/>
        <w:t>We find that net book value rather than PG&amp;E’s proposed interim estimated valuation is the appropriate interim valuation for generation assets subject to cost of service ratemaking under ABX6.</w:t>
      </w:r>
    </w:p>
    <w:p>
      <w:pPr>
        <w:pStyle w:val="num2"/>
        <w:numPr>
          <w:ilvl w:val="0"/>
          <w:numId w:val="14"/>
        </w:numPr>
        <w:rPr/>
      </w:pPr>
      <w:r>
        <w:rPr/>
        <w:t>Because the Commission is determining a value that reflects a dedication to public service and Commission regulation, it is reasonable for the Commission to determine the assets’ value to reflect that regulation.</w:t>
      </w:r>
    </w:p>
    <w:p>
      <w:pPr>
        <w:pStyle w:val="num2"/>
        <w:numPr>
          <w:ilvl w:val="0"/>
          <w:numId w:val="14"/>
        </w:numPr>
        <w:rPr/>
      </w:pPr>
      <w:r>
        <w:rPr/>
        <w:t>It may be reasonable to determine that net book value may also meet the statutory requirements of Section 367(b) for the Commission to determine a final market value for PG&amp;E’s and Edison’s non-nuclear remaining generation assets prior to December 31, 2001.  Unlike prior disposition of utility assets, which were being released into the market, reliance on third party values makes little sense under present circumstances.</w:t>
      </w:r>
    </w:p>
    <w:p>
      <w:pPr>
        <w:pStyle w:val="num2"/>
        <w:numPr>
          <w:ilvl w:val="0"/>
          <w:numId w:val="14"/>
        </w:numPr>
        <w:rPr/>
      </w:pPr>
      <w:r>
        <w:rPr/>
        <w:t>We should not make a determination of final market value without first giving notice, and an opportunity to comment, to all parties in Commission proceedings addressing this issue for PG&amp;E and Edison.  Therefore, we will provide an opportunity for comment and address final market valuation in a later decision.</w:t>
      </w:r>
    </w:p>
    <w:p>
      <w:pPr>
        <w:pStyle w:val="num2"/>
        <w:numPr>
          <w:ilvl w:val="0"/>
          <w:numId w:val="14"/>
        </w:numPr>
        <w:rPr/>
      </w:pPr>
      <w:r>
        <w:rPr/>
        <w:t xml:space="preserve">It is reasonable to use a valuation date of January 31, 2001 for the net book value of PG&amp;E’s and Edison’s remaining non-nuclear generation assets for purposes of determining here if the rate freeze has ended.  </w:t>
      </w:r>
    </w:p>
    <w:p>
      <w:pPr>
        <w:pStyle w:val="num2"/>
        <w:numPr>
          <w:ilvl w:val="0"/>
          <w:numId w:val="14"/>
        </w:numPr>
        <w:rPr/>
      </w:pPr>
      <w:r>
        <w:rPr/>
        <w:t>The rate freeze concept expressed in AB 1890 and AB1X may be conceptually incompatible, particularly if headroom is not available to allow the utilities the opportunity to recover their remaining transition costs.  However, until we have completed implementation of AB1X, it is premature to reach conclusions regarding the interaction between AB1X and AB 1890.  We do not intend to repeal portions of AB 1890 by implication, which could occur should we find existing AB 1890 statutes inconsistent with AB1X, and to take action based on that conclusion.</w:t>
      </w:r>
    </w:p>
    <w:p>
      <w:pPr>
        <w:pStyle w:val="num2"/>
        <w:numPr>
          <w:ilvl w:val="0"/>
          <w:numId w:val="14"/>
        </w:numPr>
        <w:rPr/>
      </w:pPr>
      <w:r>
        <w:rPr/>
        <w:t>We affirm that AB1X continues the exemption of CARE customers from the EPS based on its reference to rates in effect as of January 5, 2001.</w:t>
      </w:r>
    </w:p>
    <w:p>
      <w:pPr>
        <w:pStyle w:val="num2"/>
        <w:numPr>
          <w:ilvl w:val="0"/>
          <w:numId w:val="14"/>
        </w:numPr>
        <w:rPr/>
      </w:pPr>
      <w:r>
        <w:rPr/>
        <w:t xml:space="preserve">It is not reasonable to exempt CARE customers from any increases that result from implementation of AB1X at this time, as that is an issue to be considered within the context of our implementation </w:t>
      </w:r>
    </w:p>
    <w:p>
      <w:pPr>
        <w:pStyle w:val="num2"/>
        <w:numPr>
          <w:ilvl w:val="0"/>
          <w:numId w:val="14"/>
        </w:numPr>
        <w:rPr/>
      </w:pPr>
      <w:r>
        <w:rPr/>
        <w:t>AB1X refers to rates that are in effect as of January 5, 2001.  Therefore, the interim surcharge the commission authorized in D.01-01-018 should be made permanent.</w:t>
      </w:r>
    </w:p>
    <w:p>
      <w:pPr>
        <w:pStyle w:val="num2"/>
        <w:numPr>
          <w:ilvl w:val="0"/>
          <w:numId w:val="14"/>
        </w:numPr>
        <w:rPr/>
      </w:pPr>
      <w:r>
        <w:rPr/>
        <w:t xml:space="preserve">Where there is a pre-set deadline for the issuance of a Commission decision, where the active parties have chosen to meet this deadline by waiving the 30-day period under Section 311(d) and thereby allow themselves more time to prepare for hearings and to brief the matter, the requirement of Section 311(d) that a waiver be obtained from all parties does not refer to an inactive party that has not participated in the hearing or briefing process.  </w:t>
      </w:r>
    </w:p>
    <w:p>
      <w:pPr>
        <w:pStyle w:val="num2"/>
        <w:numPr>
          <w:ilvl w:val="0"/>
          <w:numId w:val="14"/>
        </w:numPr>
        <w:rPr/>
      </w:pPr>
      <w:r>
        <w:rPr/>
        <w:t>All required parties have stipulated to waive the 30-day period under Section 311(d).</w:t>
      </w:r>
    </w:p>
    <w:p>
      <w:pPr>
        <w:pStyle w:val="num2"/>
        <w:numPr>
          <w:ilvl w:val="0"/>
          <w:numId w:val="14"/>
        </w:numPr>
        <w:rPr/>
      </w:pPr>
      <w:r>
        <w:rPr/>
        <w:t xml:space="preserve">We should require PG&amp;E and Edison to use the net book value as the interim value for all retained non-nuclear generation assets.  PG&amp;E and Edison should adjust any and all prior amounts of estimated market values credited to the TCBA and credit only the net book value of the retained non-nuclear generation asset in the TCBA.  PG&amp;E and Edison should also perform similar adjustments in their Generation Asset Balancing Account. </w:t>
      </w:r>
    </w:p>
    <w:p>
      <w:pPr>
        <w:pStyle w:val="num2"/>
        <w:numPr>
          <w:ilvl w:val="0"/>
          <w:numId w:val="14"/>
        </w:numPr>
        <w:rPr/>
      </w:pPr>
      <w:r>
        <w:rPr/>
        <w:t>This order should be effective today, so that these accounting modifications may be implemented expeditiously.</w:t>
      </w:r>
    </w:p>
    <w:p>
      <w:pPr>
        <w:pStyle w:val="main"/>
        <w:jc w:val="start"/>
        <w:rPr/>
      </w:pPr>
      <w:r>
        <w:rPr/>
      </w:r>
    </w:p>
    <w:p>
      <w:pPr>
        <w:pStyle w:val="main"/>
        <w:jc w:val="start"/>
        <w:rPr/>
      </w:pPr>
      <w:r>
        <w:rPr/>
      </w:r>
    </w:p>
    <w:p>
      <w:pPr>
        <w:pStyle w:val="main"/>
        <w:rPr/>
      </w:pPr>
      <w:bookmarkStart w:id="51" w:name="__RefHeading___Toc510170361"/>
      <w:bookmarkEnd w:id="51"/>
      <w:r>
        <w:rPr/>
        <w:t>INTERIM ORDER</w:t>
      </w:r>
    </w:p>
    <w:p>
      <w:pPr>
        <w:pStyle w:val="main"/>
        <w:keepNext w:val="true"/>
        <w:keepLines/>
        <w:rPr/>
      </w:pPr>
      <w:r>
        <w:rPr/>
      </w:r>
    </w:p>
    <w:p>
      <w:pPr>
        <w:pStyle w:val="standard"/>
        <w:keepNext w:val="true"/>
        <w:keepLines/>
        <w:rPr/>
      </w:pPr>
      <w:r>
        <w:rPr>
          <w:b/>
        </w:rPr>
        <w:t>IT IS ORDERED</w:t>
      </w:r>
      <w:r>
        <w:rPr/>
        <w:t xml:space="preserve"> that:</w:t>
      </w:r>
    </w:p>
    <w:p>
      <w:pPr>
        <w:pStyle w:val="num1"/>
        <w:numPr>
          <w:ilvl w:val="0"/>
          <w:numId w:val="11"/>
        </w:numPr>
        <w:rPr/>
      </w:pPr>
      <w:r>
        <w:rPr/>
        <w:t>Pacific Gas &amp; Electric Company’s (PG&amp;E) and Southern California Edison Company’s (Edison) request for rate relief is denied.</w:t>
      </w:r>
    </w:p>
    <w:p>
      <w:pPr>
        <w:pStyle w:val="num1"/>
        <w:numPr>
          <w:ilvl w:val="0"/>
          <w:numId w:val="11"/>
        </w:numPr>
        <w:rPr>
          <w:sz w:val="24"/>
        </w:rPr>
      </w:pPr>
      <w:r>
        <w:rPr/>
        <w:t>The Petition to Modify Resolution E-3527, filed by The Utility Reform Network (TURN), and docketed as Application (A.) 00-10-028 is granted.  The balance in PG&amp;E’s and Edison’s respective Transition Revenue Account (TRA) shall be transferred on a monthly basis to each utility’s respective Transition Cost Balancing Account (TCBA).  This action shall be effective as of January 1, 1998.</w:t>
      </w:r>
    </w:p>
    <w:p>
      <w:pPr>
        <w:pStyle w:val="num1"/>
        <w:numPr>
          <w:ilvl w:val="0"/>
          <w:numId w:val="11"/>
        </w:numPr>
        <w:rPr/>
      </w:pPr>
      <w:r>
        <w:rPr/>
        <w:t>PG&amp;E and Edison shall file advice letters within 15 days of the effective date of this decision to revise their tariffs as necessary.  PG&amp;E and Edison shall attach reports that restate the TRA, TCBA, and GMA in compliance with this decision.  The advice letters shall be deemed in compliance with this decision only upon the written approval of Energy Division.</w:t>
      </w:r>
      <w:r>
        <w:br w:type="page"/>
      </w:r>
    </w:p>
    <w:p>
      <w:pPr>
        <w:pStyle w:val="num1"/>
        <w:numPr>
          <w:ilvl w:val="0"/>
          <w:numId w:val="11"/>
        </w:numPr>
        <w:rPr/>
      </w:pPr>
      <w:r>
        <w:rPr/>
        <w:t xml:space="preserve">We shall require PG&amp;E and Edison to use the net book value as the interim value for all retained non-nuclear generation assets.  PG&amp;E and Edison shall adjust any and all prior amounts of estimated market values credited to the TCBA and credit only the net book value of the retained non-nuclear generation asset in the TCBA.  PG&amp;E and Edison shall also perform similar adjustments in their Generation Asset Balancing Account. </w:t>
      </w:r>
    </w:p>
    <w:p>
      <w:pPr>
        <w:pStyle w:val="standard"/>
        <w:rPr/>
      </w:pPr>
      <w:r>
        <w:rPr/>
        <w:t>This order is effective today.</w:t>
      </w:r>
    </w:p>
    <w:p>
      <w:pPr>
        <w:pStyle w:val="standard"/>
        <w:ind w:start="90" w:end="0"/>
        <w:rPr/>
      </w:pPr>
      <w:r>
        <w:rPr/>
        <w:t xml:space="preserve">Dated __________, at San Francisco, California. </w:t>
      </w:r>
    </w:p>
    <w:p>
      <w:pPr>
        <w:pStyle w:val="Normal"/>
        <w:rPr/>
      </w:pPr>
      <w:r>
        <w:rPr/>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152" w:footer="72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TIMES">
    <w:altName w:val="Times New Roman"/>
    <w:charset w:val="00" w:characterSet="windows-1252"/>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w:ascii="TIMES" w:hAnsi="TIME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Fonts w:cs="TIMES" w:ascii="TIMES" w:hAnsi="TIMES"/>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4140" w:leader="none"/>
        <w:tab w:val="right" w:pos="8640" w:leader="none"/>
      </w:tabs>
      <w:jc w:val="start"/>
      <w:rPr/>
    </w:pPr>
    <w:r>
      <w:rPr>
        <w:sz w:val="16"/>
      </w:rPr>
      <w:t>93585</w:t>
      <w:tab/>
    </w:r>
    <w:r>
      <w:rPr>
        <w:sz w:val="24"/>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w:ascii="TIMES" w:hAnsi="TIME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Fonts w:cs="TIMES" w:ascii="TIMES" w:hAnsi="TIMES"/>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w:ascii="TIMES" w:hAnsi="TIME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77</w:t>
    </w:r>
    <w:r>
      <w:rPr>
        <w:rStyle w:val="PageNumber"/>
      </w:rPr>
      <w:fldChar w:fldCharType="end"/>
    </w:r>
    <w:r>
      <w:rPr>
        <w:rStyle w:val="PageNumber"/>
        <w:rFonts w:cs="TIMES" w:ascii="TIMES" w:hAnsi="TIMES"/>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Section 360.5</w:t>
      </w:r>
    </w:p>
  </w:footnote>
  <w:footnote w:id="3">
    <w:p>
      <w:pPr>
        <w:pStyle w:val="FootnoteText"/>
        <w:spacing w:before="0" w:after="240"/>
        <w:rPr/>
      </w:pPr>
      <w:r>
        <w:rPr>
          <w:rStyle w:val="FootnoteCharacters"/>
        </w:rPr>
        <w:footnoteRef/>
      </w:r>
      <w:r>
        <w:rPr/>
        <w:t xml:space="preserve"> </w:t>
      </w:r>
      <w:r>
        <w:rPr/>
        <w:t>The methodology for setting the CPA is developed in a separate decision.</w:t>
      </w:r>
    </w:p>
  </w:footnote>
  <w:footnote w:id="4">
    <w:p>
      <w:pPr>
        <w:pStyle w:val="FootnoteText"/>
        <w:spacing w:before="0" w:after="240"/>
        <w:rPr/>
      </w:pPr>
      <w:r>
        <w:rPr>
          <w:rStyle w:val="FootnoteCharacters"/>
        </w:rPr>
        <w:footnoteRef/>
      </w:r>
      <w:r>
        <w:rPr/>
        <w:t xml:space="preserve"> </w:t>
      </w:r>
      <w:r>
        <w:rPr/>
        <w:t>The net short position is the power needed to be purchased to serve each utilities’ non-direct access customers that is not provided by the utilities’ own generation, QF contract capacity, and existing bilateral contracts.</w:t>
      </w:r>
    </w:p>
  </w:footnote>
  <w:footnote w:id="5">
    <w:p>
      <w:pPr>
        <w:pStyle w:val="FootnoteText"/>
        <w:spacing w:before="0" w:after="240"/>
        <w:rPr/>
      </w:pPr>
      <w:r>
        <w:rPr>
          <w:rStyle w:val="FootnoteCharacters"/>
        </w:rPr>
        <w:footnoteRef/>
      </w:r>
      <w:r>
        <w:rPr/>
      </w:r>
    </w:p>
  </w:footnote>
  <w:footnote w:id="6">
    <w:p>
      <w:pPr>
        <w:pStyle w:val="FootnoteText"/>
        <w:spacing w:before="0" w:after="240"/>
        <w:rPr/>
      </w:pPr>
      <w:r>
        <w:rPr>
          <w:rStyle w:val="FootnoteCharacters"/>
        </w:rPr>
        <w:footnoteRef/>
      </w:r>
      <w:r>
        <w:rPr/>
        <w:t xml:space="preserve"> </w:t>
      </w:r>
      <w:r>
        <w:rPr/>
        <w:t xml:space="preserve">This balance reflects the full receipt of  a $1.1 Billion tax refund that PG&amp;E stated was due the utility on a stand-alone calculation of its taxes, </w:t>
      </w:r>
    </w:p>
  </w:footnote>
  <w:footnote w:id="7">
    <w:p>
      <w:pPr>
        <w:pStyle w:val="FootnoteText"/>
        <w:spacing w:before="0" w:after="240"/>
        <w:rPr/>
      </w:pPr>
      <w:r>
        <w:rPr>
          <w:rStyle w:val="FootnoteCharacters"/>
        </w:rPr>
        <w:footnoteRef/>
      </w:r>
      <w:r>
        <w:rPr/>
        <w:t xml:space="preserve"> </w:t>
      </w:r>
      <w:r>
        <w:rPr/>
        <w:t>Parties presenting witnesses at hearing on this issue were Aglet, CLECA/CMTA, FEA, ORA, and TURN.</w:t>
      </w:r>
    </w:p>
  </w:footnote>
  <w:footnote w:id="8">
    <w:p>
      <w:pPr>
        <w:pStyle w:val="FootnoteText"/>
        <w:spacing w:before="0" w:after="240"/>
        <w:rPr/>
      </w:pPr>
      <w:r>
        <w:rPr>
          <w:rStyle w:val="FootnoteCharacters"/>
        </w:rPr>
        <w:footnoteRef/>
      </w:r>
      <w:r>
        <w:rPr/>
        <w:t xml:space="preserve"> </w:t>
      </w:r>
      <w:r>
        <w:rPr/>
        <w:t>Section 368(g) references the Restructuring Rate Settlement proposed by PG&amp;E as an example of an authorized cost recovery plan.  CIU introduced this plan into evidence to establish that in the RRS PG&amp;E agreed that it would bear the risk of increases in the Power Exchange (PX0 price during the time when rates were frozen.</w:t>
      </w:r>
    </w:p>
  </w:footnote>
  <w:footnote w:id="9">
    <w:p>
      <w:pPr>
        <w:pStyle w:val="FootnoteText"/>
        <w:spacing w:before="0" w:after="240"/>
        <w:rPr/>
      </w:pPr>
      <w:r>
        <w:rPr>
          <w:rStyle w:val="FootnoteCharacters"/>
        </w:rPr>
        <w:footnoteRef/>
      </w:r>
      <w:r>
        <w:rPr/>
        <w:t xml:space="preserve"> </w:t>
      </w:r>
      <w:r>
        <w:rPr/>
        <w:t>12 RT 1545-47.</w:t>
      </w:r>
    </w:p>
  </w:footnote>
  <w:footnote w:id="10">
    <w:p>
      <w:pPr>
        <w:pStyle w:val="FootnoteText"/>
        <w:spacing w:before="0" w:after="240"/>
        <w:rPr/>
      </w:pPr>
      <w:r>
        <w:rPr>
          <w:rStyle w:val="FootnoteCharacters"/>
        </w:rPr>
        <w:footnoteRef/>
      </w:r>
      <w:r>
        <w:rPr/>
        <w:t xml:space="preserve"> </w:t>
      </w:r>
      <w:r>
        <w:rPr/>
        <w:t>16RT 2191.</w:t>
      </w:r>
    </w:p>
  </w:footnote>
  <w:footnote w:id="11">
    <w:p>
      <w:pPr>
        <w:pStyle w:val="FootnoteText"/>
        <w:spacing w:before="0" w:after="240"/>
        <w:rPr/>
      </w:pPr>
      <w:r>
        <w:rPr>
          <w:rStyle w:val="FootnoteCharacters"/>
        </w:rPr>
        <w:footnoteRef/>
      </w:r>
      <w:r>
        <w:rPr/>
        <w:t xml:space="preserve"> </w:t>
      </w:r>
      <w:r>
        <w:rPr/>
        <w:t>Id at 2183.</w:t>
      </w:r>
    </w:p>
  </w:footnote>
  <w:footnote w:id="12">
    <w:p>
      <w:pPr>
        <w:pStyle w:val="FootnoteText"/>
        <w:spacing w:before="0" w:after="120"/>
        <w:rPr/>
      </w:pPr>
      <w:r>
        <w:rPr>
          <w:rStyle w:val="FootnoteCharacters"/>
        </w:rPr>
        <w:footnoteRef/>
      </w:r>
      <w:r>
        <w:rPr>
          <w:sz w:val="22"/>
        </w:rPr>
        <w:t xml:space="preserve"> </w:t>
      </w:r>
      <w:r>
        <w:rPr>
          <w:sz w:val="22"/>
        </w:rPr>
        <w:t>EX.28; Barrington-Wellesley Group, Review of Pacific Gas and Electric Company Financial Condition, Jan 30,2001; pages III -1</w:t>
      </w:r>
    </w:p>
  </w:footnote>
  <w:footnote w:id="13">
    <w:p>
      <w:pPr>
        <w:pStyle w:val="FootnoteText"/>
        <w:spacing w:before="0" w:after="120"/>
        <w:rPr/>
      </w:pPr>
      <w:r>
        <w:rPr>
          <w:rStyle w:val="FootnoteCharacters"/>
        </w:rPr>
        <w:footnoteRef/>
      </w:r>
      <w:r>
        <w:rPr>
          <w:sz w:val="22"/>
        </w:rPr>
        <w:t xml:space="preserve"> </w:t>
      </w:r>
      <w:r>
        <w:rPr>
          <w:sz w:val="22"/>
        </w:rPr>
        <w:t>Ibid; page III-11</w:t>
      </w:r>
    </w:p>
  </w:footnote>
  <w:footnote w:id="14">
    <w:p>
      <w:pPr>
        <w:pStyle w:val="FootnoteText"/>
        <w:spacing w:before="0" w:after="120"/>
        <w:rPr/>
      </w:pPr>
      <w:r>
        <w:rPr>
          <w:rStyle w:val="FootnoteCharacters"/>
        </w:rPr>
        <w:footnoteRef/>
      </w:r>
      <w:r>
        <w:rPr>
          <w:sz w:val="22"/>
        </w:rPr>
        <w:t xml:space="preserve"> </w:t>
      </w:r>
      <w:r>
        <w:rPr>
          <w:sz w:val="22"/>
        </w:rPr>
        <w:t>Ibid; page I-5</w:t>
      </w:r>
    </w:p>
  </w:footnote>
  <w:footnote w:id="15">
    <w:p>
      <w:pPr>
        <w:pStyle w:val="FootnoteText"/>
        <w:spacing w:before="0" w:after="240"/>
        <w:rPr/>
      </w:pPr>
      <w:r>
        <w:rPr>
          <w:rStyle w:val="FootnoteCharacters"/>
        </w:rPr>
        <w:footnoteRef/>
      </w:r>
      <w:r>
        <w:rPr/>
        <w:t xml:space="preserve"> </w:t>
      </w:r>
      <w:r>
        <w:rPr/>
        <w:t>12RT 1558.</w:t>
      </w:r>
    </w:p>
  </w:footnote>
  <w:footnote w:id="16">
    <w:p>
      <w:pPr>
        <w:pStyle w:val="FootnoteText"/>
        <w:spacing w:before="0" w:after="240"/>
        <w:rPr/>
      </w:pPr>
      <w:r>
        <w:rPr>
          <w:rStyle w:val="FootnoteCharacters"/>
        </w:rPr>
        <w:footnoteRef/>
      </w:r>
      <w:r>
        <w:rPr/>
        <w:t xml:space="preserve"> </w:t>
      </w:r>
      <w:r>
        <w:rPr/>
        <w:t>Exh. 39, p.5-4, lines 23-7.</w:t>
      </w:r>
    </w:p>
  </w:footnote>
  <w:footnote w:id="17">
    <w:p>
      <w:pPr>
        <w:pStyle w:val="FootnoteText"/>
        <w:spacing w:before="0" w:after="240"/>
        <w:rPr/>
      </w:pPr>
      <w:r>
        <w:rPr>
          <w:rStyle w:val="FootnoteCharacters"/>
        </w:rPr>
        <w:footnoteRef/>
      </w:r>
      <w:r>
        <w:rPr/>
        <w:t xml:space="preserve"> </w:t>
      </w:r>
      <w:r>
        <w:rPr/>
        <w:t>Exh. 39, p. 5-5</w:t>
      </w:r>
    </w:p>
  </w:footnote>
  <w:footnote w:id="18">
    <w:p>
      <w:pPr>
        <w:pStyle w:val="FootnoteText"/>
        <w:spacing w:before="0" w:after="240"/>
        <w:rPr/>
      </w:pPr>
      <w:r>
        <w:rPr>
          <w:rStyle w:val="FootnoteCharacters"/>
        </w:rPr>
        <w:footnoteRef/>
      </w:r>
      <w:r>
        <w:rPr/>
        <w:t xml:space="preserve"> </w:t>
      </w:r>
      <w:r>
        <w:rPr/>
        <w:t xml:space="preserve">See March 3, 2001 article published in </w:t>
      </w:r>
      <w:r>
        <w:rPr>
          <w:u w:val="single"/>
        </w:rPr>
        <w:t>The Sacramento Bee</w:t>
      </w:r>
      <w:r>
        <w:rPr/>
        <w:t xml:space="preserve"> by Dale Kasler entitled: "PG&amp;E Parent's Loan Stirs Outcry;"  See also March 2, 2001 press release of PG&amp;E Corporation entitled "PG&amp;E Corporation Restructures Holding Company Debt to Pay Defaults." </w:t>
      </w:r>
    </w:p>
  </w:footnote>
  <w:footnote w:id="19">
    <w:p>
      <w:pPr>
        <w:pStyle w:val="FootnoteText"/>
        <w:spacing w:before="0" w:after="240"/>
        <w:rPr/>
      </w:pPr>
      <w:r>
        <w:rPr>
          <w:rStyle w:val="FootnoteCharacters"/>
        </w:rPr>
        <w:footnoteRef/>
      </w:r>
      <w:r>
        <w:rPr/>
        <w:t xml:space="preserve"> </w:t>
      </w:r>
      <w:r>
        <w:rPr/>
        <w:t>As we determined in D.00-12-067, the record established in A.99-01-016 et al is incorporated in this proceeding.</w:t>
      </w:r>
    </w:p>
  </w:footnote>
  <w:footnote w:id="20">
    <w:p>
      <w:pPr>
        <w:pStyle w:val="FootnoteText"/>
        <w:spacing w:before="0" w:after="240"/>
        <w:rPr/>
      </w:pPr>
      <w:r>
        <w:rPr>
          <w:rStyle w:val="FootnoteCharacters"/>
        </w:rPr>
        <w:footnoteRef/>
      </w:r>
      <w:r>
        <w:rPr/>
        <w:t xml:space="preserve"> </w:t>
      </w:r>
      <w:r>
        <w:rPr/>
        <w:t xml:space="preserve">As stated earlier, TCBA is the Transition Cost Balancing Account and TRA is the Transition Revenue Account.  </w:t>
      </w:r>
    </w:p>
  </w:footnote>
  <w:footnote w:id="21">
    <w:p>
      <w:pPr>
        <w:pStyle w:val="FootnoteText"/>
        <w:spacing w:before="0" w:after="240"/>
        <w:rPr/>
      </w:pPr>
      <w:r>
        <w:rPr>
          <w:rStyle w:val="FootnoteCharacters"/>
        </w:rPr>
        <w:footnoteRef/>
      </w:r>
      <w:r>
        <w:rPr/>
        <w:t xml:space="preserve"> </w:t>
      </w:r>
      <w:r>
        <w:rPr/>
        <w:t>The energy charge used for the headroom calculation is an average rate.</w:t>
      </w:r>
    </w:p>
  </w:footnote>
  <w:footnote w:id="22">
    <w:p>
      <w:pPr>
        <w:pStyle w:val="FootnoteText"/>
        <w:spacing w:before="0" w:after="240"/>
        <w:rPr/>
      </w:pPr>
      <w:r>
        <w:rPr>
          <w:rStyle w:val="FootnoteCharacters"/>
        </w:rPr>
        <w:footnoteRef/>
      </w:r>
      <w:r>
        <w:rPr/>
        <w:t xml:space="preserve"> </w:t>
      </w:r>
      <w:r>
        <w:rPr/>
        <w:t>Ex. 39, at 1 to 22.</w:t>
      </w:r>
    </w:p>
  </w:footnote>
  <w:footnote w:id="23">
    <w:p>
      <w:pPr>
        <w:pStyle w:val="FootnoteText"/>
        <w:spacing w:before="0" w:after="240"/>
        <w:rPr/>
      </w:pPr>
      <w:r>
        <w:rPr>
          <w:rStyle w:val="FootnoteCharacters"/>
        </w:rPr>
        <w:footnoteRef/>
      </w:r>
      <w:r>
        <w:rPr/>
        <w:t xml:space="preserve"> </w:t>
      </w:r>
      <w:r>
        <w:rPr/>
        <w:t>i</w:t>
      </w:r>
      <w:r>
        <w:rPr>
          <w:i/>
        </w:rPr>
        <w:t>d.</w:t>
      </w:r>
    </w:p>
  </w:footnote>
  <w:footnote w:id="24">
    <w:p>
      <w:pPr>
        <w:pStyle w:val="FootnoteText"/>
        <w:spacing w:before="0" w:after="240"/>
        <w:rPr/>
      </w:pPr>
      <w:r>
        <w:rPr>
          <w:rStyle w:val="FootnoteCharacters"/>
        </w:rPr>
        <w:footnoteRef/>
      </w:r>
      <w:r>
        <w:rPr/>
        <w:t xml:space="preserve"> </w:t>
      </w:r>
      <w:r>
        <w:rPr/>
        <w:t>Ex. 39, at 1 to 6, Ex. 58, at 3.</w:t>
      </w:r>
    </w:p>
  </w:footnote>
  <w:footnote w:id="25">
    <w:p>
      <w:pPr>
        <w:pStyle w:val="FootnoteText"/>
        <w:spacing w:before="0" w:after="240"/>
        <w:rPr/>
      </w:pPr>
      <w:r>
        <w:rPr>
          <w:rStyle w:val="FootnoteCharacters"/>
        </w:rPr>
        <w:footnoteRef/>
      </w:r>
      <w:r>
        <w:rPr/>
        <w:t xml:space="preserve"> </w:t>
      </w:r>
      <w:r>
        <w:rPr/>
        <w:t>Florio, TURN, RT Vol. 15 at 2055 and 2056.</w:t>
      </w:r>
    </w:p>
  </w:footnote>
  <w:footnote w:id="26">
    <w:p>
      <w:pPr>
        <w:pStyle w:val="FootnoteText"/>
        <w:spacing w:before="0" w:after="240"/>
        <w:rPr/>
      </w:pPr>
      <w:r>
        <w:rPr>
          <w:rStyle w:val="FootnoteCharacters"/>
        </w:rPr>
        <w:footnoteRef/>
      </w:r>
      <w:r>
        <w:rPr/>
        <w:t xml:space="preserve"> </w:t>
      </w:r>
      <w:r>
        <w:rPr/>
        <w:t>Ex. 45; McManus, PG&amp;E, RT Vol. 11 at 1460-61; Dominski, Edison, RT Vol. 14 at 1868.</w:t>
      </w:r>
    </w:p>
  </w:footnote>
  <w:footnote w:id="27">
    <w:p>
      <w:pPr>
        <w:pStyle w:val="FootnoteText"/>
        <w:spacing w:before="0" w:after="240"/>
        <w:rPr/>
      </w:pPr>
      <w:r>
        <w:rPr>
          <w:rStyle w:val="FootnoteCharacters"/>
        </w:rPr>
        <w:footnoteRef/>
      </w:r>
      <w:r>
        <w:rPr/>
        <w:t xml:space="preserve"> </w:t>
      </w:r>
      <w:r>
        <w:rPr/>
        <w:t>Dominski, Edison, RT Vol. 14 at 1866.</w:t>
      </w:r>
    </w:p>
  </w:footnote>
  <w:footnote w:id="28">
    <w:p>
      <w:pPr>
        <w:pStyle w:val="FootnoteText"/>
        <w:spacing w:before="0" w:after="240"/>
        <w:rPr/>
      </w:pPr>
      <w:r>
        <w:rPr>
          <w:rStyle w:val="FootnoteCharacters"/>
        </w:rPr>
        <w:footnoteRef/>
      </w:r>
      <w:r>
        <w:rPr/>
        <w:t xml:space="preserve"> </w:t>
      </w:r>
      <w:r>
        <w:rPr/>
        <w:t>McManus, PG&amp;E RT Vol. 11 at 1463.</w:t>
      </w:r>
    </w:p>
  </w:footnote>
  <w:footnote w:id="29">
    <w:p>
      <w:pPr>
        <w:pStyle w:val="FootnoteText"/>
        <w:spacing w:before="0" w:after="240"/>
        <w:rPr/>
      </w:pPr>
      <w:r>
        <w:rPr>
          <w:rStyle w:val="FootnoteCharacters"/>
        </w:rPr>
        <w:footnoteRef/>
      </w:r>
      <w:r>
        <w:rPr/>
        <w:t xml:space="preserve"> </w:t>
      </w:r>
      <w:r>
        <w:rPr/>
        <w:t>McManus, PG&amp;E, RT Vol. 10 at 1353; Fellows, Edison, RT Vol. 13 at 1773.</w:t>
      </w:r>
    </w:p>
  </w:footnote>
  <w:footnote w:id="30">
    <w:p>
      <w:pPr>
        <w:pStyle w:val="FootnoteText"/>
        <w:spacing w:before="0" w:after="240"/>
        <w:rPr/>
      </w:pPr>
      <w:r>
        <w:rPr>
          <w:rStyle w:val="FootnoteCharacters"/>
        </w:rPr>
        <w:footnoteRef/>
      </w:r>
      <w:r>
        <w:rPr/>
        <w:t xml:space="preserve"> </w:t>
      </w:r>
      <w:r>
        <w:rPr/>
        <w:t>Florio, TURN, RT Vol. 15 at 2076.</w:t>
      </w:r>
    </w:p>
  </w:footnote>
  <w:footnote w:id="31">
    <w:p>
      <w:pPr>
        <w:pStyle w:val="FootnoteText"/>
        <w:spacing w:before="0" w:after="240"/>
        <w:rPr/>
      </w:pPr>
      <w:r>
        <w:rPr>
          <w:rStyle w:val="FootnoteCharacters"/>
        </w:rPr>
        <w:footnoteRef/>
      </w:r>
      <w:r>
        <w:rPr/>
        <w:t xml:space="preserve"> </w:t>
      </w:r>
      <w:r>
        <w:rPr/>
        <w:t>Phase II Market Power Filing of Pacific Gas and Electric Company, Docket No. ER96</w:t>
        <w:noBreakHyphen/>
        <w:t>1663-000, March 31, 1997, pp. 8-9 and Southern California Edison Company’s Proposed Market Power Mitigation Strategies, Docket ER 96-1663-001, March 31, 1997, p. 13.</w:t>
      </w:r>
    </w:p>
  </w:footnote>
  <w:footnote w:id="32">
    <w:p>
      <w:pPr>
        <w:pStyle w:val="FootnoteText"/>
        <w:spacing w:before="0" w:after="240"/>
        <w:rPr/>
      </w:pPr>
      <w:r>
        <w:rPr>
          <w:rStyle w:val="FootnoteCharacters"/>
        </w:rPr>
        <w:footnoteRef/>
      </w:r>
      <w:r>
        <w:rPr/>
        <w:t xml:space="preserve"> </w:t>
      </w:r>
      <w:r>
        <w:rPr/>
        <w:t>Order Conditionally Authorizing Limited Operation of an Independent System Operator and Power Exchange, PG&amp;E, et al, Docket No.s EC96019-001, et al; 81 FERC Section 61,546, October 30, 1997.</w:t>
      </w:r>
    </w:p>
  </w:footnote>
  <w:footnote w:id="33">
    <w:p>
      <w:pPr>
        <w:pStyle w:val="FootnoteText"/>
        <w:spacing w:before="0" w:after="240"/>
        <w:rPr/>
      </w:pPr>
      <w:r>
        <w:rPr>
          <w:rStyle w:val="FootnoteCharacters"/>
        </w:rPr>
        <w:footnoteRef/>
      </w:r>
      <w:r>
        <w:rPr/>
        <w:t xml:space="preserve"> </w:t>
      </w:r>
      <w:r>
        <w:rPr/>
        <w:t>Reply comments of Consumer Parties at 5.</w:t>
      </w:r>
    </w:p>
  </w:footnote>
  <w:footnote w:id="34">
    <w:p>
      <w:pPr>
        <w:pStyle w:val="FootnoteText"/>
        <w:spacing w:before="0" w:after="240"/>
        <w:rPr/>
      </w:pPr>
      <w:r>
        <w:rPr>
          <w:rStyle w:val="FootnoteCharacters"/>
        </w:rPr>
        <w:footnoteRef/>
      </w:r>
      <w:r>
        <w:rPr/>
        <w:t xml:space="preserve"> </w:t>
      </w:r>
      <w:r>
        <w:rPr/>
        <w:t>Ex. 72, at 22.</w:t>
      </w:r>
    </w:p>
  </w:footnote>
  <w:footnote w:id="35">
    <w:p>
      <w:pPr>
        <w:pStyle w:val="FootnoteText"/>
        <w:spacing w:before="0" w:after="240"/>
        <w:rPr/>
      </w:pPr>
      <w:r>
        <w:rPr>
          <w:rStyle w:val="FootnoteCharacters"/>
        </w:rPr>
        <w:footnoteRef/>
      </w:r>
      <w:r>
        <w:rPr/>
        <w:t xml:space="preserve"> </w:t>
      </w:r>
      <w:r>
        <w:rPr/>
        <w:t>D.97-09-056 for Edison, D.97-09-055 for PG&amp;E.</w:t>
      </w:r>
    </w:p>
  </w:footnote>
  <w:footnote w:id="36">
    <w:p>
      <w:pPr>
        <w:pStyle w:val="FootnoteText"/>
        <w:spacing w:before="0" w:after="240"/>
        <w:rPr/>
      </w:pPr>
      <w:r>
        <w:rPr>
          <w:rStyle w:val="FootnoteCharacters"/>
        </w:rPr>
        <w:footnoteRef/>
      </w:r>
      <w:r>
        <w:rPr/>
        <w:t xml:space="preserve"> </w:t>
      </w:r>
      <w:r>
        <w:rPr/>
        <w:t>D.97-09-054, mimeo at 22.</w:t>
      </w:r>
    </w:p>
  </w:footnote>
  <w:footnote w:id="37">
    <w:p>
      <w:pPr>
        <w:pStyle w:val="FootnoteText"/>
        <w:spacing w:before="0" w:after="240"/>
        <w:rPr/>
      </w:pPr>
      <w:r>
        <w:rPr>
          <w:rStyle w:val="FootnoteCharacters"/>
        </w:rPr>
        <w:footnoteRef/>
      </w:r>
      <w:r>
        <w:rPr/>
        <w:t xml:space="preserve"> </w:t>
      </w:r>
      <w:r>
        <w:rPr/>
        <w:t>McManus, PG&amp;E, RT Vol. 11 at 1465; Dominski, Edison, RT Vol. 14 at 1869.</w:t>
      </w:r>
    </w:p>
  </w:footnote>
  <w:footnote w:id="38">
    <w:p>
      <w:pPr>
        <w:pStyle w:val="FootnoteText"/>
        <w:spacing w:before="0" w:after="240"/>
        <w:rPr/>
      </w:pPr>
      <w:r>
        <w:rPr>
          <w:rStyle w:val="FootnoteCharacters"/>
        </w:rPr>
        <w:footnoteRef/>
      </w:r>
      <w:r>
        <w:rPr/>
        <w:t xml:space="preserve"> </w:t>
      </w:r>
      <w:r>
        <w:rPr>
          <w:u w:val="single"/>
        </w:rPr>
        <w:t>Id.</w:t>
      </w:r>
      <w:r>
        <w:rPr/>
        <w:t>, at RT Vol. 11 at 1466; RT Vol. 14 at 1869.</w:t>
      </w:r>
    </w:p>
  </w:footnote>
  <w:footnote w:id="39">
    <w:p>
      <w:pPr>
        <w:pStyle w:val="FootnoteText"/>
        <w:spacing w:before="0" w:after="240"/>
        <w:rPr/>
      </w:pPr>
      <w:r>
        <w:rPr>
          <w:rStyle w:val="FootnoteCharacters"/>
        </w:rPr>
        <w:footnoteRef/>
      </w:r>
      <w:r>
        <w:rPr/>
        <w:t xml:space="preserve"> </w:t>
      </w:r>
      <w:r>
        <w:rPr/>
        <w:t>Ex. 72 (Florio Testimony), at 14.</w:t>
      </w:r>
    </w:p>
  </w:footnote>
  <w:footnote w:id="40">
    <w:p>
      <w:pPr>
        <w:pStyle w:val="FootnoteText"/>
        <w:spacing w:before="0" w:after="240"/>
        <w:rPr/>
      </w:pPr>
      <w:r>
        <w:rPr>
          <w:rStyle w:val="FootnoteCharacters"/>
        </w:rPr>
        <w:footnoteRef/>
      </w:r>
      <w:r>
        <w:rPr/>
        <w:t xml:space="preserve"> </w:t>
      </w:r>
      <w:r>
        <w:rPr/>
        <w:t xml:space="preserve">In D.01-01-018, we directed that the year 2000 GMA balances be separately identified and held while we reviewed TURN’s proposal and other accounting issues in future decisions.  We have reviewed these accounting issues here, and the decision we reach will apply to the GMA balances addressed in D.01-01-018.  </w:t>
      </w:r>
    </w:p>
  </w:footnote>
  <w:footnote w:id="41">
    <w:p>
      <w:pPr>
        <w:pStyle w:val="FootnoteText"/>
        <w:spacing w:before="0" w:after="240"/>
        <w:rPr/>
      </w:pPr>
      <w:r>
        <w:rPr>
          <w:rStyle w:val="FootnoteCharacters"/>
        </w:rPr>
        <w:footnoteRef/>
      </w:r>
      <w:r>
        <w:rPr/>
        <w:t xml:space="preserve"> </w:t>
      </w:r>
      <w:r>
        <w:rPr/>
        <w:t>Monthly TCBA reports for Edison and PG&amp;E.  In estimating the adjusted TCBA balance, we exclude the gains from estimated market valuation on retained generation recorded by Edison in 2000 in the amount of $500 million.  Similarly, we exclude the 2.1 billion gain recorded by PG&amp;E in 2000.  For PG&amp;E we also reverse the accelerated costs recorded in the TCBA at the time PG&amp;E  recorded the $2.1 gain from estimated market valuation.  We will examine the issue of valuation for the purposes of determining if the rate freeze has ended in the next section.</w:t>
      </w:r>
    </w:p>
  </w:footnote>
  <w:footnote w:id="42">
    <w:p>
      <w:pPr>
        <w:pStyle w:val="FootnoteText"/>
        <w:spacing w:before="0" w:after="240"/>
        <w:rPr/>
      </w:pPr>
      <w:r>
        <w:rPr>
          <w:rStyle w:val="FootnoteCharacters"/>
        </w:rPr>
        <w:footnoteRef/>
      </w:r>
      <w:r>
        <w:rPr/>
        <w:t xml:space="preserve"> </w:t>
      </w:r>
      <w:r>
        <w:rPr/>
        <w:t>Public Utilities Code Section 368(a) and D. 99-10-057, ordering paragraph 2.</w:t>
      </w:r>
    </w:p>
  </w:footnote>
  <w:footnote w:id="43">
    <w:p>
      <w:pPr>
        <w:pStyle w:val="FootnoteText"/>
        <w:spacing w:before="0" w:after="240"/>
        <w:rPr/>
      </w:pPr>
      <w:r>
        <w:rPr>
          <w:rStyle w:val="FootnoteCharacters"/>
        </w:rPr>
        <w:footnoteRef/>
      </w:r>
      <w:r>
        <w:rPr/>
        <w:t xml:space="preserve"> </w:t>
      </w:r>
      <w:r>
        <w:rPr/>
        <w:t xml:space="preserve">In D.99-05-051, we determined the rate freeze had ended for SDG&amp;E as of June 30, 1999 based on a finding that SDG&amp;E had recovered its transition costs.  We did not conduct a final market valuation as SDG&amp;E had no remaining non-nuclear generation assets. </w:t>
      </w:r>
    </w:p>
  </w:footnote>
  <w:footnote w:id="44">
    <w:p>
      <w:pPr>
        <w:pStyle w:val="FootnoteText"/>
        <w:spacing w:before="0" w:after="240"/>
        <w:rPr/>
      </w:pPr>
      <w:r>
        <w:rPr>
          <w:rStyle w:val="FootnoteCharacters"/>
        </w:rPr>
        <w:footnoteRef/>
      </w:r>
      <w:r>
        <w:rPr/>
        <w:t xml:space="preserve"> </w:t>
      </w:r>
      <w:r>
        <w:rPr/>
        <w:t>Unlike PG&amp;E and Edison, SDG&amp;E had no remaining non-nuclear generation assets.</w:t>
      </w:r>
    </w:p>
  </w:footnote>
  <w:footnote w:id="45">
    <w:p>
      <w:pPr>
        <w:pStyle w:val="FootnoteText"/>
        <w:spacing w:before="0" w:after="240"/>
        <w:rPr/>
      </w:pPr>
      <w:r>
        <w:rPr>
          <w:rStyle w:val="FootnoteCharacters"/>
        </w:rPr>
        <w:footnoteRef/>
      </w:r>
      <w:r>
        <w:rPr/>
        <w:t xml:space="preserve"> </w:t>
      </w:r>
      <w:r>
        <w:rPr/>
        <w:t>Public Utilities Code Section 367(b).</w:t>
      </w:r>
    </w:p>
  </w:footnote>
  <w:footnote w:id="46">
    <w:p>
      <w:pPr>
        <w:pStyle w:val="FootnoteText"/>
        <w:spacing w:before="0" w:after="240"/>
        <w:rPr/>
      </w:pPr>
      <w:r>
        <w:rPr>
          <w:rStyle w:val="FootnoteCharacters"/>
        </w:rPr>
        <w:footnoteRef/>
      </w:r>
      <w:r>
        <w:rPr/>
        <w:t xml:space="preserve"> </w:t>
      </w:r>
      <w:r>
        <w:rPr/>
        <w:t>D.99-10-057 at 18.</w:t>
      </w:r>
    </w:p>
  </w:footnote>
  <w:footnote w:id="47">
    <w:p>
      <w:pPr>
        <w:pStyle w:val="FootnoteText"/>
        <w:spacing w:before="0" w:after="240"/>
        <w:rPr/>
      </w:pPr>
      <w:r>
        <w:rPr>
          <w:rStyle w:val="FootnoteCharacters"/>
        </w:rPr>
        <w:footnoteRef/>
      </w:r>
      <w:r>
        <w:rPr/>
        <w:t xml:space="preserve"> </w:t>
      </w:r>
      <w:r>
        <w:rPr/>
        <w:t>Id.</w:t>
      </w:r>
    </w:p>
  </w:footnote>
  <w:footnote w:id="48">
    <w:p>
      <w:pPr>
        <w:pStyle w:val="FootnoteText"/>
        <w:spacing w:before="0" w:after="240"/>
        <w:rPr/>
      </w:pPr>
      <w:r>
        <w:rPr>
          <w:rStyle w:val="FootnoteCharacters"/>
        </w:rPr>
        <w:footnoteRef/>
      </w:r>
      <w:r>
        <w:rPr/>
        <w:t xml:space="preserve"> </w:t>
      </w:r>
      <w:r>
        <w:rPr/>
        <w:t>Generation Assets Balancing Account</w:t>
      </w:r>
    </w:p>
  </w:footnote>
  <w:footnote w:id="49">
    <w:p>
      <w:pPr>
        <w:pStyle w:val="FootnoteText"/>
        <w:spacing w:before="0" w:after="240"/>
        <w:rPr/>
      </w:pPr>
      <w:r>
        <w:rPr>
          <w:rStyle w:val="FootnoteCharacters"/>
        </w:rPr>
        <w:footnoteRef/>
      </w:r>
      <w:r>
        <w:rPr/>
        <w:t xml:space="preserve"> </w:t>
      </w:r>
      <w:r>
        <w:rPr/>
        <w:t>Tr. 1479-80.</w:t>
      </w:r>
    </w:p>
  </w:footnote>
  <w:footnote w:id="50">
    <w:p>
      <w:pPr>
        <w:pStyle w:val="FootnoteText"/>
        <w:spacing w:before="0" w:after="240"/>
        <w:rPr/>
      </w:pPr>
      <w:r>
        <w:rPr>
          <w:rStyle w:val="FootnoteCharacters"/>
        </w:rPr>
        <w:footnoteRef/>
      </w:r>
      <w:r>
        <w:rPr/>
        <w:t xml:space="preserve"> </w:t>
      </w:r>
      <w:r>
        <w:rPr/>
        <w:t xml:space="preserve">In addition, TURN challenges the credibility of PG&amp;E’s estimated market valuation, citing a history of inconsistency by PG&amp;E in filing before the Commission widely variant interim market valuations, including the one used here, between June 8 and September 15, 2000.) </w:t>
      </w:r>
    </w:p>
  </w:footnote>
  <w:footnote w:id="51">
    <w:p>
      <w:pPr>
        <w:pStyle w:val="FootnoteText"/>
        <w:spacing w:before="0" w:after="240"/>
        <w:rPr/>
      </w:pPr>
      <w:r>
        <w:rPr>
          <w:rStyle w:val="FootnoteCharacters"/>
        </w:rPr>
        <w:footnoteRef/>
      </w:r>
      <w:r>
        <w:rPr/>
        <w:t xml:space="preserve"> </w:t>
      </w:r>
      <w:r>
        <w:rPr/>
        <w:t>PG&amp;E then states the market valuation determined for its assets should be used as a basis for establishing prices under ABX6.</w:t>
      </w:r>
    </w:p>
  </w:footnote>
  <w:footnote w:id="52">
    <w:p>
      <w:pPr>
        <w:pStyle w:val="FootnoteText"/>
        <w:spacing w:before="0" w:after="240"/>
        <w:rPr/>
      </w:pPr>
      <w:r>
        <w:rPr>
          <w:rStyle w:val="FootnoteCharacters"/>
        </w:rPr>
        <w:footnoteRef/>
      </w:r>
      <w:r>
        <w:rPr/>
        <w:t xml:space="preserve"> </w:t>
      </w:r>
      <w:r>
        <w:rPr/>
        <w:t>14 RT 1858.</w:t>
      </w:r>
    </w:p>
  </w:footnote>
  <w:footnote w:id="53">
    <w:p>
      <w:pPr>
        <w:pStyle w:val="FootnoteText"/>
        <w:spacing w:before="0" w:after="240"/>
        <w:rPr/>
      </w:pPr>
      <w:r>
        <w:rPr>
          <w:rStyle w:val="FootnoteCharacters"/>
        </w:rPr>
        <w:footnoteRef/>
      </w:r>
      <w:r>
        <w:rPr/>
        <w:t xml:space="preserve"> </w:t>
      </w:r>
      <w:r>
        <w:rPr/>
        <w:t>TURN takes a different approach to finding that net book value is a market valuation, arguing that in the current environment there simply is no “market” that may be relied on to develop the type of  “market valuation” demanded by PG&amp;E.  Therefore, the Commission should use net book value as an “inferred market value”, similar to the position we took in valuing PG&amp;E’s Hunters Point plant in the absence of a market. (See D. 98-10-029.)</w:t>
      </w:r>
    </w:p>
  </w:footnote>
  <w:footnote w:id="54">
    <w:p>
      <w:pPr>
        <w:pStyle w:val="FootnoteText"/>
        <w:spacing w:before="0" w:after="240"/>
        <w:rPr/>
      </w:pPr>
      <w:r>
        <w:rPr>
          <w:rStyle w:val="FootnoteCharacters"/>
        </w:rPr>
        <w:footnoteRef/>
      </w:r>
      <w:r>
        <w:rPr/>
        <w:t xml:space="preserve">  </w:t>
      </w:r>
      <w:r>
        <w:rPr/>
        <w:t>In the meantime, we require PG&amp;E and Edison to use the net book value as the interim value for all retained non-nuclear generation assets.  PG&amp;E and Edison shall adjust any and all prior amounts of estimated market values credited to the TCBA and credit only the net book value of the retained non-nuclear generation asset in the TCBA.  PG&amp;E and Edison shall also perform similar adjustments in their Generation Asset Balancing Account (GABA).</w:t>
      </w:r>
    </w:p>
  </w:footnote>
  <w:footnote w:id="55">
    <w:p>
      <w:pPr>
        <w:pStyle w:val="FootnoteText"/>
        <w:spacing w:before="0" w:after="240"/>
        <w:rPr/>
      </w:pPr>
      <w:r>
        <w:rPr>
          <w:rStyle w:val="FootnoteCharacters"/>
        </w:rPr>
        <w:footnoteRef/>
      </w:r>
      <w:r>
        <w:rPr/>
        <w:t xml:space="preserve"> </w:t>
      </w:r>
      <w:r>
        <w:rPr/>
        <w:t>Greenlining/LIF also signed Memoranda of Understanding (MOUs) with Edison and PG&amp;E which contain further agreements regarding CARE programs.</w:t>
      </w:r>
    </w:p>
  </w:footnote>
  <w:footnote w:id="56">
    <w:p>
      <w:pPr>
        <w:pStyle w:val="FootnoteText"/>
        <w:spacing w:before="0" w:after="240"/>
        <w:rPr/>
      </w:pPr>
      <w:r>
        <w:rPr>
          <w:rStyle w:val="FootnoteCharacters"/>
        </w:rPr>
        <w:footnoteRef/>
      </w:r>
      <w:r>
        <w:rPr/>
        <w:t xml:space="preserve"> </w:t>
      </w:r>
      <w:r>
        <w:rPr/>
        <w:t xml:space="preserve">See February 2, 2001 PHC-2 RT 114 and February 6, 2001 letter from PG&amp;E.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ALJ/CMW/t93/eap</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A.00-11-038 et al.  ALJ/CMW/t93/eap                                     </w:t>
    </w:r>
    <w:r>
      <w:rPr>
        <w:b/>
        <w:sz w:val="32"/>
      </w:rPr>
      <w:t>DRAFT</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A.00-11-038 et al.  ALJ/CMW/t93/eap                                         </w:t>
    </w:r>
    <w:r>
      <w:rPr>
        <w:b/>
        <w:sz w:val="32"/>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ALJ/CMW/t93/eap</w:t>
      <w:tab/>
    </w:r>
    <w:r>
      <w:rPr>
        <w:rFonts w:cs="HELVETICA" w:ascii="HELVETICA" w:hAnsi="HELVETICA"/>
        <w:b/>
        <w:sz w:val="36"/>
      </w:rPr>
      <w:t>DRAFT</w:t>
    </w:r>
  </w:p>
  <w:p>
    <w:pPr>
      <w:pStyle w:val="Header"/>
      <w:rPr>
        <w:rFonts w:ascii="HELVETICA" w:hAnsi="HELVETICA" w:cs="HELVETICA"/>
        <w:b/>
        <w:sz w:val="36"/>
      </w:rPr>
    </w:pPr>
    <w:r>
      <w:rPr>
        <w:rFonts w:cs="HELVETICA" w:ascii="HELVETICA" w:hAnsi="HELVETICA"/>
        <w:b/>
        <w:sz w:val="36"/>
      </w:rPr>
    </w:r>
  </w:p>
  <w:p>
    <w:pPr>
      <w:pStyle w:val="Header"/>
      <w:rPr>
        <w:rFonts w:ascii="HELVETICA" w:hAnsi="HELVETICA" w:cs="HELVETICA"/>
      </w:rPr>
    </w:pPr>
    <w:r>
      <w:rPr>
        <w:rFonts w:cs="HELVETICA" w:ascii="HELVETICA" w:hAnsi="HELVETICA"/>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A.00-11-038 et al.  ALJ/CMW/t93/eap                                         </w:t>
    </w:r>
    <w:r>
      <w:rPr>
        <w:b/>
        <w:sz w:val="32"/>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720"/>
        </w:tabs>
        <w:ind w:start="1440" w:hanging="0"/>
      </w:pPr>
    </w:lvl>
    <w:lvl w:ilvl="3">
      <w:start w:val="1"/>
      <w:pStyle w:val="Heading4"/>
      <w:numFmt w:val="lowerLetter"/>
      <w:lvlText w:val="%4)"/>
      <w:lvlJc w:val="start"/>
      <w:pPr>
        <w:tabs>
          <w:tab w:val="num" w:pos="7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0"/>
        </w:tabs>
        <w:ind w:start="0" w:hanging="0"/>
      </w:pPr>
      <w:rPr>
        <w:rFonts w:ascii="Times New Roman" w:hAnsi="Times New Roman" w:cs="Times New Roman"/>
      </w:rPr>
    </w:lvl>
  </w:abstractNum>
  <w:abstractNum w:abstractNumId="3">
    <w:lvl w:ilvl="0">
      <w:start w:val="1"/>
      <w:numFmt w:val="lowerLetter"/>
      <w:lvlText w:val="%1."/>
      <w:lvlJc w:val="start"/>
      <w:pPr>
        <w:tabs>
          <w:tab w:val="num" w:pos="360"/>
        </w:tabs>
        <w:ind w:start="0" w:hanging="0"/>
      </w:pPr>
      <w:rPr>
        <w:sz w:val="26"/>
        <w:rFonts w:ascii="PALATINO" w:hAnsi="PALATINO" w:cs="PALATINO"/>
      </w:rPr>
    </w:lvl>
  </w:abstractNum>
  <w:abstractNum w:abstractNumId="4">
    <w:lvl w:ilvl="0">
      <w:start w:val="1"/>
      <w:numFmt w:val="upperRoman"/>
      <w:lvlText w:val="%1."/>
      <w:lvlJc w:val="start"/>
      <w:pPr>
        <w:tabs>
          <w:tab w:val="num" w:pos="360"/>
        </w:tabs>
        <w:ind w:start="0" w:hanging="0"/>
      </w:pPr>
    </w:lvl>
    <w:lvl w:ilvl="1">
      <w:start w:val="1"/>
      <w:numFmt w:val="upperLetter"/>
      <w:lvlText w:val="%2."/>
      <w:lvlJc w:val="start"/>
      <w:pPr>
        <w:tabs>
          <w:tab w:val="num" w:pos="1080"/>
        </w:tabs>
        <w:ind w:start="720" w:hanging="0"/>
      </w:pPr>
    </w:lvl>
    <w:lvl w:ilvl="2">
      <w:start w:val="1"/>
      <w:numFmt w:val="decimal"/>
      <w:lvlText w:val="%3."/>
      <w:lvlJc w:val="start"/>
      <w:pPr>
        <w:tabs>
          <w:tab w:val="num" w:pos="72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5">
    <w:lvl w:ilvl="0">
      <w:start w:val="1"/>
      <w:numFmt w:val="decimal"/>
      <w:lvlText w:val="(%1) "/>
      <w:lvlJc w:val="start"/>
      <w:pPr>
        <w:tabs>
          <w:tab w:val="num" w:pos="360"/>
        </w:tabs>
        <w:ind w:start="1080" w:hanging="360"/>
      </w:pPr>
      <w:rPr>
        <w:sz w:val="26"/>
        <w:i w:val="false"/>
        <w:u w:val="none"/>
        <w:b w:val="false"/>
        <w:rFonts w:ascii="PALATINO" w:hAnsi="PALATINO" w:cs="PALATINO"/>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576"/>
        </w:tabs>
        <w:ind w:start="360" w:hanging="144"/>
      </w:pPr>
    </w:lvl>
  </w:abstractNum>
  <w:abstractNum w:abstractNumId="8">
    <w:lvl w:ilvl="0">
      <w:start w:val="1"/>
      <w:numFmt w:val="decimal"/>
      <w:lvlText w:val="%1."/>
      <w:lvlJc w:val="start"/>
      <w:pPr>
        <w:tabs>
          <w:tab w:val="num" w:pos="432"/>
        </w:tabs>
        <w:ind w:start="72" w:hanging="0"/>
      </w:pPr>
    </w:lvl>
    <w:lvl w:ilvl="1">
      <w:start w:val="1"/>
      <w:numFmt w:val="upperLetter"/>
      <w:lvlText w:val="%2."/>
      <w:lvlJc w:val="start"/>
      <w:pPr>
        <w:tabs>
          <w:tab w:val="num" w:pos="1080"/>
        </w:tabs>
        <w:ind w:start="720" w:hanging="0"/>
      </w:pPr>
      <w:rPr>
        <w:i w:val="false"/>
        <w:b/>
      </w:rPr>
    </w:lvl>
    <w:lvl w:ilvl="2">
      <w:start w:val="1"/>
      <w:numFmt w:val="decimal"/>
      <w:lvlText w:val="%3."/>
      <w:lvlJc w:val="start"/>
      <w:pPr>
        <w:tabs>
          <w:tab w:val="num" w:pos="1800"/>
        </w:tabs>
        <w:ind w:start="1440" w:hanging="0"/>
      </w:pPr>
      <w:rPr>
        <w:sz w:val="32"/>
      </w:r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9">
    <w:lvl w:ilvl="0">
      <w:start w:val="6"/>
      <w:numFmt w:val="upperRoman"/>
      <w:lvlText w:val="%1."/>
      <w:lvlJc w:val="start"/>
      <w:pPr>
        <w:tabs>
          <w:tab w:val="num" w:pos="720"/>
        </w:tabs>
        <w:ind w:start="720" w:hanging="720"/>
      </w:pPr>
    </w:lvl>
  </w:abstractNum>
  <w:abstractNum w:abstractNumId="10">
    <w:lvl w:ilvl="0">
      <w:start w:val="1"/>
      <w:numFmt w:val="decimal"/>
      <w:lvlText w:val="%1."/>
      <w:lvlJc w:val="start"/>
      <w:pPr>
        <w:tabs>
          <w:tab w:val="num" w:pos="432"/>
        </w:tabs>
        <w:ind w:start="72" w:hanging="0"/>
      </w:pPr>
    </w:lvl>
    <w:lvl w:ilvl="1">
      <w:start w:val="2"/>
      <w:numFmt w:val="upperLetter"/>
      <w:lvlText w:val="%2."/>
      <w:lvlJc w:val="start"/>
      <w:pPr>
        <w:tabs>
          <w:tab w:val="num" w:pos="1080"/>
        </w:tabs>
        <w:ind w:start="720" w:hanging="0"/>
      </w:pPr>
      <w:rPr>
        <w:i w:val="false"/>
        <w:b/>
      </w:rPr>
    </w:lvl>
    <w:lvl w:ilvl="2">
      <w:start w:val="1"/>
      <w:numFmt w:val="decimal"/>
      <w:lvlText w:val="%3."/>
      <w:lvlJc w:val="start"/>
      <w:pPr>
        <w:tabs>
          <w:tab w:val="num" w:pos="1800"/>
        </w:tabs>
        <w:ind w:start="1440" w:hanging="0"/>
      </w:pPr>
      <w:rPr>
        <w:sz w:val="32"/>
      </w:r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11">
    <w:lvl w:ilvl="0">
      <w:start w:val="1"/>
      <w:numFmt w:val="decimal"/>
      <w:lvlText w:val="%1."/>
      <w:lvlJc w:val="start"/>
      <w:pPr>
        <w:tabs>
          <w:tab w:val="num" w:pos="720"/>
        </w:tabs>
        <w:ind w:start="720" w:hanging="360"/>
      </w:pPr>
      <w:rPr/>
    </w:lvl>
  </w:abstractNum>
  <w:abstractNum w:abstractNumId="12">
    <w:lvl w:ilvl="0">
      <w:start w:val="1"/>
      <w:numFmt w:val="upperRoman"/>
      <w:lvlText w:val="%1."/>
      <w:lvlJc w:val="start"/>
      <w:pPr>
        <w:tabs>
          <w:tab w:val="num" w:pos="360"/>
        </w:tabs>
        <w:ind w:start="0" w:hanging="0"/>
      </w:pPr>
    </w:lvl>
    <w:lvl w:ilvl="1">
      <w:start w:val="1"/>
      <w:numFmt w:val="upperLetter"/>
      <w:lvlText w:val="%2."/>
      <w:lvlJc w:val="start"/>
      <w:pPr>
        <w:tabs>
          <w:tab w:val="num" w:pos="1080"/>
        </w:tabs>
        <w:ind w:start="720" w:hanging="0"/>
      </w:pPr>
    </w:lvl>
    <w:lvl w:ilvl="2">
      <w:start w:val="1"/>
      <w:numFmt w:val="decimal"/>
      <w:lvlText w:val="%3."/>
      <w:lvlJc w:val="start"/>
      <w:pPr>
        <w:tabs>
          <w:tab w:val="num" w:pos="72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13">
    <w:lvl w:ilvl="0">
      <w:start w:val="1"/>
      <w:numFmt w:val="upperRoman"/>
      <w:lvlText w:val="%1."/>
      <w:lvlJc w:val="start"/>
      <w:pPr>
        <w:tabs>
          <w:tab w:val="num" w:pos="360"/>
        </w:tabs>
        <w:ind w:start="0" w:hanging="0"/>
      </w:pPr>
    </w:lvl>
    <w:lvl w:ilvl="1">
      <w:start w:val="1"/>
      <w:numFmt w:val="upperLetter"/>
      <w:lvlText w:val="%2."/>
      <w:lvlJc w:val="start"/>
      <w:pPr>
        <w:tabs>
          <w:tab w:val="num" w:pos="1080"/>
        </w:tabs>
        <w:ind w:start="720" w:hanging="0"/>
      </w:pPr>
    </w:lvl>
    <w:lvl w:ilvl="2">
      <w:start w:val="2"/>
      <w:numFmt w:val="decimal"/>
      <w:lvlText w:val="%3."/>
      <w:lvlJc w:val="start"/>
      <w:pPr>
        <w:tabs>
          <w:tab w:val="num" w:pos="72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14">
    <w:lvl w:ilvl="0">
      <w:start w:val="1"/>
      <w:numFmt w:val="decimal"/>
      <w:lvlText w:val="%1."/>
      <w:lvlJc w:val="start"/>
      <w:pPr>
        <w:tabs>
          <w:tab w:val="num" w:pos="0"/>
        </w:tabs>
        <w:ind w:start="0" w:hanging="0"/>
      </w:pPr>
      <w:rPr>
        <w:rFonts w:ascii="Times New Roman" w:hAnsi="Times New Roman" w:cs="Times New Roman"/>
      </w:rPr>
    </w:lvl>
  </w:abstractNum>
  <w:abstractNum w:abstractNumId="15">
    <w:lvl w:ilvl="0">
      <w:start w:val="3"/>
      <w:numFmt w:val="upperRoman"/>
      <w:lvlText w:val="%1."/>
      <w:lvlJc w:val="start"/>
      <w:pPr>
        <w:tabs>
          <w:tab w:val="num" w:pos="360"/>
        </w:tabs>
        <w:ind w:start="0" w:hanging="0"/>
      </w:pPr>
    </w:lvl>
    <w:lvl w:ilvl="1">
      <w:start w:val="1"/>
      <w:numFmt w:val="upperLetter"/>
      <w:lvlText w:val="%2."/>
      <w:lvlJc w:val="start"/>
      <w:pPr>
        <w:tabs>
          <w:tab w:val="num" w:pos="1080"/>
        </w:tabs>
        <w:ind w:start="720" w:hanging="0"/>
      </w:pPr>
    </w:lvl>
    <w:lvl w:ilvl="2">
      <w:start w:val="1"/>
      <w:numFmt w:val="decimal"/>
      <w:lvlText w:val="%3."/>
      <w:lvlJc w:val="start"/>
      <w:pPr>
        <w:tabs>
          <w:tab w:val="num" w:pos="72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1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
    <w:lvlOverride w:ilvl="0">
      <w:startOverride w:val="1"/>
    </w:lvlOverride>
    <w:lvlOverride w:ilvl="1">
      <w:startOverride w:val="1"/>
    </w:lvlOverride>
    <w:lvlOverride w:ilvl="2">
      <w:startOverride w:val="1"/>
    </w:lvlOverride>
  </w:num>
  <w:num w:numId="18">
    <w:abstractNumId w:val="8"/>
    <w:lvlOverride w:ilvl="0">
      <w:startOverride w:val="1"/>
    </w:lvlOverride>
    <w:lvlOverride w:ilvl="1">
      <w:startOverride w:val="1"/>
    </w:lvlOverride>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0" w:start="0" w:end="360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hanging="0" w:start="0" w:end="2880"/>
      <w:outlineLvl w:val="1"/>
    </w:pPr>
    <w:rPr>
      <w:rFonts w:ascii="HELVETICA" w:hAnsi="HELVETICA" w:cs="HELVETICA"/>
      <w:b/>
    </w:rPr>
  </w:style>
  <w:style w:type="paragraph" w:styleId="Heading3">
    <w:name w:val="heading 3"/>
    <w:basedOn w:val="Normal"/>
    <w:next w:val="sub2"/>
    <w:qFormat/>
    <w:pPr>
      <w:keepNext w:val="true"/>
      <w:numPr>
        <w:ilvl w:val="2"/>
        <w:numId w:val="1"/>
      </w:numPr>
      <w:spacing w:before="120" w:after="120"/>
      <w:ind w:hanging="0" w:start="0" w:end="216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120"/>
      <w:ind w:hanging="0" w:start="0" w:end="2160"/>
      <w:outlineLvl w:val="3"/>
    </w:pPr>
    <w:rPr>
      <w:rFonts w:ascii="HELVETICA" w:hAnsi="HELVETICA" w:cs="HELVETICA"/>
      <w:b/>
    </w:rPr>
  </w:style>
  <w:style w:type="paragraph" w:styleId="Heading5">
    <w:name w:val="heading 5"/>
    <w:basedOn w:val="Normal"/>
    <w:next w:val="sub4"/>
    <w:qFormat/>
    <w:pPr>
      <w:numPr>
        <w:ilvl w:val="4"/>
        <w:numId w:val="1"/>
      </w:numPr>
      <w:spacing w:before="120" w:after="120"/>
      <w:ind w:hanging="0" w:start="0" w:end="1440"/>
      <w:outlineLvl w:val="4"/>
    </w:pPr>
    <w:rPr>
      <w:rFonts w:ascii="HELVETICA" w:hAnsi="HELVETICA" w:cs="HELVETICA"/>
      <w:b/>
    </w:rPr>
  </w:style>
  <w:style w:type="paragraph" w:styleId="Heading6">
    <w:name w:val="heading 6"/>
    <w:basedOn w:val="Normal"/>
    <w:next w:val="sub5"/>
    <w:qFormat/>
    <w:pPr>
      <w:numPr>
        <w:ilvl w:val="5"/>
        <w:numId w:val="1"/>
      </w:numPr>
      <w:spacing w:before="120" w:after="120"/>
      <w:ind w:hanging="0" w:start="0" w:end="1440"/>
      <w:outlineLvl w:val="5"/>
    </w:pPr>
    <w:rPr>
      <w:rFonts w:ascii="HELVETICA" w:hAnsi="HELVETICA" w:cs="HELVETICA"/>
      <w:b/>
      <w:sz w:val="24"/>
    </w:rPr>
  </w:style>
  <w:style w:type="paragraph" w:styleId="Heading7">
    <w:name w:val="heading 7"/>
    <w:basedOn w:val="Normal"/>
    <w:next w:val="sub6"/>
    <w:qFormat/>
    <w:pPr>
      <w:numPr>
        <w:ilvl w:val="6"/>
        <w:numId w:val="1"/>
      </w:numPr>
      <w:spacing w:before="120" w:after="120"/>
      <w:ind w:hanging="0" w:start="0" w:end="1440"/>
      <w:outlineLvl w:val="6"/>
    </w:pPr>
    <w:rPr>
      <w:rFonts w:ascii="HELVETICA" w:hAnsi="HELVETICA" w:cs="HELVETICA"/>
      <w:b/>
      <w:i/>
      <w:sz w:val="22"/>
    </w:rPr>
  </w:style>
  <w:style w:type="paragraph" w:styleId="Heading8">
    <w:name w:val="heading 8"/>
    <w:basedOn w:val="Normal"/>
    <w:next w:val="sub7"/>
    <w:qFormat/>
    <w:pPr>
      <w:numPr>
        <w:ilvl w:val="7"/>
        <w:numId w:val="1"/>
      </w:numPr>
      <w:spacing w:before="120" w:after="120"/>
      <w:ind w:hanging="0" w:start="0" w:end="1440"/>
      <w:outlineLvl w:val="7"/>
    </w:pPr>
    <w:rPr>
      <w:rFonts w:ascii="HELVETICA" w:hAnsi="HELVETICA" w:cs="HELVETICA"/>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0" w:start="0" w:end="1440"/>
      <w:outlineLvl w:val="8"/>
    </w:pPr>
    <w:rPr>
      <w:rFonts w:ascii="Arial" w:hAnsi="Arial" w:cs="Arial"/>
      <w:b/>
      <w:i/>
      <w:sz w:val="18"/>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rPr>
  </w:style>
  <w:style w:type="character" w:styleId="WW8Num7z0">
    <w:name w:val="WW8Num7z0"/>
    <w:qFormat/>
    <w:rPr>
      <w:rFonts w:ascii="PALATINO" w:hAnsi="PALATINO" w:cs="PALATINO"/>
      <w:sz w:val="26"/>
    </w:rPr>
  </w:style>
  <w:style w:type="character" w:styleId="WW8Num8z0">
    <w:name w:val="WW8Num8z0"/>
    <w:qFormat/>
    <w:rPr/>
  </w:style>
  <w:style w:type="character" w:styleId="WW8Num10z0">
    <w:name w:val="WW8Num10z0"/>
    <w:qFormat/>
    <w:rPr/>
  </w:style>
  <w:style w:type="character" w:styleId="WW8Num12z0">
    <w:name w:val="WW8Num12z0"/>
    <w:qFormat/>
    <w:rPr>
      <w:rFonts w:ascii="Times New Roman" w:hAnsi="Times New Roman" w:cs="Times New Roman"/>
      <w:b w:val="false"/>
      <w:i w:val="false"/>
      <w:sz w:val="24"/>
      <w:u w:val="none"/>
    </w:rPr>
  </w:style>
  <w:style w:type="character" w:styleId="WW8Num13z0">
    <w:name w:val="WW8Num13z0"/>
    <w:qFormat/>
    <w:rPr>
      <w:rFonts w:ascii="PALATINO" w:hAnsi="PALATINO" w:cs="PALATINO"/>
      <w:b w:val="false"/>
      <w:i w:val="false"/>
      <w:sz w:val="26"/>
      <w:u w:val="none"/>
    </w:rPr>
  </w:style>
  <w:style w:type="character" w:styleId="WW8Num14z0">
    <w:name w:val="WW8Num14z0"/>
    <w:qFormat/>
    <w:rPr/>
  </w:style>
  <w:style w:type="character" w:styleId="WW8Num16z0">
    <w:name w:val="WW8Num16z0"/>
    <w:qFormat/>
    <w:rPr>
      <w:b w:val="false"/>
      <w:i w:val="false"/>
    </w:rPr>
  </w:style>
  <w:style w:type="character" w:styleId="WW8Num17z0">
    <w:name w:val="WW8Num17z0"/>
    <w:qFormat/>
    <w:rPr>
      <w:rFonts w:ascii="Times New Roman" w:hAnsi="Times New Roman" w:cs="Times New Roman"/>
      <w:b w:val="false"/>
      <w:i w:val="false"/>
      <w:sz w:val="24"/>
      <w:u w:val="none"/>
    </w:rPr>
  </w:style>
  <w:style w:type="character" w:styleId="WW8Num21z1">
    <w:name w:val="WW8Num21z1"/>
    <w:qFormat/>
    <w:rPr>
      <w:b/>
      <w:i w:val="false"/>
    </w:rPr>
  </w:style>
  <w:style w:type="character" w:styleId="WW8Num21z2">
    <w:name w:val="WW8Num21z2"/>
    <w:qFormat/>
    <w:rPr>
      <w:sz w:val="32"/>
    </w:rPr>
  </w:style>
  <w:style w:type="character" w:styleId="WW8Num25z0">
    <w:name w:val="WW8Num25z0"/>
    <w:qFormat/>
    <w:rPr>
      <w:rFonts w:ascii="PALATINO" w:hAnsi="PALATINO" w:cs="PALATINO"/>
      <w:b w:val="false"/>
      <w:i w:val="false"/>
      <w:sz w:val="24"/>
      <w:u w:val="none"/>
    </w:rPr>
  </w:style>
  <w:style w:type="character" w:styleId="WW8Num26z0">
    <w:name w:val="WW8Num26z0"/>
    <w:qFormat/>
    <w:rPr>
      <w:rFonts w:ascii="PALATINO" w:hAnsi="PALATINO" w:cs="PALATINO"/>
      <w:b w:val="false"/>
      <w:i w:val="false"/>
      <w:sz w:val="24"/>
      <w:u w:val="none"/>
    </w:rPr>
  </w:style>
  <w:style w:type="character" w:styleId="WW8Num28z0">
    <w:name w:val="WW8Num28z0"/>
    <w:qFormat/>
    <w:rPr>
      <w:rFonts w:ascii="Times New Roman" w:hAnsi="Times New Roman" w:cs="Times New Roman"/>
    </w:rPr>
  </w:style>
  <w:style w:type="character" w:styleId="WW8Num29z0">
    <w:name w:val="WW8Num29z0"/>
    <w:qFormat/>
    <w:rPr>
      <w:rFonts w:ascii="PALATINO" w:hAnsi="PALATINO" w:cs="PALATINO"/>
      <w:b w:val="false"/>
      <w:i w:val="false"/>
      <w:sz w:val="24"/>
      <w:u w:val="none"/>
    </w:rPr>
  </w:style>
  <w:style w:type="character" w:styleId="WW8Num30z0">
    <w:name w:val="WW8Num30z0"/>
    <w:qFormat/>
    <w:rPr>
      <w:rFonts w:ascii="PALATINO" w:hAnsi="PALATINO" w:cs="PALATINO"/>
      <w:b w:val="false"/>
      <w:i w:val="false"/>
      <w:sz w:val="26"/>
      <w:u w:val="none"/>
    </w:rPr>
  </w:style>
  <w:style w:type="character" w:styleId="WW8Num31z0">
    <w:name w:val="WW8Num31z0"/>
    <w:qFormat/>
    <w:rPr>
      <w:b/>
    </w:rPr>
  </w:style>
  <w:style w:type="character" w:styleId="WW8Num33z0">
    <w:name w:val="WW8Num33z0"/>
    <w:qFormat/>
    <w:rPr/>
  </w:style>
  <w:style w:type="character" w:styleId="WW8Num34z0">
    <w:name w:val="WW8Num34z0"/>
    <w:qFormat/>
    <w:rPr>
      <w:rFonts w:ascii="Times New Roman" w:hAnsi="Times New Roman" w:cs="Times New Roman"/>
    </w:rPr>
  </w:style>
  <w:style w:type="character" w:styleId="WW8Num35z0">
    <w:name w:val="WW8Num35z0"/>
    <w:qFormat/>
    <w:rPr>
      <w:rFonts w:ascii="Times New Roman" w:hAnsi="Times New Roman" w:cs="Times New Roman"/>
      <w:b w:val="false"/>
      <w:i w:val="false"/>
      <w:sz w:val="24"/>
      <w:u w:val="none"/>
    </w:rPr>
  </w:style>
  <w:style w:type="character" w:styleId="WW8Num36z0">
    <w:name w:val="WW8Num36z0"/>
    <w:qFormat/>
    <w:rPr/>
  </w:style>
  <w:style w:type="character" w:styleId="WW8Num37z1">
    <w:name w:val="WW8Num37z1"/>
    <w:qFormat/>
    <w:rPr>
      <w:b/>
      <w:i w:val="false"/>
    </w:rPr>
  </w:style>
  <w:style w:type="character" w:styleId="WW8Num38z0">
    <w:name w:val="WW8Num38z0"/>
    <w:qFormat/>
    <w:rPr>
      <w:rFonts w:ascii="Times New Roman" w:hAnsi="Times New Roman" w:cs="Times New Roman"/>
    </w:rPr>
  </w:style>
  <w:style w:type="character" w:styleId="WW8Num40z1">
    <w:name w:val="WW8Num40z1"/>
    <w:qFormat/>
    <w:rPr>
      <w:b/>
      <w:i w:val="false"/>
    </w:rPr>
  </w:style>
  <w:style w:type="character" w:styleId="WW8Num40z2">
    <w:name w:val="WW8Num40z2"/>
    <w:qFormat/>
    <w:rPr>
      <w:sz w:val="32"/>
    </w:rPr>
  </w:style>
  <w:style w:type="character" w:styleId="WW8Num43z0">
    <w:name w:val="WW8Num43z0"/>
    <w:qFormat/>
    <w:rPr>
      <w:rFonts w:ascii="PALATINO" w:hAnsi="PALATINO" w:cs="PALATINO"/>
      <w:b w:val="false"/>
      <w:i w:val="false"/>
      <w:sz w:val="26"/>
      <w:u w:val="none"/>
    </w:rPr>
  </w:style>
  <w:style w:type="character" w:styleId="WW8Num44z0">
    <w:name w:val="WW8Num44z0"/>
    <w:qFormat/>
    <w:rPr/>
  </w:style>
  <w:style w:type="character" w:styleId="WW8NumSt53z0">
    <w:name w:val="WW8NumSt53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sz w:val="26"/>
    </w:rPr>
  </w:style>
  <w:style w:type="paragraph" w:styleId="sub1">
    <w:name w:val="sub1"/>
    <w:basedOn w:val="Normal"/>
    <w:qFormat/>
    <w:pPr>
      <w:spacing w:lineRule="auto" w:line="360"/>
      <w:ind w:firstLine="1080" w:start="0" w:end="0"/>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sub8">
    <w:name w:val="sub8"/>
    <w:basedOn w:val="sub7"/>
    <w:qFormat/>
    <w:pPr>
      <w:ind w:firstLine="3787" w:start="0" w:end="0"/>
    </w:pPr>
    <w:rPr/>
  </w:style>
  <w:style w:type="paragraph" w:styleId="FootnoteText">
    <w:name w:val="footnote text"/>
    <w:basedOn w:val="Normal"/>
    <w:pPr>
      <w:spacing w:before="0" w:after="240"/>
    </w:pPr>
    <w:rPr>
      <w:sz w:val="24"/>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16"/>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3"/>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titlebar">
    <w:name w:val="title bar"/>
    <w:basedOn w:val="main"/>
    <w:qFormat/>
    <w:pPr>
      <w:keepNext w:val="true"/>
      <w:suppressAutoHyphens w:val="true"/>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right" w:pos="9360" w:leader="none"/>
      </w:tabs>
    </w:pPr>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lang w:val="en-CA"/>
    </w:rPr>
  </w:style>
  <w:style w:type="paragraph" w:styleId="TOC3">
    <w:name w:val="toc 3"/>
    <w:basedOn w:val="Normal"/>
    <w:next w:val="Normal"/>
    <w:pPr>
      <w:tabs>
        <w:tab w:val="clear" w:pos="720"/>
        <w:tab w:val="left" w:pos="1080" w:leader="none"/>
        <w:tab w:val="right" w:pos="9350" w:leader="dot"/>
      </w:tabs>
      <w:ind w:hanging="360" w:start="1080" w:end="0"/>
    </w:pPr>
    <w:rPr>
      <w:lang w:val="en-CA"/>
    </w:rPr>
  </w:style>
  <w:style w:type="paragraph" w:styleId="TOC5">
    <w:name w:val="toc 5"/>
    <w:basedOn w:val="Normal"/>
    <w:next w:val="Normal"/>
    <w:pPr>
      <w:tabs>
        <w:tab w:val="clear" w:pos="720"/>
        <w:tab w:val="left" w:pos="1800" w:leader="none"/>
        <w:tab w:val="right" w:pos="9350" w:leader="dot"/>
      </w:tabs>
      <w:ind w:hanging="360" w:start="1800" w:end="0"/>
    </w:pPr>
    <w:rPr>
      <w:lang w:val="en-CA"/>
    </w:rPr>
  </w:style>
  <w:style w:type="paragraph" w:styleId="TOC6">
    <w:name w:val="toc 6"/>
    <w:basedOn w:val="Normal"/>
    <w:next w:val="Normal"/>
    <w:pPr>
      <w:tabs>
        <w:tab w:val="clear" w:pos="720"/>
        <w:tab w:val="left" w:pos="2250" w:leader="none"/>
        <w:tab w:val="right" w:pos="9350" w:leader="dot"/>
      </w:tabs>
      <w:ind w:hanging="450" w:start="2250" w:end="0"/>
    </w:pPr>
    <w:rPr>
      <w:lang w:val="en-CA"/>
    </w:rPr>
  </w:style>
  <w:style w:type="paragraph" w:styleId="TOC7">
    <w:name w:val="toc 7"/>
    <w:basedOn w:val="Normal"/>
    <w:next w:val="Normal"/>
    <w:pPr>
      <w:tabs>
        <w:tab w:val="clear" w:pos="720"/>
        <w:tab w:val="left" w:pos="2700" w:leader="none"/>
        <w:tab w:val="right" w:pos="9350" w:leader="dot"/>
      </w:tabs>
      <w:ind w:hanging="450" w:start="2700" w:end="0"/>
    </w:pPr>
    <w:rPr>
      <w:lang w:val="en-CA"/>
    </w:rPr>
  </w:style>
  <w:style w:type="paragraph" w:styleId="TOC8">
    <w:name w:val="toc 8"/>
    <w:basedOn w:val="Normal"/>
    <w:next w:val="Normal"/>
    <w:pPr>
      <w:tabs>
        <w:tab w:val="clear" w:pos="720"/>
        <w:tab w:val="left" w:pos="3150" w:leader="none"/>
        <w:tab w:val="right" w:pos="9350" w:leader="dot"/>
      </w:tabs>
      <w:ind w:hanging="450" w:start="3150" w:end="0"/>
    </w:pPr>
    <w:rPr>
      <w:lang w:val="en-CA"/>
    </w:rPr>
  </w:style>
  <w:style w:type="paragraph" w:styleId="TOC9">
    <w:name w:val="toc 9"/>
    <w:basedOn w:val="Normal"/>
    <w:next w:val="Normal"/>
    <w:pPr>
      <w:tabs>
        <w:tab w:val="clear" w:pos="720"/>
        <w:tab w:val="left" w:pos="3600" w:leader="none"/>
        <w:tab w:val="right" w:pos="9350" w:leader="dot"/>
      </w:tabs>
      <w:ind w:hanging="450" w:start="3600" w:end="0"/>
    </w:pPr>
    <w:rPr>
      <w:lang w:val="en-CA"/>
    </w:rPr>
  </w:style>
  <w:style w:type="paragraph" w:styleId="DocumentMap">
    <w:name w:val="Document Map"/>
    <w:basedOn w:val="Normal"/>
    <w:qFormat/>
    <w:pPr>
      <w:shd w:fill="000080" w:val="clear"/>
    </w:pPr>
    <w:rPr>
      <w:rFonts w:ascii="Tahoma" w:hAnsi="Tahoma" w:cs="Tahoma"/>
    </w:rPr>
  </w:style>
  <w:style w:type="paragraph" w:styleId="Quote2">
    <w:name w:val="Quote2"/>
    <w:basedOn w:val="quote"/>
    <w:qFormat/>
    <w:pPr>
      <w:ind w:hanging="0" w:start="1440" w:end="1260"/>
    </w:pPr>
    <w:rPr/>
  </w:style>
  <w:style w:type="paragraph" w:styleId="1">
    <w:name w:val="(1)"/>
    <w:basedOn w:val="num1"/>
    <w:qFormat/>
    <w:pPr>
      <w:widowControl w:val="false"/>
      <w:numPr>
        <w:ilvl w:val="0"/>
        <w:numId w:val="6"/>
      </w:numPr>
      <w:tabs>
        <w:tab w:val="left" w:pos="-720" w:leader="none"/>
        <w:tab w:val="left" w:pos="1530" w:leader="none"/>
      </w:tabs>
      <w:spacing w:before="0" w:after="1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936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 I 7-24-00.dot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2001-03-26T15:36:00Z</dcterms:created>
  <dc:creator>Erlinda A. Pulmano</dc:creator>
  <dc:description/>
  <dc:language>en-CA</dc:language>
  <cp:lastModifiedBy>VDL</cp:lastModifiedBy>
  <cp:lastPrinted>2001-03-25T17:18:00Z</cp:lastPrinted>
  <dcterms:modified xsi:type="dcterms:W3CDTF">2001-03-26T15:36:00Z</dcterms:modified>
  <cp:revision>2</cp:revision>
  <dc:subject/>
  <dc:title>Decision 			</dc:title>
</cp:coreProperties>
</file>