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COM/LYN/t94  7/18/2001</w:t>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rPr>
      </w:pPr>
      <w:r>
        <w:rPr>
          <w:sz w:val="24"/>
        </w:rPr>
      </w:r>
    </w:p>
    <w:tbl>
      <w:tblPr>
        <w:tblW w:w="9245" w:type="dxa"/>
        <w:jc w:val="start"/>
        <w:tblInd w:w="108"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(U 338-E) for Authority to Institute a Rate Stabilization Plan with a Rate Increase and End of Rate Freeze Tariffs.</w:t>
            </w:r>
          </w:p>
          <w:p>
            <w:pPr>
              <w:pStyle w:val="Normal"/>
              <w:rPr/>
            </w:pPr>
            <w:r>
              <w:rPr/>
            </w:r>
          </w:p>
        </w:tc>
        <w:tc>
          <w:tcPr>
            <w:tcW w:w="3287"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00-11-038</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(U 39 E) to Adopt a Rate Stabilization Plan.</w:t>
            </w:r>
          </w:p>
          <w:p>
            <w:pPr>
              <w:pStyle w:val="Normal"/>
              <w:rPr/>
            </w:pPr>
            <w:r>
              <w:rPr/>
            </w:r>
          </w:p>
        </w:tc>
        <w:tc>
          <w:tcPr>
            <w:tcW w:w="3287"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00-11-056</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00-10-028</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rPr/>
      </w:pPr>
      <w:r>
        <w:rPr/>
      </w:r>
    </w:p>
    <w:p>
      <w:pPr>
        <w:pStyle w:val="main"/>
        <w:rPr/>
      </w:pPr>
      <w:r>
        <w:rPr/>
        <w:t xml:space="preserve">ASSIGNED COMMISSIONER’S RULING REGARDING </w:t>
      </w:r>
    </w:p>
    <w:p>
      <w:pPr>
        <w:pStyle w:val="main"/>
        <w:rPr/>
      </w:pPr>
      <w:r>
        <w:rPr/>
        <w:t>THE DRAFT RATE AGREEMENT BETWEEN THE COMMISSION</w:t>
      </w:r>
    </w:p>
    <w:p>
      <w:pPr>
        <w:pStyle w:val="main"/>
        <w:rPr/>
      </w:pPr>
      <w:r>
        <w:rPr/>
        <w:t>AND THE CALIFORNIA DEPARTMENT OF WATER RESOURCES</w:t>
      </w:r>
    </w:p>
    <w:p>
      <w:pPr>
        <w:pStyle w:val="Normal"/>
        <w:suppressAutoHyphens w:val="true"/>
        <w:rPr/>
      </w:pPr>
      <w:r>
        <w:rPr/>
      </w:r>
    </w:p>
    <w:p>
      <w:pPr>
        <w:pStyle w:val="standard"/>
        <w:rPr/>
      </w:pPr>
      <w:r>
        <w:rPr/>
        <w:t>This ruling seeks comment on a draft Rate Agreement between the California Department of Water Resources (Department) and the Public Utilities Commission (Commission).  The Rate Agreement is appended to this ruling as Attachment A.  This draft Rate Agreement may constitute the agreement between the Department and the Commission as provided for in § 80110 and § 80130 of the Water Code.</w:t>
      </w:r>
      <w:r>
        <w:rPr>
          <w:rStyle w:val="FootnoteReference"/>
          <w:position w:val="6"/>
          <w:sz w:val="16"/>
        </w:rPr>
        <w:footnoteReference w:id="2"/>
      </w:r>
      <w:r>
        <w:rPr/>
        <w:t xml:space="preserve">  Once the Rate Agreement is executed, it will have the effect of an irrevocable financing order. </w:t>
      </w:r>
    </w:p>
    <w:p>
      <w:pPr>
        <w:pStyle w:val="standard"/>
        <w:rPr/>
      </w:pPr>
      <w:r>
        <w:rPr/>
        <w:t>As drafted, the Rate Agreement is designed both to “establish a mechanism to ensure that the bonds will be sold at investment grade ratings and repaid on a timely basis” (Water Code, § 80130), and to support the power purchase program of the Department.  It is anticipated that the sale of the bonds will allow the Department to repay the General Fund of the State for monies that have been expended on power purchases.</w:t>
      </w:r>
    </w:p>
    <w:p>
      <w:pPr>
        <w:pStyle w:val="standard"/>
        <w:spacing w:before="0" w:after="120"/>
        <w:rPr/>
      </w:pPr>
      <w:r>
        <w:rPr/>
        <w:t xml:space="preserve">A copy of the draft Rate Agreement is attached to this ruling as Attachment A.  This draft Rate Agreement contains a mechanism that will provide for the payment of revenue to the Department in order to satisfy the revenue requirements delivered to the Commission from time to time.  Several notable elements of the agreement are: </w:t>
      </w:r>
    </w:p>
    <w:p>
      <w:pPr>
        <w:pStyle w:val="standard"/>
        <w:numPr>
          <w:ilvl w:val="0"/>
          <w:numId w:val="3"/>
        </w:numPr>
        <w:spacing w:lineRule="atLeast" w:line="240" w:before="240" w:after="120"/>
        <w:ind w:hanging="360" w:start="1440" w:end="0"/>
        <w:rPr/>
      </w:pPr>
      <w:r>
        <w:rPr/>
        <w:t>A “Rate Covenant,” contained in Article V, under which the Commission would make an enforceable promise to meet the Department’s revenue requirement.</w:t>
      </w:r>
    </w:p>
    <w:p>
      <w:pPr>
        <w:pStyle w:val="standard"/>
        <w:numPr>
          <w:ilvl w:val="0"/>
          <w:numId w:val="3"/>
        </w:numPr>
        <w:spacing w:lineRule="atLeast" w:line="240" w:before="240" w:after="120"/>
        <w:ind w:hanging="360" w:start="1440" w:end="0"/>
        <w:rPr/>
      </w:pPr>
      <w:r>
        <w:rPr/>
        <w:t xml:space="preserve">Two specific mechanisms requiring the Commission to comply with the Rate Covenant by establishing rates that meet the Department’s revenue requirements in either 30 or 90 days.  The 30-day mechanism is triggered by the events listed on Exhibit A of the Rate Agreement. </w:t>
      </w:r>
    </w:p>
    <w:p>
      <w:pPr>
        <w:pStyle w:val="standard"/>
        <w:numPr>
          <w:ilvl w:val="0"/>
          <w:numId w:val="3"/>
        </w:numPr>
        <w:spacing w:lineRule="atLeast" w:line="240" w:before="240" w:after="120"/>
        <w:ind w:hanging="360" w:start="1440" w:end="0"/>
        <w:rPr/>
      </w:pPr>
      <w:r>
        <w:rPr/>
        <w:t xml:space="preserve">The definition of the Department’s “Retail Revenue Requirements,” in Article I, to include both Bond Related Costs and 13 enumerated elements of the Department’s operating expenses, relating, among other things, to the Department’s power purchase program, load curtailment programs and operating costs. </w:t>
      </w:r>
    </w:p>
    <w:p>
      <w:pPr>
        <w:pStyle w:val="standard"/>
        <w:numPr>
          <w:ilvl w:val="0"/>
          <w:numId w:val="3"/>
        </w:numPr>
        <w:spacing w:lineRule="atLeast" w:line="240" w:before="240" w:after="120"/>
        <w:ind w:hanging="360" w:start="1440" w:end="0"/>
        <w:rPr/>
      </w:pPr>
      <w:r>
        <w:rPr/>
        <w:t>Enforcement provisions in Article VI that allow a “Trustee” to assume the rights of the Department under the Rate Agreement under certain specified conditions.  The draft Rate Agreement allows the Department, or the Trustee, if necessary, to take legal action to compel the Commission to meet its obligations.</w:t>
      </w:r>
    </w:p>
    <w:p>
      <w:pPr>
        <w:pStyle w:val="standard"/>
        <w:numPr>
          <w:ilvl w:val="0"/>
          <w:numId w:val="3"/>
        </w:numPr>
        <w:spacing w:lineRule="atLeast" w:line="240" w:before="240" w:after="120"/>
        <w:ind w:hanging="360" w:start="1440" w:end="0"/>
        <w:rPr/>
      </w:pPr>
      <w:r>
        <w:rPr/>
        <w:t>Termination provisions, in Article VII, that provide the Rate Agreement will terminate at the end of the bond transaction.  The definition of “Bonds” and “Financing Documents” in Article I indicate the scope of the transaction.</w:t>
      </w:r>
      <w:r>
        <w:rPr>
          <w:rStyle w:val="FootnoteReference"/>
          <w:position w:val="6"/>
          <w:sz w:val="16"/>
        </w:rPr>
        <w:footnoteReference w:id="3"/>
      </w:r>
      <w:r>
        <w:rPr/>
        <w:t xml:space="preserve">  Since an interim loan has been made, the Rate Agreement will go into effect even if no long-term bonds are issued.  Further termination language provides that the Department will consider altering its programs if certain events occur so that the Rate Agreement does not become, in and of itself, an obstacle to changes in the Department’s program or its financing transactions. </w:t>
      </w:r>
    </w:p>
    <w:p>
      <w:pPr>
        <w:pStyle w:val="standard"/>
        <w:rPr/>
      </w:pPr>
      <w:r>
        <w:rPr/>
        <w:t>Parties are asked to comment on these and the other provisions of the Rate Agreement.  Because the Commission has discussed the contents of the Rate Agreement with the Department and is fully aware of the Rate Agreement’s content and structure, parties need not summarize or describe the Rate Agreement in their comments.  Parties are requested to evaluate the effects of the Rate Agreement and to indicate what they believe the consequences of the adoption of the Rate Agreement would be.</w:t>
      </w:r>
    </w:p>
    <w:p>
      <w:pPr>
        <w:pStyle w:val="standard"/>
        <w:rPr/>
      </w:pPr>
      <w:r>
        <w:rPr/>
        <w:t>A copy of a memorandum outlining the time-frame in which Commission action must occur if the Department is to sell bonds on schedule is attached as Attachment C.  Under this timetable, the Commission must be in a position to consider the adoption of a Rate Agreement by the middle of August.  In order to meet this schedule, and to allow parties adequate time to comment on the draft Rate Agreement prior to the publication of the proposed decision, parties must file and serve their comments on the draft Rate Agreement no later than August 1, 2001.  When the proposed decision is mailed, it will indicate the time that parties will have to comment on the proposed decision.</w:t>
      </w:r>
    </w:p>
    <w:p>
      <w:pPr>
        <w:pStyle w:val="standard"/>
        <w:rPr/>
      </w:pPr>
      <w:r>
        <w:rPr/>
        <w:t xml:space="preserve">Due to the compressed comment schedule, parties should serve their comments via e-mail, in accordance with the protocols previously established in this proceeding.  Parties shall also serve the Chief ALJ, Lynn Carew, by e-mail at </w:t>
      </w:r>
      <w:r>
        <w:rPr>
          <w:rStyle w:val="Hyperlink"/>
          <w:sz w:val="26"/>
          <w:u w:val="none"/>
        </w:rPr>
        <w:t>ltc@cpuc.ca.gov</w:t>
      </w:r>
      <w:r>
        <w:rPr/>
        <w:t xml:space="preserve"> and Geoffrey Dryvynsyde at gbd@cpuc.ca.gov.  Hard copies of all comments must be filed with the Commission’s Docket Office as provided for in the Commission’s Rules of Practice and Procedure.</w:t>
      </w:r>
    </w:p>
    <w:p>
      <w:pPr>
        <w:pStyle w:val="standard"/>
        <w:rPr/>
      </w:pPr>
      <w:r>
        <w:rPr/>
        <w:t>The Commission will also consider submissions from non-parties who have a direct interest in the Rate Agreement.  For example, as the Department will rely on the Rate Agreement as the issuer of bonds, it would be appropriate to include in the record of this proceeding the Department’s views.  Letters from non-parties received by the Chief ALJ and the Assigned Commissioner on or before August 1, that have also been transmitted to the service list of this proceeding following the protocols in the preceding paragraph will be entered into the formal record of this proceeding.</w:t>
      </w:r>
    </w:p>
    <w:p>
      <w:pPr>
        <w:pStyle w:val="standard"/>
        <w:keepNext w:val="true"/>
        <w:rPr/>
      </w:pPr>
      <w:r>
        <w:rPr>
          <w:b/>
        </w:rPr>
        <w:t>IT IS RULED</w:t>
      </w:r>
      <w:r>
        <w:rPr/>
        <w:t xml:space="preserve"> that:</w:t>
      </w:r>
    </w:p>
    <w:p>
      <w:pPr>
        <w:pStyle w:val="num1"/>
        <w:numPr>
          <w:ilvl w:val="0"/>
          <w:numId w:val="2"/>
        </w:numPr>
        <w:rPr/>
      </w:pPr>
      <w:r>
        <w:rPr/>
        <w:t>Parties may file and serve comments by August 1, 2001, regarding the draft Rate Agreement attached to this ruling.</w:t>
      </w:r>
    </w:p>
    <w:p>
      <w:pPr>
        <w:pStyle w:val="num1"/>
        <w:numPr>
          <w:ilvl w:val="0"/>
          <w:numId w:val="2"/>
        </w:numPr>
        <w:rPr/>
      </w:pPr>
      <w:r>
        <w:rPr/>
        <w:t>Non-parties with a direct interest in the Rate Agreement may transmit letters containing their views to the Chief ALJ and the Assigned Commissioner, with copies transmitted to the service list of this proceeding, by August 1, 2001.  Those letters shall be entered into the record of this proceeding.</w:t>
      </w:r>
    </w:p>
    <w:p>
      <w:pPr>
        <w:pStyle w:val="standard"/>
        <w:rPr/>
      </w:pPr>
      <w:r>
        <w:rPr/>
        <w:t>Dated July 18, 2001,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jc w:val="center"/>
              <w:rPr/>
            </w:pPr>
            <w:r>
              <w:rPr/>
              <w:t>/s/  LORETTA M. LYNCH</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Assigned Commissioner</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296"/>
          <w:pgNumType w:fmt="decimal"/>
          <w:formProt w:val="false"/>
          <w:titlePg/>
          <w:textDirection w:val="lrTb"/>
          <w:docGrid w:type="default" w:linePitch="360" w:charSpace="0"/>
        </w:sectPr>
        <w:pStyle w:val="main"/>
        <w:rPr/>
      </w:pPr>
      <w:r>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t>Please See Formal Files for ATTACHMENT A.</w:t>
      </w:r>
    </w:p>
    <w:p>
      <w:pPr>
        <w:pStyle w:val="standard"/>
        <w:jc w:val="center"/>
        <w:rPr>
          <w:b/>
        </w:rPr>
      </w:pPr>
      <w:r>
        <w:rPr>
          <w:b/>
        </w:rPr>
      </w:r>
    </w:p>
    <w:p>
      <w:pPr>
        <w:pStyle w:val="standard"/>
        <w:jc w:val="center"/>
        <w:rPr>
          <w:b/>
        </w:rPr>
      </w:pPr>
      <w:r>
        <w:rPr>
          <w:b/>
        </w:rPr>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pStyle w:val="standard"/>
        <w:jc w:val="center"/>
        <w:rPr/>
      </w:pPr>
      <w:r>
        <w:rPr/>
      </w:r>
    </w:p>
    <w:p>
      <w:pPr>
        <w:pStyle w:val="standard"/>
        <w:jc w:val="center"/>
        <w:rPr>
          <w:b/>
        </w:rPr>
      </w:pPr>
      <w:r>
        <w:rPr>
          <w:b/>
        </w:rPr>
        <w:t>ATTACHMENT B</w:t>
      </w:r>
    </w:p>
    <w:p>
      <w:pPr>
        <w:pStyle w:val="standard"/>
        <w:rPr>
          <w:b/>
        </w:rPr>
      </w:pPr>
      <w:r>
        <w:rPr>
          <w:b/>
        </w:rPr>
      </w:r>
    </w:p>
    <w:p>
      <w:pPr>
        <w:pStyle w:val="standard"/>
        <w:rPr/>
      </w:pPr>
      <w:r>
        <w:rPr>
          <w:u w:val="single"/>
        </w:rPr>
        <w:t>Water Code Section 80110  (Emphasis Added):</w:t>
      </w:r>
      <w:r>
        <w:rPr/>
        <w:t xml:space="preserve"> The department shall retain title to all power sold by it to the retail end use customers.  The department shall be entitled to recover, as a revenue requirement, amounts and at the times necessary to enable it to comply with Section 80134, and shall advise the commission as the department determines to be appropriate.  Such revenue requirements may also include any advances made to the department hereunder or hereafter for purposes of this division, or from the Department of Water Resources Electric Power Fund, and General Fund moneys expended by the department pursuant to the Governor’s Emergency Proclamation dated January 17, 2001.  For purposes of this division and except as otherwise provided in this section, the Public Utility Commission’s authority as set forth in Section 451 of the Public Utilities Code shall apply, except any just and reasonable review under Section 451 shall be conducted and determined by the department.  </w:t>
      </w:r>
      <w:r>
        <w:rPr>
          <w:i/>
        </w:rPr>
        <w:t xml:space="preserve">The commission may enter into an agreement with the department with respect to charges under Section 451 for purposes of this division, and that agreement shall have the force and effect of a financing order adopted in accordance with Article 5.5 (commencing with Section 840) of Chapter 4 of Part 1 of Division 1 of the Public Utilities Code, as determined by the commission.  </w:t>
      </w:r>
      <w:r>
        <w:rPr/>
        <w:t>In no case shall the commission increase the electricity charges in effect on the date that the act that adds this section becomes effective for residential customers for existing baseline quantities or usage by those customers of up to 130 percent of existing baseline quantities, until such time as the department has recovered the costs of power it has procured for the electrical corporation’s retail end use customers as provided in this division.  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no longer supplies power hereunder.  The department shall have the same rights with respect to the payment by retail end use customers for power sold by the department as do providers of power to such customers.  (Emphasis added.)</w:t>
      </w:r>
    </w:p>
    <w:p>
      <w:pPr>
        <w:pStyle w:val="standard"/>
        <w:rPr/>
      </w:pPr>
      <w:r>
        <w:rPr>
          <w:u w:val="single"/>
        </w:rPr>
        <w:t>Water Code Section 80130(Emphasis Added):</w:t>
      </w:r>
      <w:r>
        <w:rPr/>
        <w:t xml:space="preserve">  The department may incur indebtedness and issue bonds as evidence thereof, provided that bonds may not be issued in an amount the debt service on which, to the extent payable from the fund, is expected by the department to exceed the amounts expected to be available in the fund for their payment.  In no event shall the department authorize the issuance of bonds (excluding notes issued in anticipation of the issuance of bonds and retired from the proceeds of those bonds) in an aggregate amount greater than the amount calculated by multiplying by a factor of four the annual revenues generated by the California Procurement Adjustment, as determined by the commission pursuant to Section 360.5.  </w:t>
      </w:r>
      <w:r>
        <w:rPr>
          <w:i/>
        </w:rPr>
        <w:t>In addition, before the issuance of bonds, the department shall establish a mechanism to ensure that the bonds will be sold at investment grade ratings and repaid on a timely basis from pledged revenues.  This mechanism may include, but is not limited to, an agreement between the department and the commission as described in Section 80110</w:t>
      </w:r>
      <w:r>
        <w:rPr/>
        <w:t xml:space="preserve">. </w:t>
      </w:r>
    </w:p>
    <w:p>
      <w:pPr>
        <w:pStyle w:val="standard"/>
        <w:rPr/>
      </w:pPr>
      <w:r>
        <w:rPr/>
      </w:r>
    </w:p>
    <w:p>
      <w:pPr>
        <w:pStyle w:val="standard"/>
        <w:jc w:val="center"/>
        <w:rPr>
          <w:b/>
        </w:rPr>
      </w:pPr>
      <w:r>
        <w:rPr>
          <w:b/>
        </w:rPr>
        <w:t>(END OF ATTACHMENT B)</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lowerRoman"/>
          <w:formProt w:val="false"/>
          <w:titlePg/>
          <w:textDirection w:val="lrTb"/>
          <w:docGrid w:type="default" w:linePitch="360" w:charSpace="0"/>
        </w:sectPr>
        <w:pStyle w:val="standard"/>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r>
    </w:p>
    <w:p>
      <w:pPr>
        <w:pStyle w:val="standard"/>
        <w:jc w:val="center"/>
        <w:rPr>
          <w:b/>
        </w:rPr>
      </w:pPr>
      <w:r>
        <w:rPr>
          <w:b/>
        </w:rPr>
        <w:t>Please See Formal Files for ATTACHMENT C.</w:t>
      </w:r>
    </w:p>
    <w:p>
      <w:pPr>
        <w:pStyle w:val="standard"/>
        <w:jc w:val="center"/>
        <w:rPr>
          <w:b/>
        </w:rPr>
      </w:pPr>
      <w:r>
        <w:rPr>
          <w:b/>
        </w:rPr>
      </w:r>
    </w:p>
    <w:p>
      <w:pPr>
        <w:pStyle w:val="standard"/>
        <w:jc w:val="center"/>
        <w:rPr>
          <w:b/>
        </w:rPr>
      </w:pPr>
      <w:r>
        <w:rPr>
          <w:b/>
        </w:rPr>
      </w:r>
    </w:p>
    <w:p>
      <w:pPr>
        <w:pStyle w:val="standard"/>
        <w:rPr>
          <w:b/>
        </w:rPr>
      </w:pPr>
      <w:r>
        <w:rPr>
          <w:b/>
        </w:rPr>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lowerRoman"/>
          <w:formProt w:val="false"/>
          <w:titlePg/>
          <w:textDirection w:val="lrTb"/>
          <w:docGrid w:type="default" w:linePitch="360" w:charSpace="0"/>
        </w:sectPr>
        <w:pStyle w:val="standard"/>
        <w:rPr/>
      </w:pPr>
      <w:r>
        <w:rPr/>
      </w: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and by electronic mail, to the parties to which an electronic mail address has been provided, this day served a true copy of the original attached Assigned Commissioner’s Ruling Regarding the Draft Rate Agreement Between the Commission and the California Department of Water Resources on all parties of record in this proceeding or their attorneys of record.</w:t>
      </w:r>
    </w:p>
    <w:p>
      <w:pPr>
        <w:pStyle w:val="standard"/>
        <w:rPr/>
      </w:pPr>
      <w:r>
        <w:rPr/>
        <w:t>Dated July 18,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jc w:val="center"/>
              <w:rPr/>
            </w:pPr>
            <w:r>
              <w:rPr/>
              <w:t>/s/  KE HUANG</w:t>
            </w:r>
          </w:p>
        </w:tc>
      </w:tr>
      <w:tr>
        <w:trPr/>
        <w:tc>
          <w:tcPr>
            <w:tcW w:w="3420" w:type="dxa"/>
            <w:tcBorders/>
          </w:tcPr>
          <w:p>
            <w:pPr>
              <w:pStyle w:val="Normal"/>
              <w:jc w:val="center"/>
              <w:rPr/>
            </w:pPr>
            <w:r>
              <w:rPr/>
              <w:t>Ke Huang</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p>
      <w:pPr>
        <w:pStyle w:val="Normal"/>
        <w:tabs>
          <w:tab w:val="clear" w:pos="720"/>
          <w:tab w:val="left" w:pos="0" w:leader="none"/>
        </w:tabs>
        <w:ind w:start="1440" w:end="1440"/>
        <w:rPr/>
      </w:pPr>
      <w:r>
        <w:rPr/>
        <w:t>* * * * * * * * * * * * * * * * * * * * * * * * * * * * * * * * * * * * * * *</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TTY 1-866-836-7825 or (415) 703-5282 at least three working days in advance of the event.</w:t>
      </w:r>
    </w:p>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102113</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r>
      <w:rPr>
        <w:rStyle w:val="PageNumbe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130" w:start="130" w:end="0"/>
        <w:rPr/>
      </w:pPr>
      <w:r>
        <w:rPr>
          <w:rStyle w:val="FootnoteCharacters"/>
        </w:rPr>
        <w:footnoteRef/>
      </w:r>
      <w:r>
        <w:rPr/>
        <w:t xml:space="preserve">  </w:t>
      </w:r>
      <w:r>
        <w:rPr>
          <w:sz w:val="22"/>
        </w:rPr>
        <w:t xml:space="preserve">California Water Code § 80110 and § 80130 were enacted as part of Assembly Bill No. </w:t>
      </w:r>
      <w:r>
        <w:rPr>
          <w:rStyle w:val="term1"/>
          <w:b w:val="false"/>
          <w:sz w:val="22"/>
        </w:rPr>
        <w:t>1</w:t>
      </w:r>
      <w:r>
        <w:rPr>
          <w:sz w:val="22"/>
        </w:rPr>
        <w:t xml:space="preserve"> from the First Extraordinary Session (Ch. 4, First Extraordinary Session 2001).   The full text of these code sections is provided in Attachment B. </w:t>
      </w:r>
    </w:p>
  </w:footnote>
  <w:footnote w:id="3">
    <w:p>
      <w:pPr>
        <w:pStyle w:val="Normal"/>
        <w:rPr/>
      </w:pPr>
      <w:r>
        <w:rPr>
          <w:rStyle w:val="FootnoteCharacters"/>
        </w:rPr>
        <w:footnoteRef/>
      </w:r>
      <w:r>
        <w:rPr/>
        <w:t xml:space="preserve">  </w:t>
      </w:r>
      <w:r>
        <w:rPr>
          <w:sz w:val="22"/>
        </w:rPr>
        <w:t>The documents supporting this transaction are currently being prepared.  The Commission has not received copies of these documents except for an early draft of the Indenture.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COM/LYN/t94</w:t>
    </w:r>
  </w:p>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COM/LYN/t94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COM/LYN/t94</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COM/LYN/t94</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COM/LYN/t94</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COM/LYN/t94</w:t>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COM/LYN/t94</w:t>
    </w:r>
  </w:p>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COM/LYN/t94</w:t>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COM/LYN/t94</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numFmt w:val="bullet"/>
      <w:lvlText w:val="•"/>
      <w:lvlJc w:val="start"/>
      <w:pPr>
        <w:tabs>
          <w:tab w:val="num" w:pos="0"/>
        </w:tabs>
        <w:ind w:start="0" w:hanging="0"/>
      </w:pPr>
      <w:rPr>
        <w:rFonts w:ascii="Palatino" w:hAnsi="Palatino" w:cs="Palatino" w:hint="default"/>
        <w:sz w:val="26"/>
      </w:r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St28z0">
    <w:name w:val="WW8NumSt28z0"/>
    <w:qFormat/>
    <w:rPr>
      <w:rFonts w:ascii="Palatino" w:hAnsi="Palatino" w:cs="Palatino"/>
      <w:sz w:val="26"/>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term1">
    <w:name w:val="term1"/>
    <w:basedOn w:val="DefaultParagraphFont"/>
    <w:qFormat/>
    <w:rPr>
      <w:b/>
      <w:color w:val="000000"/>
      <w:sz w:val="20"/>
      <w:lang w:val="en-US"/>
    </w:rPr>
  </w:style>
  <w:style w:type="character" w:styleId="Hyperlink">
    <w:name w:val="Hyperlink"/>
    <w:basedOn w:val="DefaultParagraphFont"/>
    <w:rPr>
      <w:color w:val="0000FF"/>
      <w:sz w:val="20"/>
      <w:u w:val="single"/>
      <w:lang w:val="en-U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2001-07-18T14:38:00Z</dcterms:created>
  <dc:creator>T94</dc:creator>
  <dc:description/>
  <dc:language>en-CA</dc:language>
  <cp:lastModifiedBy>John S. Wong</cp:lastModifiedBy>
  <cp:lastPrinted>2001-07-13T09:44:00Z</cp:lastPrinted>
  <dcterms:modified xsi:type="dcterms:W3CDTF">2001-07-18T14:38:00Z</dcterms:modified>
  <cp:revision>2</cp:revision>
  <dc:subject/>
  <dc:title>BEFORE THE PUBLIC UTILITIES COMMISSION OF THE STATE OF CALIFORNIA</dc:title>
</cp:coreProperties>
</file>