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 xml:space="preserve">BEFORE THE PUBLIC UTILITIES COMMISSION </w:t>
        <w:br/>
        <w:t xml:space="preserve">OF THE STATE OF CALIFORNIA </w:t>
      </w:r>
    </w:p>
    <w:p>
      <w:pPr>
        <w:pStyle w:val="Heading"/>
        <w:spacing w:lineRule="auto" w:line="240"/>
        <w:rPr>
          <w:sz w:val="22"/>
        </w:rPr>
      </w:pPr>
      <w:r>
        <w:rPr>
          <w:sz w:val="22"/>
        </w:rPr>
      </w:r>
    </w:p>
    <w:p>
      <w:pPr>
        <w:pStyle w:val="Heading"/>
        <w:spacing w:lineRule="auto" w:line="240"/>
        <w:rPr/>
      </w:pPr>
      <w:r>
        <w:rPr/>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widowControl/>
              <w:rPr>
                <w:rFonts w:ascii="Times New Roman" w:hAnsi="Times New Roman" w:cs="Times New Roman"/>
              </w:rPr>
            </w:pPr>
            <w:r>
              <w:rPr>
                <w:rFonts w:cs="Times New Roman" w:ascii="Times New Roman" w:hAnsi="Times New Roman"/>
              </w:rPr>
              <w:t>Application of San Diego Gas &amp; Electric Company (U 902-M) for Authority to Implement a Distribution Performance-Based Ratemaking Mechanism.</w:t>
            </w:r>
          </w:p>
        </w:tc>
        <w:tc>
          <w:tcPr>
            <w:tcW w:w="378" w:type="dxa"/>
            <w:tcBorders/>
          </w:tcPr>
          <w:p>
            <w:pPr>
              <w:pStyle w:val="Normal"/>
              <w:spacing w:lineRule="atLeast" w:line="240"/>
              <w:ind w:end="72"/>
              <w:rPr>
                <w:sz w:val="24"/>
              </w:rPr>
            </w:pPr>
            <w:r>
              <w:rPr>
                <w:sz w:val="24"/>
              </w:rPr>
              <w:t>))))</w:t>
            </w:r>
          </w:p>
        </w:tc>
        <w:tc>
          <w:tcPr>
            <w:tcW w:w="4320" w:type="dxa"/>
            <w:tcBorders/>
          </w:tcPr>
          <w:p>
            <w:pPr>
              <w:pStyle w:val="zAppNo"/>
              <w:widowControl/>
              <w:tabs>
                <w:tab w:val="clear" w:pos="720"/>
                <w:tab w:val="left" w:pos="342" w:leader="none"/>
              </w:tabs>
              <w:spacing w:before="240" w:after="0"/>
              <w:jc w:val="start"/>
              <w:rPr>
                <w:rFonts w:ascii="Times New Roman" w:hAnsi="Times New Roman" w:cs="Times New Roman"/>
              </w:rPr>
            </w:pPr>
            <w:r>
              <w:rPr>
                <w:rFonts w:cs="Times New Roman" w:ascii="Times New Roman" w:hAnsi="Times New Roman"/>
              </w:rPr>
              <w:tab/>
              <w:t>A.98-01-014</w:t>
            </w:r>
          </w:p>
          <w:p>
            <w:pPr>
              <w:pStyle w:val="zAppNo"/>
              <w:widowControl/>
              <w:jc w:val="start"/>
              <w:rPr>
                <w:rFonts w:ascii="Times New Roman" w:hAnsi="Times New Roman" w:cs="Times New Roman"/>
              </w:rPr>
            </w:pPr>
            <w:r>
              <w:rPr>
                <w:rFonts w:cs="Times New Roman" w:ascii="Times New Roman" w:hAnsi="Times New Roman"/>
              </w:rPr>
            </w:r>
          </w:p>
        </w:tc>
      </w:tr>
    </w:tbl>
    <w:p>
      <w:pPr>
        <w:pStyle w:val="Normal"/>
        <w:rPr>
          <w:sz w:val="24"/>
        </w:rPr>
      </w:pPr>
      <w:r>
        <w:rPr>
          <w:sz w:val="24"/>
        </w:rPr>
        <w:t xml:space="preserve">In the Matter of the Application of   </w:t>
        <w:tab/>
        <w:tab/>
        <w:tab/>
        <w:t>)</w:t>
      </w:r>
    </w:p>
    <w:p>
      <w:pPr>
        <w:pStyle w:val="Normal"/>
        <w:tabs>
          <w:tab w:val="clear" w:pos="720"/>
          <w:tab w:val="left" w:pos="5040" w:leader="none"/>
          <w:tab w:val="left" w:pos="5760" w:leader="none"/>
        </w:tabs>
        <w:rPr>
          <w:sz w:val="24"/>
        </w:rPr>
      </w:pPr>
      <w:r>
        <w:rPr>
          <w:sz w:val="24"/>
        </w:rPr>
        <w:t>SOUTHERN CALIFORNIA GAS COMPANY</w:t>
        <w:tab/>
        <w:t>)</w:t>
      </w:r>
    </w:p>
    <w:p>
      <w:pPr>
        <w:pStyle w:val="Normal"/>
        <w:rPr>
          <w:sz w:val="24"/>
        </w:rPr>
      </w:pPr>
      <w:r>
        <w:rPr>
          <w:sz w:val="24"/>
        </w:rPr>
        <w:t xml:space="preserve">To Adopt Performance Based Regulation </w:t>
        <w:tab/>
        <w:tab/>
        <w:t>)</w:t>
        <w:tab/>
        <w:t>A.95-06-002</w:t>
      </w:r>
    </w:p>
    <w:p>
      <w:pPr>
        <w:pStyle w:val="Normal"/>
        <w:rPr>
          <w:sz w:val="24"/>
        </w:rPr>
      </w:pPr>
      <w:r>
        <w:rPr>
          <w:sz w:val="24"/>
        </w:rPr>
        <w:t xml:space="preserve">(“PBR”) for Base Rates to be Effective </w:t>
        <w:tab/>
        <w:tab/>
        <w:t>)</w:t>
      </w:r>
    </w:p>
    <w:p>
      <w:pPr>
        <w:pStyle w:val="Normal"/>
        <w:rPr>
          <w:sz w:val="24"/>
        </w:rPr>
      </w:pPr>
      <w:r>
        <w:rPr>
          <w:sz w:val="24"/>
        </w:rPr>
        <w:t>January 1, 1997.</w:t>
        <w:tab/>
        <w:tab/>
        <w:tab/>
        <w:tab/>
        <w:tab/>
        <w:t>)</w:t>
      </w:r>
    </w:p>
    <w:p>
      <w:pPr>
        <w:pStyle w:val="Normal"/>
        <w:rPr>
          <w:sz w:val="24"/>
        </w:rPr>
      </w:pPr>
      <w:r>
        <w:rPr>
          <w:sz w:val="24"/>
        </w:rPr>
        <w:t>__________________________________________)</w:t>
        <w:br/>
        <w:t>Joint Application of Pacific Enterprises, Enova</w:t>
        <w:tab/>
        <w:t>)</w:t>
        <w:br/>
        <w:t xml:space="preserve">Corporation, Mineral Energy Company, B Mineral </w:t>
        <w:tab/>
        <w:t>)</w:t>
      </w:r>
    </w:p>
    <w:p>
      <w:pPr>
        <w:pStyle w:val="Normal"/>
        <w:rPr>
          <w:sz w:val="24"/>
        </w:rPr>
      </w:pPr>
      <w:r>
        <w:rPr>
          <w:sz w:val="24"/>
        </w:rPr>
        <w:t xml:space="preserve">Energy Sub and G Mineral Energy Sub for </w:t>
        <w:tab/>
        <w:tab/>
        <w:t>)</w:t>
      </w:r>
    </w:p>
    <w:p>
      <w:pPr>
        <w:pStyle w:val="Normal"/>
        <w:rPr>
          <w:sz w:val="24"/>
        </w:rPr>
      </w:pPr>
      <w:r>
        <w:rPr>
          <w:sz w:val="24"/>
        </w:rPr>
        <w:t>Approval of a Plan of Merger of Pacific Enterprises )</w:t>
      </w:r>
    </w:p>
    <w:p>
      <w:pPr>
        <w:pStyle w:val="Normal"/>
        <w:rPr>
          <w:sz w:val="24"/>
        </w:rPr>
      </w:pPr>
      <w:r>
        <w:rPr>
          <w:sz w:val="24"/>
        </w:rPr>
        <w:t xml:space="preserve">and Enova Corporation With and Into B Energy </w:t>
        <w:tab/>
        <w:t>)</w:t>
        <w:tab/>
        <w:t>A.96-10-038</w:t>
      </w:r>
    </w:p>
    <w:p>
      <w:pPr>
        <w:pStyle w:val="Normal"/>
        <w:rPr>
          <w:sz w:val="24"/>
        </w:rPr>
      </w:pPr>
      <w:r>
        <w:rPr>
          <w:sz w:val="24"/>
        </w:rPr>
        <w:t xml:space="preserve">Sub (“Newco Pacific Sub”) and G Energy Sub </w:t>
        <w:tab/>
        <w:t>)</w:t>
      </w:r>
    </w:p>
    <w:p>
      <w:pPr>
        <w:pStyle w:val="Normal"/>
        <w:rPr>
          <w:sz w:val="24"/>
        </w:rPr>
      </w:pPr>
      <w:r>
        <w:rPr>
          <w:sz w:val="24"/>
        </w:rPr>
        <w:t>(“Newco Enova Sub”), the Wholly</w:t>
        <w:noBreakHyphen/>
        <w:t xml:space="preserve">Owned </w:t>
        <w:tab/>
        <w:tab/>
        <w:t>)</w:t>
      </w:r>
    </w:p>
    <w:p>
      <w:pPr>
        <w:pStyle w:val="Normal"/>
        <w:rPr>
          <w:sz w:val="24"/>
        </w:rPr>
      </w:pPr>
      <w:r>
        <w:rPr>
          <w:sz w:val="24"/>
        </w:rPr>
        <w:t xml:space="preserve">Subsidiaries of A Newly Created Holding </w:t>
        <w:tab/>
        <w:tab/>
        <w:t>)</w:t>
      </w:r>
    </w:p>
    <w:p>
      <w:pPr>
        <w:pStyle w:val="Normal"/>
        <w:rPr>
          <w:sz w:val="24"/>
        </w:rPr>
      </w:pPr>
      <w:r>
        <w:rPr>
          <w:sz w:val="24"/>
        </w:rPr>
        <w:t>Company, Mineral Energy Company.</w:t>
        <w:tab/>
        <w:tab/>
        <w:t>)</w:t>
      </w:r>
    </w:p>
    <w:p>
      <w:pPr>
        <w:pStyle w:val="Normal"/>
        <w:rPr>
          <w:sz w:val="24"/>
        </w:rPr>
      </w:pPr>
      <w:r>
        <w:rPr>
          <w:sz w:val="24"/>
        </w:rPr>
        <w:t>__________________________________________)</w:t>
      </w:r>
    </w:p>
    <w:p>
      <w:pPr>
        <w:pStyle w:val="Normal"/>
        <w:rPr>
          <w:sz w:val="24"/>
        </w:rPr>
      </w:pPr>
      <w:r>
        <w:rPr>
          <w:sz w:val="24"/>
        </w:rPr>
      </w:r>
    </w:p>
    <w:p>
      <w:pPr>
        <w:pStyle w:val="Normal"/>
        <w:rPr>
          <w:b/>
          <w:sz w:val="24"/>
        </w:rPr>
      </w:pPr>
      <w:r>
        <w:rPr>
          <w:b/>
          <w:sz w:val="24"/>
        </w:rPr>
      </w:r>
    </w:p>
    <w:p>
      <w:pPr>
        <w:pStyle w:val="Heading"/>
        <w:spacing w:lineRule="auto" w:line="240"/>
        <w:rPr>
          <w:b w:val="false"/>
          <w:sz w:val="24"/>
        </w:rPr>
      </w:pPr>
      <w:r>
        <w:rPr>
          <w:b w:val="false"/>
          <w:sz w:val="24"/>
        </w:rPr>
      </w:r>
    </w:p>
    <w:p>
      <w:pPr>
        <w:pStyle w:val="Heading"/>
        <w:spacing w:lineRule="auto" w:line="240"/>
        <w:rPr/>
      </w:pPr>
      <w:r>
        <w:rPr/>
      </w:r>
    </w:p>
    <w:p>
      <w:pPr>
        <w:pStyle w:val="Heading"/>
        <w:spacing w:lineRule="auto" w:line="240"/>
        <w:rPr/>
      </w:pPr>
      <w:r>
        <w:rPr/>
        <w:t>MOTION OF SAN DIEGO GAS &amp; ELECTRIC COMPANY (U 902-E) AND SOUTHERN CALIFORNIA GAS COMPANY (U 904-G) FOR A ONE-YEAR DEFERRAL OF COST OF SERVICE/PERFORMANCE-BASED RATEMAKING APPLICATIONS</w:t>
      </w:r>
    </w:p>
    <w:p>
      <w:pPr>
        <w:pStyle w:val="Heading"/>
        <w:rPr/>
      </w:pPr>
      <w:r>
        <w:rPr/>
      </w:r>
    </w:p>
    <w:p>
      <w:pPr>
        <w:pStyle w:val="Heading"/>
        <w:rPr/>
      </w:pPr>
      <w:r>
        <w:rPr/>
      </w:r>
    </w:p>
    <w:p>
      <w:pPr>
        <w:pStyle w:val="Normal"/>
        <w:tabs>
          <w:tab w:val="clear" w:pos="720"/>
          <w:tab w:val="left" w:pos="4320" w:leader="none"/>
        </w:tabs>
        <w:ind w:start="5040" w:end="0"/>
        <w:rPr>
          <w:sz w:val="24"/>
        </w:rPr>
      </w:pPr>
      <w:r>
        <w:rPr>
          <w:sz w:val="24"/>
        </w:rPr>
        <w:t>Jeffrey M. Parrott</w:t>
      </w:r>
    </w:p>
    <w:p>
      <w:pPr>
        <w:pStyle w:val="Normal"/>
        <w:tabs>
          <w:tab w:val="clear" w:pos="720"/>
          <w:tab w:val="left" w:pos="4320" w:leader="none"/>
        </w:tabs>
        <w:ind w:start="5040" w:end="0"/>
        <w:rPr>
          <w:sz w:val="24"/>
        </w:rPr>
      </w:pPr>
      <w:r>
        <w:rPr>
          <w:sz w:val="24"/>
        </w:rPr>
        <w:t>Keith W. Melville</w:t>
      </w:r>
    </w:p>
    <w:p>
      <w:pPr>
        <w:pStyle w:val="Normal"/>
        <w:tabs>
          <w:tab w:val="clear" w:pos="720"/>
          <w:tab w:val="left" w:pos="4320" w:leader="none"/>
        </w:tabs>
        <w:ind w:start="5040" w:end="0"/>
        <w:rPr>
          <w:sz w:val="24"/>
        </w:rPr>
      </w:pPr>
      <w:r>
        <w:rPr>
          <w:sz w:val="24"/>
        </w:rPr>
        <w:t xml:space="preserve">Attorneys for </w:t>
      </w:r>
    </w:p>
    <w:p>
      <w:pPr>
        <w:pStyle w:val="Normal"/>
        <w:tabs>
          <w:tab w:val="clear" w:pos="720"/>
          <w:tab w:val="left" w:pos="4320" w:leader="none"/>
        </w:tabs>
        <w:ind w:start="5040" w:end="-720"/>
        <w:rPr>
          <w:sz w:val="24"/>
        </w:rPr>
      </w:pPr>
      <w:r>
        <w:rPr>
          <w:sz w:val="24"/>
        </w:rPr>
        <w:t>San Diego Gas &amp; Electric Company and</w:t>
      </w:r>
    </w:p>
    <w:p>
      <w:pPr>
        <w:pStyle w:val="Normal"/>
        <w:tabs>
          <w:tab w:val="clear" w:pos="720"/>
          <w:tab w:val="left" w:pos="4320" w:leader="none"/>
        </w:tabs>
        <w:ind w:start="5040" w:end="0"/>
        <w:rPr>
          <w:sz w:val="24"/>
        </w:rPr>
      </w:pPr>
      <w:r>
        <w:rPr>
          <w:sz w:val="24"/>
        </w:rPr>
        <w:t>Southern California Gas Company</w:t>
      </w:r>
    </w:p>
    <w:p>
      <w:pPr>
        <w:pStyle w:val="Normal"/>
        <w:tabs>
          <w:tab w:val="clear" w:pos="720"/>
          <w:tab w:val="left" w:pos="4320" w:leader="none"/>
        </w:tabs>
        <w:ind w:start="5040" w:end="0"/>
        <w:rPr>
          <w:sz w:val="24"/>
        </w:rPr>
      </w:pPr>
      <w:r>
        <w:rPr>
          <w:sz w:val="24"/>
        </w:rPr>
        <w:t>101 Ash Street</w:t>
      </w:r>
    </w:p>
    <w:p>
      <w:pPr>
        <w:pStyle w:val="Normal"/>
        <w:tabs>
          <w:tab w:val="clear" w:pos="720"/>
          <w:tab w:val="left" w:pos="4320" w:leader="none"/>
        </w:tabs>
        <w:ind w:start="5040" w:end="0"/>
        <w:rPr>
          <w:sz w:val="24"/>
        </w:rPr>
      </w:pPr>
      <w:r>
        <w:rPr>
          <w:sz w:val="24"/>
        </w:rPr>
        <w:t>San Diego, CA  92101</w:t>
      </w:r>
    </w:p>
    <w:p>
      <w:pPr>
        <w:pStyle w:val="Normal"/>
        <w:tabs>
          <w:tab w:val="clear" w:pos="720"/>
          <w:tab w:val="left" w:pos="4320" w:leader="none"/>
        </w:tabs>
        <w:ind w:start="5040" w:end="0"/>
        <w:rPr>
          <w:sz w:val="24"/>
        </w:rPr>
      </w:pPr>
      <w:r>
        <w:rPr>
          <w:sz w:val="24"/>
        </w:rPr>
        <w:t>Telephone:  (619) 699-5039</w:t>
      </w:r>
    </w:p>
    <w:p>
      <w:pPr>
        <w:pStyle w:val="Normal"/>
        <w:ind w:start="5040" w:end="0"/>
        <w:rPr>
          <w:sz w:val="24"/>
        </w:rPr>
      </w:pPr>
      <w:r>
        <w:rPr>
          <w:sz w:val="24"/>
        </w:rPr>
        <w:t>Facsimile:   (619) 699-5027</w:t>
      </w:r>
    </w:p>
    <w:p>
      <w:pPr>
        <w:pStyle w:val="Normal"/>
        <w:ind w:start="5040" w:end="0"/>
        <w:rPr>
          <w:sz w:val="24"/>
        </w:rPr>
      </w:pPr>
      <w:r>
        <w:rPr>
          <w:sz w:val="24"/>
        </w:rPr>
        <w:t>kmelville@sempra.com</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
        <w:jc w:val="start"/>
        <w:rPr>
          <w:b w:val="false"/>
        </w:rPr>
      </w:pPr>
      <w:r>
        <w:rPr>
          <w:b w:val="false"/>
        </w:rPr>
        <w:t>July 16, 2001</w:t>
      </w:r>
    </w:p>
    <w:p>
      <w:pPr>
        <w:pStyle w:val="Heading"/>
        <w:rPr/>
      </w:pPr>
      <w:r>
        <w:rPr/>
        <w:t xml:space="preserve">BEFORE THE PUBLIC UTILITIES COMMISSION </w:t>
        <w:br/>
        <w:t xml:space="preserve">OF THE STATE OF CALIFORNIA </w:t>
      </w:r>
    </w:p>
    <w:p>
      <w:pPr>
        <w:pStyle w:val="Heading"/>
        <w:spacing w:lineRule="auto" w:line="240"/>
        <w:rPr/>
      </w:pPr>
      <w:r>
        <w:rPr/>
      </w:r>
    </w:p>
    <w:p>
      <w:pPr>
        <w:pStyle w:val="Heading"/>
        <w:spacing w:lineRule="auto" w:line="240"/>
        <w:rPr/>
      </w:pPr>
      <w:r>
        <w:rPr/>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widowControl/>
              <w:rPr>
                <w:rFonts w:ascii="Times New Roman" w:hAnsi="Times New Roman" w:cs="Times New Roman"/>
              </w:rPr>
            </w:pPr>
            <w:r>
              <w:rPr>
                <w:rFonts w:cs="Times New Roman" w:ascii="Times New Roman" w:hAnsi="Times New Roman"/>
              </w:rPr>
              <w:t>Application of San Diego Gas &amp; Electric Company (U 902-M) for Authority to Implement a Distribution Performance-Based Ratemaking Mechanism.</w:t>
            </w:r>
          </w:p>
        </w:tc>
        <w:tc>
          <w:tcPr>
            <w:tcW w:w="378" w:type="dxa"/>
            <w:tcBorders/>
          </w:tcPr>
          <w:p>
            <w:pPr>
              <w:pStyle w:val="Normal"/>
              <w:ind w:end="72"/>
              <w:rPr>
                <w:sz w:val="24"/>
              </w:rPr>
            </w:pPr>
            <w:r>
              <w:rPr>
                <w:sz w:val="24"/>
              </w:rPr>
              <w:t>))))</w:t>
            </w:r>
          </w:p>
        </w:tc>
        <w:tc>
          <w:tcPr>
            <w:tcW w:w="4320" w:type="dxa"/>
            <w:tcBorders/>
          </w:tcPr>
          <w:p>
            <w:pPr>
              <w:pStyle w:val="zAppNo"/>
              <w:widowControl/>
              <w:tabs>
                <w:tab w:val="clear" w:pos="720"/>
                <w:tab w:val="left" w:pos="342" w:leader="none"/>
              </w:tabs>
              <w:spacing w:lineRule="auto" w:line="240" w:before="240" w:after="0"/>
              <w:jc w:val="start"/>
              <w:rPr>
                <w:rFonts w:ascii="Times New Roman" w:hAnsi="Times New Roman" w:cs="Times New Roman"/>
              </w:rPr>
            </w:pPr>
            <w:r>
              <w:rPr>
                <w:rFonts w:cs="Times New Roman" w:ascii="Times New Roman" w:hAnsi="Times New Roman"/>
              </w:rPr>
              <w:tab/>
              <w:t>A.98-01-014</w:t>
            </w:r>
          </w:p>
          <w:p>
            <w:pPr>
              <w:pStyle w:val="zAppNo"/>
              <w:widowControl/>
              <w:spacing w:lineRule="auto" w:line="240"/>
              <w:jc w:val="start"/>
              <w:rPr>
                <w:rFonts w:ascii="Times New Roman" w:hAnsi="Times New Roman" w:cs="Times New Roman"/>
              </w:rPr>
            </w:pPr>
            <w:r>
              <w:rPr>
                <w:rFonts w:cs="Times New Roman" w:ascii="Times New Roman" w:hAnsi="Times New Roman"/>
              </w:rPr>
            </w:r>
          </w:p>
        </w:tc>
      </w:tr>
    </w:tbl>
    <w:p>
      <w:pPr>
        <w:pStyle w:val="Normal"/>
        <w:rPr>
          <w:sz w:val="24"/>
        </w:rPr>
      </w:pPr>
      <w:r>
        <w:rPr>
          <w:sz w:val="24"/>
        </w:rPr>
        <w:t xml:space="preserve">In the Matter of the Application of   </w:t>
        <w:tab/>
        <w:tab/>
        <w:tab/>
        <w:t>)</w:t>
      </w:r>
    </w:p>
    <w:p>
      <w:pPr>
        <w:pStyle w:val="Normal"/>
        <w:rPr>
          <w:sz w:val="24"/>
        </w:rPr>
      </w:pPr>
      <w:r>
        <w:rPr>
          <w:sz w:val="24"/>
        </w:rPr>
        <w:t>SOUTHERN CALIFORNIA GAS COMPANY       )</w:t>
      </w:r>
    </w:p>
    <w:p>
      <w:pPr>
        <w:pStyle w:val="Normal"/>
        <w:rPr>
          <w:sz w:val="24"/>
        </w:rPr>
      </w:pPr>
      <w:r>
        <w:rPr>
          <w:sz w:val="24"/>
        </w:rPr>
        <w:t xml:space="preserve">To Adopt Performance Based Regulation </w:t>
        <w:tab/>
        <w:tab/>
        <w:t>)</w:t>
        <w:tab/>
        <w:t>A.95-06-002</w:t>
      </w:r>
    </w:p>
    <w:p>
      <w:pPr>
        <w:pStyle w:val="Normal"/>
        <w:rPr>
          <w:sz w:val="24"/>
        </w:rPr>
      </w:pPr>
      <w:r>
        <w:rPr>
          <w:sz w:val="24"/>
        </w:rPr>
        <w:t xml:space="preserve">(“PBR”) for Base Rates to be Effective </w:t>
        <w:tab/>
        <w:tab/>
        <w:t>)</w:t>
      </w:r>
    </w:p>
    <w:p>
      <w:pPr>
        <w:pStyle w:val="Normal"/>
        <w:rPr>
          <w:sz w:val="24"/>
        </w:rPr>
      </w:pPr>
      <w:r>
        <w:rPr>
          <w:sz w:val="24"/>
        </w:rPr>
        <w:t>January 1, 1997.</w:t>
        <w:tab/>
        <w:tab/>
        <w:tab/>
        <w:tab/>
        <w:tab/>
        <w:t>)</w:t>
      </w:r>
    </w:p>
    <w:p>
      <w:pPr>
        <w:pStyle w:val="Normal"/>
        <w:rPr>
          <w:sz w:val="24"/>
        </w:rPr>
      </w:pPr>
      <w:r>
        <w:rPr>
          <w:sz w:val="24"/>
        </w:rPr>
        <w:t>__________________________________________)</w:t>
        <w:br/>
        <w:t>Joint Application of Pacific Enterprises, Enova</w:t>
        <w:tab/>
        <w:t>)</w:t>
        <w:br/>
        <w:t xml:space="preserve">Corporation, Mineral Energy Company, B Mineral </w:t>
        <w:tab/>
        <w:t>)</w:t>
      </w:r>
    </w:p>
    <w:p>
      <w:pPr>
        <w:pStyle w:val="Normal"/>
        <w:rPr>
          <w:sz w:val="24"/>
        </w:rPr>
      </w:pPr>
      <w:r>
        <w:rPr>
          <w:sz w:val="24"/>
        </w:rPr>
        <w:t xml:space="preserve">Energy Sub and G Mineral Energy Sub for </w:t>
        <w:tab/>
        <w:tab/>
        <w:t>)</w:t>
      </w:r>
    </w:p>
    <w:p>
      <w:pPr>
        <w:pStyle w:val="Normal"/>
        <w:rPr>
          <w:sz w:val="24"/>
        </w:rPr>
      </w:pPr>
      <w:r>
        <w:rPr>
          <w:sz w:val="24"/>
        </w:rPr>
        <w:t>Approval of a Plan of Merger of Pacific Enterprises )</w:t>
      </w:r>
    </w:p>
    <w:p>
      <w:pPr>
        <w:pStyle w:val="Normal"/>
        <w:rPr>
          <w:sz w:val="24"/>
        </w:rPr>
      </w:pPr>
      <w:r>
        <w:rPr>
          <w:sz w:val="24"/>
        </w:rPr>
        <w:t xml:space="preserve">and Enova Corporation With and Into B Energy </w:t>
        <w:tab/>
        <w:t>)</w:t>
        <w:tab/>
        <w:t>A.96-10-038</w:t>
      </w:r>
    </w:p>
    <w:p>
      <w:pPr>
        <w:pStyle w:val="Normal"/>
        <w:rPr>
          <w:sz w:val="24"/>
        </w:rPr>
      </w:pPr>
      <w:r>
        <w:rPr>
          <w:sz w:val="24"/>
        </w:rPr>
        <w:t xml:space="preserve">Sub (“Newco Pacific Sub”) and G Energy Sub </w:t>
        <w:tab/>
        <w:t>)</w:t>
      </w:r>
    </w:p>
    <w:p>
      <w:pPr>
        <w:pStyle w:val="Normal"/>
        <w:rPr>
          <w:sz w:val="24"/>
        </w:rPr>
      </w:pPr>
      <w:r>
        <w:rPr>
          <w:sz w:val="24"/>
        </w:rPr>
        <w:t>(“Newco Enova Sub”), the Wholly</w:t>
        <w:noBreakHyphen/>
        <w:t xml:space="preserve">Owned </w:t>
        <w:tab/>
        <w:tab/>
        <w:t>)</w:t>
      </w:r>
    </w:p>
    <w:p>
      <w:pPr>
        <w:pStyle w:val="Normal"/>
        <w:rPr>
          <w:sz w:val="24"/>
        </w:rPr>
      </w:pPr>
      <w:r>
        <w:rPr>
          <w:sz w:val="24"/>
        </w:rPr>
        <w:t xml:space="preserve">Subsidiaries of A Newly Created Holding </w:t>
        <w:tab/>
        <w:tab/>
        <w:t>)</w:t>
      </w:r>
    </w:p>
    <w:p>
      <w:pPr>
        <w:pStyle w:val="Normal"/>
        <w:rPr>
          <w:sz w:val="24"/>
        </w:rPr>
      </w:pPr>
      <w:r>
        <w:rPr>
          <w:sz w:val="24"/>
        </w:rPr>
        <w:t>Company, Mineral Energy Company.</w:t>
        <w:tab/>
        <w:tab/>
        <w:t>)</w:t>
      </w:r>
    </w:p>
    <w:p>
      <w:pPr>
        <w:pStyle w:val="Normal"/>
        <w:rPr>
          <w:sz w:val="24"/>
        </w:rPr>
      </w:pPr>
      <w:r>
        <w:rPr>
          <w:sz w:val="24"/>
        </w:rPr>
        <w:t>__________________________________________)</w:t>
      </w:r>
    </w:p>
    <w:p>
      <w:pPr>
        <w:pStyle w:val="Normal"/>
        <w:rPr>
          <w:sz w:val="24"/>
        </w:rPr>
      </w:pPr>
      <w:r>
        <w:rPr>
          <w:sz w:val="24"/>
        </w:rPr>
      </w:r>
    </w:p>
    <w:p>
      <w:pPr>
        <w:pStyle w:val="Heading"/>
        <w:spacing w:lineRule="auto" w:line="240"/>
        <w:rPr>
          <w:sz w:val="24"/>
        </w:rPr>
      </w:pPr>
      <w:r>
        <w:rPr>
          <w:sz w:val="24"/>
        </w:rPr>
      </w:r>
    </w:p>
    <w:p>
      <w:pPr>
        <w:pStyle w:val="Heading"/>
        <w:spacing w:lineRule="auto" w:line="240"/>
        <w:rPr/>
      </w:pPr>
      <w:r>
        <w:rPr/>
        <w:t>MOTION OF SAN DIEGO GAS &amp; ELECTRIC COMPANY (U 902-E) AND SOUTHERN CALIFORNIA GAS COMPANY (U 904-G) FOR A ONE-YEAR DEFERRAL OF COST OF SERVICE/PERFORMANCE-BASED RATEMAKING APPLICATIONS</w:t>
      </w:r>
    </w:p>
    <w:p>
      <w:pPr>
        <w:pStyle w:val="Heading"/>
        <w:spacing w:lineRule="auto" w:line="240"/>
        <w:jc w:val="start"/>
        <w:rPr/>
      </w:pPr>
      <w:r>
        <w:rPr/>
      </w:r>
    </w:p>
    <w:p>
      <w:pPr>
        <w:pStyle w:val="Heading"/>
        <w:spacing w:lineRule="auto" w:line="240"/>
        <w:jc w:val="start"/>
        <w:rPr/>
      </w:pPr>
      <w:r>
        <w:rPr/>
      </w:r>
    </w:p>
    <w:p>
      <w:pPr>
        <w:pStyle w:val="Heading"/>
        <w:rPr/>
      </w:pPr>
      <w:r>
        <w:rPr/>
        <w:t>I.</w:t>
      </w:r>
    </w:p>
    <w:p>
      <w:pPr>
        <w:pStyle w:val="Heading"/>
        <w:rPr/>
      </w:pPr>
      <w:r>
        <w:rPr/>
        <w:t>INTRODUCTION</w:t>
      </w:r>
    </w:p>
    <w:p>
      <w:pPr>
        <w:pStyle w:val="Normal"/>
        <w:spacing w:lineRule="auto" w:line="360"/>
        <w:ind w:firstLine="720" w:end="0"/>
        <w:rPr>
          <w:sz w:val="24"/>
        </w:rPr>
      </w:pPr>
      <w:r>
        <w:rPr>
          <w:sz w:val="24"/>
        </w:rPr>
        <w:t xml:space="preserve">On June 18, 2001, the State of California (through the California Department of Water Resources or “DWR”), San Diego Gas &amp; Electric Company (“SDG&amp;E”) and, as to certain provisions, Sempra Energy signed a Memorandum of Understanding (the “DWR/SDG&amp;E MOU”) the primary purpose of which was to ensure the continued provision by SDG&amp;E of affordable and reliable electricity to its customers.  The DWR/SDG&amp;E MOU, as one of its objectives, proposed a plan for eliminating certain deferred electric commodity costs incurred by residential and small commercial customers of SDG&amp;E (also known as AB 265 customers).  The plan requires a series of actions by the California Public Utilities Commission (“Commission” or “CPUC”) referred to as “CPUC Implementing Decisions.”   </w:t>
      </w:r>
    </w:p>
    <w:p>
      <w:pPr>
        <w:pStyle w:val="Normal"/>
        <w:spacing w:lineRule="auto" w:line="360"/>
        <w:ind w:firstLine="720" w:end="0"/>
        <w:rPr>
          <w:sz w:val="24"/>
        </w:rPr>
      </w:pPr>
      <w:r>
        <w:rPr>
          <w:sz w:val="24"/>
        </w:rPr>
        <w:t xml:space="preserve">One of the CPUC Implementing Decisions concerns the upcoming Cost of Service (COS)/Performance-Based Ratemaking (PBR) applications to be filed at the end of 2001 by SDG&amp;E and Southern California Gas Company (SoCalGas).  These applications would normally be litigated in 2002 based on a 2003 test year, thus resulting in new rates as of January 1, 2003.  The DWR/SDG&amp;E MOU supports and assumes the deferral of these applications by one year through a Commission Implementing Decision. </w:t>
      </w:r>
    </w:p>
    <w:p>
      <w:pPr>
        <w:pStyle w:val="Normal"/>
        <w:spacing w:lineRule="auto" w:line="360"/>
        <w:ind w:firstLine="720" w:end="0"/>
        <w:rPr>
          <w:sz w:val="24"/>
        </w:rPr>
      </w:pPr>
      <w:r>
        <w:rPr>
          <w:sz w:val="24"/>
        </w:rPr>
        <w:t xml:space="preserve">Separately from the DWR/SDG&amp;E MOU, a one year deferral of the SDG&amp;E and SoCalGas COS/PBR applications is prudent and in the public interest due to the current emphasis on resolving the many and substantial issues pertaining to the electric crisis in the state, and the strain the current and contemplated proceedings dealing with that matter (along with other major rate applications to be filed over the next year) have on utility, Commission, Commission staff, and intervenor financial and personnel resources.  Further, as explained below, by deferring the SDG&amp;E and SoCalGas COS/PBR applications for one year, the proposal of SDG&amp;E and SoCalGas to consolidate certain utility functions (as proposed in a Petition to Modify D.98-03-073) will most likely be complete by the time of the COS/PBR filing is made.  In addition, the deferral will allow the SDG&amp;E COS/PBR test year of 2004 to be aligned with the end of SONGS’ ICIP on December 31, 2003.     </w:t>
      </w:r>
    </w:p>
    <w:p>
      <w:pPr>
        <w:pStyle w:val="BodyTextIndent2"/>
        <w:rPr/>
      </w:pPr>
      <w:r>
        <w:rPr/>
        <w:t xml:space="preserve">For the foregoing reasons, SDG&amp;E and SoCalGas request that the Commission expeditiously grant a one-year deferral of SDG&amp;E’s and SoCalGas’ next COS/PBR applications, to therefore set rates for a 2004 test year, rather than the 2003 test year currently adopted, and to extend each utility's current PBR mechanism for one year pursuant to Rule 45 of the Commission’s Rules of Practice and Procedure. </w:t>
      </w:r>
    </w:p>
    <w:p>
      <w:pPr>
        <w:pStyle w:val="Normal"/>
        <w:spacing w:lineRule="auto" w:line="360"/>
        <w:ind w:firstLine="720" w:end="0"/>
        <w:rPr>
          <w:sz w:val="24"/>
        </w:rPr>
      </w:pPr>
      <w:r>
        <w:rPr>
          <w:sz w:val="24"/>
        </w:rPr>
        <w:t xml:space="preserve">SDG&amp;E and SoCalGas urge the Commission to consider and approve this motion expeditiously, and note that a similar motion by Southern California Edison (“SCE”) filed on May 2, 2001 was granted on June 14, 2001 in Decision 01-06-039. SCE’s PBR mechanism was also extended for one year by Decision 01-06-038.  </w:t>
      </w:r>
    </w:p>
    <w:p>
      <w:pPr>
        <w:pStyle w:val="Normal"/>
        <w:spacing w:lineRule="auto" w:line="360"/>
        <w:ind w:firstLine="720" w:end="0"/>
        <w:rPr>
          <w:sz w:val="24"/>
        </w:rPr>
      </w:pPr>
      <w:r>
        <w:rPr>
          <w:sz w:val="24"/>
        </w:rPr>
        <w:t>The need for a year-year deferral of the SDG&amp;E and SoCalGas PBR/COS proceedings is discussed in greater detail below.</w:t>
      </w:r>
    </w:p>
    <w:p>
      <w:pPr>
        <w:pStyle w:val="BodyTextIndent2"/>
        <w:spacing w:before="240" w:after="0"/>
        <w:ind w:hanging="0" w:end="0"/>
        <w:jc w:val="center"/>
        <w:rPr>
          <w:b/>
        </w:rPr>
      </w:pPr>
      <w:r>
        <w:rPr>
          <w:b/>
        </w:rPr>
        <w:t>II.</w:t>
      </w:r>
    </w:p>
    <w:p>
      <w:pPr>
        <w:pStyle w:val="Heading1"/>
        <w:spacing w:lineRule="auto" w:line="240" w:before="0" w:after="240"/>
        <w:ind w:hanging="0" w:start="0"/>
        <w:rPr/>
      </w:pPr>
      <w:r>
        <w:rPr/>
        <w:t xml:space="preserve">A ONE-YEAR DEFERRAL OF THE PBR/COS PROCEEDINGS </w:t>
        <w:br/>
        <w:t>FOR SDG&amp;E AND SOCALGAS IS IN THE PUBLIC INTEREST</w:t>
      </w:r>
    </w:p>
    <w:p>
      <w:pPr>
        <w:pStyle w:val="Heading1"/>
        <w:ind w:hanging="0" w:start="0"/>
        <w:jc w:val="start"/>
        <w:rPr>
          <w:b w:val="false"/>
        </w:rPr>
      </w:pPr>
      <w:r>
        <w:rPr>
          <w:b w:val="false"/>
        </w:rPr>
        <w:tab/>
        <w:t xml:space="preserve">As the Commission well knows, the processing of cost of service proceedings is a resource intensive effort, particularly for the Commission and its staff.  In that regard, SDG&amp;E and SoCalGas note that in Decision 01-06-039 the Commission has moved SCE to a test year 2003 GRC and continued SCE's current PBR mechanism for one additional year.  Given limited CPUC staff resources, SDG&amp;E and SoCalGas believe that a one-year deferral of their PBR/COS proceedings may promote administrative efficiency by eliminating the administrative burden that would otherwise be imposed on the Commission if it were forced to process three or more such filings at the same time. </w:t>
      </w:r>
    </w:p>
    <w:p>
      <w:pPr>
        <w:pStyle w:val="Normal"/>
        <w:spacing w:lineRule="auto" w:line="360"/>
        <w:rPr>
          <w:sz w:val="24"/>
        </w:rPr>
      </w:pPr>
      <w:r>
        <w:rPr>
          <w:sz w:val="24"/>
        </w:rPr>
        <w:tab/>
        <w:t>CPUC staff appears to be faced with a serious administrative problem in terms of being able to handle the multitude of major rate case filings that have been scheduled to be submitted during 2001.  In its response to SCE’s motion to defer its 2002 Test Year General Rate Case, ORA stated that:</w:t>
      </w:r>
    </w:p>
    <w:p>
      <w:pPr>
        <w:pStyle w:val="BodyTextIndent3"/>
        <w:spacing w:lineRule="auto" w:line="240"/>
        <w:ind w:end="720"/>
        <w:rPr/>
      </w:pPr>
      <w:r>
        <w:rPr/>
        <w:t>“</w:t>
      </w:r>
      <w:r>
        <w:rPr/>
        <w:t>At this time, it is anticipated that the following energy utilities will be filing either a general rate case application or a performance based ratemaking (PBR) application with a supporting cost of service analysis during the second half of this year:</w:t>
      </w:r>
    </w:p>
    <w:p>
      <w:pPr>
        <w:pStyle w:val="Normal"/>
        <w:ind w:start="1440" w:end="0"/>
        <w:rPr>
          <w:sz w:val="24"/>
        </w:rPr>
      </w:pPr>
      <w:r>
        <w:rPr>
          <w:sz w:val="24"/>
        </w:rPr>
      </w:r>
    </w:p>
    <w:p>
      <w:pPr>
        <w:pStyle w:val="Normal"/>
        <w:spacing w:lineRule="auto" w:line="360"/>
        <w:ind w:start="1440" w:end="0"/>
        <w:rPr>
          <w:sz w:val="24"/>
        </w:rPr>
      </w:pPr>
      <w:r>
        <w:rPr>
          <w:sz w:val="24"/>
        </w:rPr>
        <w:t>PG&amp;E – August 2001 (NOI for a TY 2002 GRC)</w:t>
      </w:r>
    </w:p>
    <w:p>
      <w:pPr>
        <w:pStyle w:val="Normal"/>
        <w:spacing w:lineRule="auto" w:line="360"/>
        <w:ind w:start="1440" w:end="0"/>
        <w:rPr>
          <w:sz w:val="24"/>
        </w:rPr>
      </w:pPr>
      <w:r>
        <w:rPr>
          <w:sz w:val="24"/>
        </w:rPr>
        <w:t>PacifiCorp – September 2001 (TY 2002 GRC/PBR)</w:t>
      </w:r>
    </w:p>
    <w:p>
      <w:pPr>
        <w:pStyle w:val="Normal"/>
        <w:spacing w:lineRule="auto" w:line="360"/>
        <w:ind w:start="1440" w:end="0"/>
        <w:rPr>
          <w:sz w:val="24"/>
        </w:rPr>
      </w:pPr>
      <w:r>
        <w:rPr>
          <w:sz w:val="24"/>
        </w:rPr>
        <w:t>Southwest Gas – December 2001 (TY 2003 GRC)</w:t>
      </w:r>
    </w:p>
    <w:p>
      <w:pPr>
        <w:pStyle w:val="Normal"/>
        <w:spacing w:lineRule="auto" w:line="360"/>
        <w:ind w:start="1440" w:end="0"/>
        <w:rPr>
          <w:sz w:val="24"/>
        </w:rPr>
      </w:pPr>
      <w:r>
        <w:rPr>
          <w:sz w:val="24"/>
        </w:rPr>
        <w:t>SoCalGas – December 2001 (TY 2003 Cost of Service/PBR)</w:t>
      </w:r>
    </w:p>
    <w:p>
      <w:pPr>
        <w:pStyle w:val="Normal"/>
        <w:spacing w:lineRule="auto" w:line="360"/>
        <w:ind w:start="1440" w:end="0"/>
        <w:rPr>
          <w:sz w:val="24"/>
        </w:rPr>
      </w:pPr>
      <w:r>
        <w:rPr>
          <w:sz w:val="24"/>
        </w:rPr>
        <w:t>SDG&amp;E – December 2001 (TY 2003 Cost of Service/PBR)”</w:t>
      </w:r>
    </w:p>
    <w:p>
      <w:pPr>
        <w:pStyle w:val="Normal"/>
        <w:spacing w:lineRule="auto" w:line="360"/>
        <w:ind w:start="720" w:end="0"/>
        <w:rPr>
          <w:sz w:val="24"/>
        </w:rPr>
      </w:pPr>
      <w:r>
        <w:rPr>
          <w:sz w:val="24"/>
        </w:rPr>
        <w:t>(ORA’s 5/22/01 response to SCE Motion.)</w:t>
      </w:r>
    </w:p>
    <w:p>
      <w:pPr>
        <w:pStyle w:val="zCaption"/>
        <w:widowControl/>
        <w:spacing w:lineRule="auto" w:line="360"/>
        <w:rPr>
          <w:rFonts w:ascii="Times New Roman" w:hAnsi="Times New Roman" w:cs="Times New Roman"/>
          <w:lang w:eastAsia="en-CA"/>
        </w:rPr>
      </w:pPr>
      <w:r>
        <w:rPr>
          <w:rFonts w:cs="Times New Roman" w:ascii="Times New Roman" w:hAnsi="Times New Roman"/>
          <w:lang w:eastAsia="en-CA"/>
        </w:rPr>
        <w:t>ORA further stated that:</w:t>
      </w:r>
    </w:p>
    <w:p>
      <w:pPr>
        <w:pStyle w:val="BodyTextIndent3"/>
        <w:spacing w:lineRule="auto" w:line="240"/>
        <w:ind w:end="720"/>
        <w:rPr/>
      </w:pPr>
      <w:r>
        <w:rPr/>
        <w:t>“</w:t>
      </w:r>
      <w:r>
        <w:rPr/>
        <w:t>The Commission must provide a reasonable schedule for processing all of the energy utility cost of service filings.”</w:t>
      </w:r>
    </w:p>
    <w:p>
      <w:pPr>
        <w:pStyle w:val="Normal"/>
        <w:spacing w:lineRule="auto" w:line="360" w:before="0" w:after="240"/>
        <w:ind w:start="720" w:end="0"/>
        <w:rPr/>
      </w:pPr>
      <w:r>
        <w:rPr>
          <w:sz w:val="24"/>
        </w:rPr>
        <w:t>(</w:t>
      </w:r>
      <w:r>
        <w:rPr>
          <w:i/>
          <w:sz w:val="24"/>
        </w:rPr>
        <w:t>Id.</w:t>
      </w:r>
      <w:r>
        <w:rPr>
          <w:sz w:val="24"/>
        </w:rPr>
        <w:t>)</w:t>
      </w:r>
    </w:p>
    <w:p>
      <w:pPr>
        <w:pStyle w:val="Normal"/>
        <w:spacing w:lineRule="auto" w:line="360"/>
        <w:rPr/>
      </w:pPr>
      <w:r>
        <w:rPr>
          <w:sz w:val="24"/>
        </w:rPr>
        <w:tab/>
        <w:t>SDG&amp;E and SoCalGas agree with ORA that the Commission must take action to relieve the pressure and burden currently facing the Commission staff and the parties that typically intervene in major energy utility base rate proceedings. The request made in the this motion will provide the relief that is required (particularly since the Commission issued D.01-06-039 on June 14, 2001 deferring the SCE GRC from a 2002 Test Year to a 2003 Test Year).  The foregoing rate cases, coupled with the multitude of proceedings addressing the energy crisis and other matters</w:t>
      </w:r>
      <w:r>
        <w:rPr>
          <w:rStyle w:val="FootnoteCharacters"/>
          <w:rStyle w:val="FootnoteReference"/>
          <w:sz w:val="24"/>
        </w:rPr>
        <w:footnoteReference w:id="2"/>
      </w:r>
      <w:r>
        <w:rPr>
          <w:sz w:val="24"/>
        </w:rPr>
        <w:t xml:space="preserve">, has created a back-breaking workload for utilities, the Commission and its staff, and intervenors.  A one-year deferral as proposed in this motion will eliminate additional workload without negatively impacting customers.  </w:t>
      </w:r>
    </w:p>
    <w:p>
      <w:pPr>
        <w:pStyle w:val="Normal"/>
        <w:spacing w:lineRule="auto" w:line="360"/>
        <w:rPr>
          <w:sz w:val="24"/>
        </w:rPr>
      </w:pPr>
      <w:r>
        <w:rPr>
          <w:sz w:val="24"/>
        </w:rPr>
        <w:tab/>
        <w:t>Deferring the SDG&amp;E and SoCalGas 2003 Cost of Service/PBR applications by one year and extending each utility's PBR mechanisms by one year makes sense for two other significant reasons.  First, on September 13, 2000 SDG&amp;E and SoCalGas submitted a Petition for Modification of D.98-03-073 in A.96-10-038 seeking approval to consolidate certain functions into and between the two utilities. A favorable draft decision on this petition has been on the Commission’s agenda for several weeks but is now on hold as an alternate draft decision is being prepared.  A deferral of the 2003 COS/PBR applications will provide ample opportunity for the consolidation plans, if approved, to be fully developed for inclusion in the utilities’ next base rate review.</w:t>
      </w:r>
    </w:p>
    <w:p>
      <w:pPr>
        <w:pStyle w:val="Normal"/>
        <w:spacing w:lineRule="auto" w:line="360"/>
        <w:rPr>
          <w:sz w:val="24"/>
        </w:rPr>
      </w:pPr>
      <w:r>
        <w:rPr>
          <w:sz w:val="24"/>
        </w:rPr>
        <w:tab/>
        <w:t>Second, as stated above, SCE will be filing a GRC NOI during August 2001. It is anticipated that this submittal and the application to be filed during December 2001 will address cost of service ratemaking for the San Onofre Nuclear Generating Station (‘SONGS”).  As has been the practice in the past, SCE, as the operator of SONGS, puts forth the substantive regulatory showing addressing the forecasted costs of operating SONGS.  SDG&amp;E historically intervenes in these proceedings and typically submits testimony addressing costs that SCE charges SDG&amp;E as the operator of the facilities. By deferring the SDG&amp;E 2003 COS proceeding the final authorized costs for SONGS can be fully reflected in the 2004 authorized revenue requirement.  Also, deferral of the SDG&amp;E COS proceeding will align the new COS date with the termination of the ICIP for SONGS (December 31, 2003).</w:t>
      </w:r>
    </w:p>
    <w:p>
      <w:pPr>
        <w:pStyle w:val="Normal"/>
        <w:spacing w:lineRule="auto" w:line="360"/>
        <w:ind w:firstLine="720" w:end="0"/>
        <w:rPr/>
      </w:pPr>
      <w:r>
        <w:rPr>
          <w:sz w:val="24"/>
        </w:rPr>
        <w:t>Finally, as noted above, approval of this motion will effectuate one of the CPUC Implementing Decisions addressed in the DWR/SDG&amp;E MOU.  A</w:t>
      </w:r>
      <w:r>
        <w:rPr>
          <w:color w:val="000000"/>
          <w:sz w:val="24"/>
        </w:rPr>
        <w:t xml:space="preserve">s noted in the DWR/SDG&amp;E MOU at page 19, one of the CPUC Implementing Decisions is approval to postpone the COS/PBR filings for both SDG&amp;E and SoCalGas to test year 2004.  Specifically, the MOU anticipates issuance by the CPUC of an implementing decision that provides for: </w:t>
      </w:r>
    </w:p>
    <w:p>
      <w:pPr>
        <w:pStyle w:val="Heading1"/>
        <w:spacing w:lineRule="auto" w:line="240" w:before="240" w:after="240"/>
        <w:ind w:hanging="0" w:start="720" w:end="720"/>
        <w:jc w:val="start"/>
        <w:rPr>
          <w:b w:val="false"/>
        </w:rPr>
      </w:pPr>
      <w:r>
        <w:rPr>
          <w:b w:val="false"/>
          <w:i/>
        </w:rPr>
        <w:t>“</w:t>
      </w:r>
      <w:r>
        <w:rPr>
          <w:b w:val="false"/>
          <w:i/>
        </w:rPr>
        <w:t>i. Approval of the (to-be-filed) request to move Utility’s and Southern California Gas Company’s cost-of-service/PBRs to test year 2004;”</w:t>
      </w:r>
    </w:p>
    <w:p>
      <w:pPr>
        <w:pStyle w:val="Heading1"/>
        <w:ind w:hanging="0" w:start="0"/>
        <w:jc w:val="start"/>
        <w:rPr>
          <w:b w:val="false"/>
        </w:rPr>
      </w:pPr>
      <w:r>
        <w:rPr>
          <w:b w:val="false"/>
        </w:rPr>
        <w:t xml:space="preserve">If all of the CPUC Implementing Decisions are adopted by the Commission the substantial undercollection in SDG&amp;E’s ERCRSA that has accumulated primarily due to implementation of AB 265 will be reduced to zero.  This will be a substantial benefit to SDG&amp;E’s customers because elimination of the ERCRSA will eliminate large deferred electric commodity charges for the many customers affected by AB 265. </w:t>
      </w:r>
    </w:p>
    <w:p>
      <w:pPr>
        <w:pStyle w:val="BodyTextIndent2"/>
        <w:ind w:hanging="0" w:end="0"/>
        <w:jc w:val="center"/>
        <w:rPr>
          <w:b/>
        </w:rPr>
      </w:pPr>
      <w:r>
        <w:rPr>
          <w:b/>
        </w:rPr>
        <w:br/>
        <w:t>III.</w:t>
      </w:r>
    </w:p>
    <w:p>
      <w:pPr>
        <w:pStyle w:val="BodyTextIndent2"/>
        <w:spacing w:lineRule="auto" w:line="240" w:before="0" w:after="240"/>
        <w:ind w:hanging="0" w:end="0"/>
        <w:jc w:val="center"/>
        <w:rPr>
          <w:b/>
        </w:rPr>
      </w:pPr>
      <w:r>
        <w:rPr>
          <w:b/>
        </w:rPr>
        <w:t>MERGER SAVINGS SHOULD BE SHARED EQUALLY BETWEEN CUSTOMERS AND SHAREHOLDERS DURING THE ONE-YEAR DEFERRAL</w:t>
      </w:r>
    </w:p>
    <w:p>
      <w:pPr>
        <w:pStyle w:val="Normal"/>
        <w:spacing w:lineRule="auto" w:line="360"/>
        <w:ind w:firstLine="720" w:end="0"/>
        <w:rPr>
          <w:sz w:val="24"/>
        </w:rPr>
      </w:pPr>
      <w:r>
        <w:rPr>
          <w:sz w:val="24"/>
        </w:rPr>
        <w:t>In ruling on this Motion, the Commission will have to determine how to account for continued merger related savings in conjunction with a one-year deferral of the COS/PBR proceedings for SDG&amp;E and SoCalGas.  In D.98-03-073 the Commission adopted the following treatment of savings from the merger of Enova and Pacific Enterprises:</w:t>
      </w:r>
    </w:p>
    <w:p>
      <w:pPr>
        <w:pStyle w:val="Normal"/>
        <w:numPr>
          <w:ilvl w:val="0"/>
          <w:numId w:val="3"/>
        </w:numPr>
        <w:spacing w:before="0" w:after="120"/>
        <w:ind w:hanging="360" w:start="720" w:end="0"/>
        <w:rPr>
          <w:sz w:val="24"/>
        </w:rPr>
      </w:pPr>
      <w:r>
        <w:rPr>
          <w:sz w:val="24"/>
        </w:rPr>
        <w:t>The Commission chose a five-year period to determine the allocable savings.</w:t>
      </w:r>
    </w:p>
    <w:p>
      <w:pPr>
        <w:pStyle w:val="Normal"/>
        <w:numPr>
          <w:ilvl w:val="0"/>
          <w:numId w:val="3"/>
        </w:numPr>
        <w:spacing w:before="0" w:after="120"/>
        <w:ind w:hanging="360" w:start="720" w:end="0"/>
        <w:rPr>
          <w:sz w:val="24"/>
        </w:rPr>
      </w:pPr>
      <w:r>
        <w:rPr>
          <w:sz w:val="24"/>
        </w:rPr>
        <w:t>The Commission refrained from binding future Commissions.</w:t>
      </w:r>
    </w:p>
    <w:p>
      <w:pPr>
        <w:pStyle w:val="Normal"/>
        <w:numPr>
          <w:ilvl w:val="0"/>
          <w:numId w:val="3"/>
        </w:numPr>
        <w:spacing w:before="0" w:after="120"/>
        <w:ind w:hanging="360" w:start="720" w:end="0"/>
        <w:rPr>
          <w:sz w:val="24"/>
        </w:rPr>
      </w:pPr>
      <w:r>
        <w:rPr>
          <w:sz w:val="24"/>
        </w:rPr>
        <w:t>Savings were allocated on a 50/50 basis between ratepayers and shareholders.</w:t>
      </w:r>
    </w:p>
    <w:p>
      <w:pPr>
        <w:pStyle w:val="Normal"/>
        <w:numPr>
          <w:ilvl w:val="0"/>
          <w:numId w:val="3"/>
        </w:numPr>
        <w:spacing w:before="0" w:after="120"/>
        <w:ind w:hanging="360" w:start="720" w:end="0"/>
        <w:rPr>
          <w:sz w:val="24"/>
        </w:rPr>
      </w:pPr>
      <w:r>
        <w:rPr>
          <w:sz w:val="24"/>
        </w:rPr>
        <w:t>Costs to achieve were to be amortized over five years.</w:t>
      </w:r>
    </w:p>
    <w:p>
      <w:pPr>
        <w:pStyle w:val="Normal"/>
        <w:numPr>
          <w:ilvl w:val="0"/>
          <w:numId w:val="3"/>
        </w:numPr>
        <w:spacing w:before="0" w:after="120"/>
        <w:ind w:hanging="360" w:start="720" w:end="0"/>
        <w:rPr>
          <w:sz w:val="24"/>
        </w:rPr>
      </w:pPr>
      <w:r>
        <w:rPr>
          <w:sz w:val="24"/>
        </w:rPr>
        <w:t>Applicants’ gross savings estimate was adopted based on a merger-specific analysis.</w:t>
      </w:r>
    </w:p>
    <w:p>
      <w:pPr>
        <w:pStyle w:val="Normal"/>
        <w:numPr>
          <w:ilvl w:val="0"/>
          <w:numId w:val="3"/>
        </w:numPr>
        <w:spacing w:before="0" w:after="120"/>
        <w:ind w:hanging="360" w:start="720" w:end="0"/>
        <w:rPr>
          <w:sz w:val="24"/>
        </w:rPr>
      </w:pPr>
      <w:r>
        <w:rPr>
          <w:sz w:val="24"/>
        </w:rPr>
        <w:t>Gross savings were adjusted for, e.g., PBR productivity and costs to achieve.</w:t>
      </w:r>
    </w:p>
    <w:p>
      <w:pPr>
        <w:pStyle w:val="Normal"/>
        <w:numPr>
          <w:ilvl w:val="0"/>
          <w:numId w:val="3"/>
        </w:numPr>
        <w:spacing w:before="0" w:after="120"/>
        <w:ind w:hanging="360" w:start="720" w:end="0"/>
        <w:rPr>
          <w:sz w:val="24"/>
        </w:rPr>
      </w:pPr>
      <w:r>
        <w:rPr>
          <w:sz w:val="24"/>
        </w:rPr>
        <w:t>Ratepayers were allocated $174.9 million in total net savings.</w:t>
      </w:r>
    </w:p>
    <w:p>
      <w:pPr>
        <w:pStyle w:val="Normal"/>
        <w:numPr>
          <w:ilvl w:val="0"/>
          <w:numId w:val="3"/>
        </w:numPr>
        <w:spacing w:before="0" w:after="120"/>
        <w:ind w:hanging="360" w:start="720" w:end="0"/>
        <w:rPr>
          <w:sz w:val="24"/>
        </w:rPr>
      </w:pPr>
      <w:r>
        <w:rPr>
          <w:sz w:val="24"/>
        </w:rPr>
        <w:t>These savings were allocated among customer classes (SDG&amp;E and SoCalGas) and also between gas and electric customers (SDG&amp;E only).</w:t>
      </w:r>
    </w:p>
    <w:p>
      <w:pPr>
        <w:pStyle w:val="Normal"/>
        <w:numPr>
          <w:ilvl w:val="0"/>
          <w:numId w:val="3"/>
        </w:numPr>
        <w:spacing w:before="0" w:after="240"/>
        <w:ind w:hanging="360" w:start="720" w:end="0"/>
        <w:rPr>
          <w:sz w:val="24"/>
        </w:rPr>
      </w:pPr>
      <w:r>
        <w:rPr>
          <w:sz w:val="24"/>
        </w:rPr>
        <w:t>Customers received annual bill credits of $174.9 million over the five years.</w:t>
      </w:r>
    </w:p>
    <w:p>
      <w:pPr>
        <w:pStyle w:val="BodyTextIndent"/>
        <w:rPr>
          <w:b w:val="false"/>
          <w:i w:val="false"/>
          <w:i w:val="false"/>
        </w:rPr>
      </w:pPr>
      <w:r>
        <w:rPr>
          <w:b w:val="false"/>
          <w:i w:val="false"/>
        </w:rPr>
        <w:t xml:space="preserve">As noted in D.98-03-073, the adopted treatment of merger savings was expected to last through December 31, 2002.  Thereafter, the COS applications would provide new rates as of January 1, 2003.  However, because of the required deferral of the cost of service filings, it is necessary to adopt a methodology to deal with merger savings in the deferral year (i.e. 2003).  SDG&amp;E and SoCalGas propose that the merger credit be calculated as set forth in Table 1, below, and then shared equally between customers and shareholders: </w:t>
      </w:r>
    </w:p>
    <w:p>
      <w:pPr>
        <w:pStyle w:val="Heading1"/>
        <w:spacing w:lineRule="auto" w:line="240"/>
        <w:ind w:hanging="0" w:start="0"/>
        <w:rPr/>
      </w:pPr>
      <w:r>
        <w:rPr/>
        <w:t>TABLE 1</w:t>
      </w:r>
    </w:p>
    <w:tbl>
      <w:tblPr>
        <w:tblW w:w="8191" w:type="dxa"/>
        <w:jc w:val="start"/>
        <w:tblInd w:w="0" w:type="dxa"/>
        <w:tblLayout w:type="fixed"/>
        <w:tblCellMar>
          <w:top w:w="0" w:type="dxa"/>
          <w:start w:w="30" w:type="dxa"/>
          <w:bottom w:w="0" w:type="dxa"/>
          <w:end w:w="30" w:type="dxa"/>
        </w:tblCellMar>
      </w:tblPr>
      <w:tblGrid>
        <w:gridCol w:w="710"/>
        <w:gridCol w:w="2146"/>
        <w:gridCol w:w="1010"/>
        <w:gridCol w:w="1011"/>
        <w:gridCol w:w="1010"/>
        <w:gridCol w:w="1011"/>
        <w:gridCol w:w="332"/>
        <w:gridCol w:w="961"/>
      </w:tblGrid>
      <w:tr>
        <w:trPr>
          <w:trHeight w:val="322" w:hRule="atLeast"/>
        </w:trPr>
        <w:tc>
          <w:tcPr>
            <w:tcW w:w="710" w:type="dxa"/>
            <w:tcBorders/>
          </w:tcPr>
          <w:p>
            <w:pPr>
              <w:pStyle w:val="Normal"/>
              <w:snapToGrid w:val="false"/>
              <w:spacing w:lineRule="auto" w:line="360"/>
              <w:jc w:val="end"/>
              <w:rPr>
                <w:color w:val="000000"/>
              </w:rPr>
            </w:pPr>
            <w:r>
              <w:rPr>
                <w:color w:val="000000"/>
              </w:rPr>
            </w:r>
          </w:p>
        </w:tc>
        <w:tc>
          <w:tcPr>
            <w:tcW w:w="3156" w:type="dxa"/>
            <w:gridSpan w:val="2"/>
            <w:tcBorders/>
          </w:tcPr>
          <w:p>
            <w:pPr>
              <w:pStyle w:val="Normal"/>
              <w:spacing w:lineRule="auto" w:line="360"/>
              <w:rPr>
                <w:b/>
                <w:color w:val="000000"/>
              </w:rPr>
            </w:pPr>
            <w:r>
              <w:rPr>
                <w:b/>
                <w:color w:val="000000"/>
              </w:rPr>
              <w:t>SDG&amp;E/SoCalGas Merger Credit</w:t>
            </w:r>
          </w:p>
        </w:tc>
        <w:tc>
          <w:tcPr>
            <w:tcW w:w="0" w:type="dxa"/>
            <w:vMerge w:val="continue"/>
            <w:tcBorders/>
          </w:tcPr>
          <w:p>
            <w:pPr>
              <w:pStyle w:val="Normal"/>
              <w:snapToGrid w:val="false"/>
              <w:spacing w:lineRule="auto" w:line="360"/>
              <w:jc w:val="end"/>
              <w:rPr>
                <w:b/>
                <w:color w:val="000000"/>
              </w:rPr>
            </w:pPr>
            <w:r>
              <w:rPr>
                <w:b/>
                <w:color w:val="000000"/>
              </w:rPr>
            </w:r>
          </w:p>
        </w:tc>
        <w:tc>
          <w:tcPr>
            <w:tcW w:w="1011"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center"/>
              <w:rPr>
                <w:color w:val="000000"/>
              </w:rPr>
            </w:pPr>
            <w:r>
              <w:rPr>
                <w:color w:val="000000"/>
              </w:rPr>
              <w:t>2002</w:t>
            </w:r>
          </w:p>
        </w:tc>
        <w:tc>
          <w:tcPr>
            <w:tcW w:w="1010" w:type="dxa"/>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center"/>
              <w:rPr>
                <w:color w:val="000000"/>
              </w:rPr>
            </w:pPr>
            <w:r>
              <w:rPr>
                <w:color w:val="000000"/>
              </w:rPr>
              <w:t>2003</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pacing w:lineRule="auto" w:line="360"/>
              <w:rPr/>
            </w:pPr>
            <w:r>
              <w:rPr>
                <w:b/>
                <w:color w:val="000000"/>
              </w:rPr>
              <w:t>SDG&amp;E</w:t>
            </w:r>
            <w:r>
              <w:rPr>
                <w:color w:val="000000"/>
              </w:rPr>
              <w:t>:</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3156" w:type="dxa"/>
            <w:gridSpan w:val="2"/>
            <w:tcBorders/>
          </w:tcPr>
          <w:p>
            <w:pPr>
              <w:pStyle w:val="Normal"/>
              <w:spacing w:lineRule="auto" w:line="360"/>
              <w:rPr>
                <w:color w:val="000000"/>
              </w:rPr>
            </w:pPr>
            <w:r>
              <w:rPr>
                <w:color w:val="000000"/>
              </w:rPr>
              <w:t xml:space="preserve">  </w:t>
            </w:r>
            <w:r>
              <w:rPr>
                <w:color w:val="000000"/>
              </w:rPr>
              <w:t>Merger Savings (customer)</w:t>
            </w:r>
          </w:p>
        </w:tc>
        <w:tc>
          <w:tcPr>
            <w:tcW w:w="0" w:type="dxa"/>
            <w:vMerge w:val="continue"/>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20.7 </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21.3 </w:t>
            </w:r>
          </w:p>
        </w:tc>
        <w:tc>
          <w:tcPr>
            <w:tcW w:w="332" w:type="dxa"/>
            <w:tcBorders/>
          </w:tcPr>
          <w:p>
            <w:pPr>
              <w:pStyle w:val="Normal"/>
              <w:spacing w:lineRule="auto" w:line="360"/>
              <w:rPr>
                <w:i/>
                <w:i/>
                <w:color w:val="000000"/>
              </w:rPr>
            </w:pPr>
            <w:r>
              <w:rPr>
                <w:i/>
                <w:color w:val="000000"/>
              </w:rPr>
              <w:t>(1)</w:t>
            </w:r>
          </w:p>
        </w:tc>
        <w:tc>
          <w:tcPr>
            <w:tcW w:w="961" w:type="dxa"/>
            <w:tcBorders/>
          </w:tcPr>
          <w:p>
            <w:pPr>
              <w:pStyle w:val="Normal"/>
              <w:snapToGrid w:val="false"/>
              <w:spacing w:lineRule="auto" w:line="360"/>
              <w:jc w:val="end"/>
              <w:rPr>
                <w:i/>
                <w:i/>
                <w:color w:val="000000"/>
              </w:rPr>
            </w:pPr>
            <w:r>
              <w:rPr>
                <w:i/>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3156" w:type="dxa"/>
            <w:gridSpan w:val="2"/>
            <w:tcBorders/>
          </w:tcPr>
          <w:p>
            <w:pPr>
              <w:pStyle w:val="Normal"/>
              <w:spacing w:lineRule="auto" w:line="360"/>
              <w:rPr>
                <w:color w:val="000000"/>
              </w:rPr>
            </w:pPr>
            <w:r>
              <w:rPr>
                <w:color w:val="000000"/>
              </w:rPr>
              <w:t xml:space="preserve">  </w:t>
            </w:r>
            <w:r>
              <w:rPr>
                <w:color w:val="000000"/>
              </w:rPr>
              <w:t>Less Costs to Achieve</w:t>
            </w:r>
          </w:p>
        </w:tc>
        <w:tc>
          <w:tcPr>
            <w:tcW w:w="0" w:type="dxa"/>
            <w:vMerge w:val="continue"/>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end"/>
              <w:rPr>
                <w:color w:val="000000"/>
              </w:rPr>
            </w:pPr>
            <w:r>
              <w:rPr>
                <w:color w:val="000000"/>
              </w:rPr>
              <w:t xml:space="preserve">        </w:t>
            </w:r>
            <w:r>
              <w:rPr>
                <w:color w:val="000000"/>
              </w:rPr>
              <w:t>(4.8)</w:t>
            </w:r>
          </w:p>
        </w:tc>
        <w:tc>
          <w:tcPr>
            <w:tcW w:w="1010" w:type="dxa"/>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end"/>
              <w:rPr>
                <w:color w:val="000000"/>
              </w:rPr>
            </w:pPr>
            <w:r>
              <w:rPr>
                <w:color w:val="000000"/>
              </w:rPr>
              <w:t xml:space="preserve">          </w:t>
            </w:r>
            <w:r>
              <w:rPr>
                <w:color w:val="000000"/>
              </w:rPr>
              <w:t xml:space="preserve">-   </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pacing w:lineRule="auto" w:line="360"/>
              <w:rPr>
                <w:color w:val="000000"/>
              </w:rPr>
            </w:pPr>
            <w:r>
              <w:rPr>
                <w:color w:val="000000"/>
              </w:rPr>
              <w:t xml:space="preserve">     </w:t>
            </w:r>
            <w:r>
              <w:rPr>
                <w:color w:val="000000"/>
              </w:rPr>
              <w:t>Net Merger Credit</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15.9 </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21.3 </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pacing w:lineRule="auto" w:line="360"/>
              <w:rPr/>
            </w:pPr>
            <w:r>
              <w:rPr>
                <w:b/>
                <w:color w:val="000000"/>
              </w:rPr>
              <w:t>SoCalGas</w:t>
            </w:r>
            <w:r>
              <w:rPr>
                <w:color w:val="000000"/>
              </w:rPr>
              <w:t>:</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3156" w:type="dxa"/>
            <w:gridSpan w:val="2"/>
            <w:tcBorders/>
          </w:tcPr>
          <w:p>
            <w:pPr>
              <w:pStyle w:val="Normal"/>
              <w:spacing w:lineRule="auto" w:line="360"/>
              <w:rPr>
                <w:color w:val="000000"/>
              </w:rPr>
            </w:pPr>
            <w:r>
              <w:rPr>
                <w:color w:val="000000"/>
              </w:rPr>
              <w:t xml:space="preserve">  </w:t>
            </w:r>
            <w:r>
              <w:rPr>
                <w:color w:val="000000"/>
              </w:rPr>
              <w:t>Merger Savings (customer)</w:t>
            </w:r>
          </w:p>
        </w:tc>
        <w:tc>
          <w:tcPr>
            <w:tcW w:w="0" w:type="dxa"/>
            <w:vMerge w:val="continue"/>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42.9 </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44.2 </w:t>
            </w:r>
          </w:p>
        </w:tc>
        <w:tc>
          <w:tcPr>
            <w:tcW w:w="332" w:type="dxa"/>
            <w:tcBorders/>
          </w:tcPr>
          <w:p>
            <w:pPr>
              <w:pStyle w:val="Normal"/>
              <w:spacing w:lineRule="auto" w:line="360"/>
              <w:rPr>
                <w:i/>
                <w:i/>
                <w:color w:val="000000"/>
              </w:rPr>
            </w:pPr>
            <w:r>
              <w:rPr>
                <w:i/>
                <w:color w:val="000000"/>
              </w:rPr>
              <w:t>(1)</w:t>
            </w:r>
          </w:p>
        </w:tc>
        <w:tc>
          <w:tcPr>
            <w:tcW w:w="961" w:type="dxa"/>
            <w:tcBorders/>
          </w:tcPr>
          <w:p>
            <w:pPr>
              <w:pStyle w:val="Normal"/>
              <w:snapToGrid w:val="false"/>
              <w:spacing w:lineRule="auto" w:line="360"/>
              <w:jc w:val="end"/>
              <w:rPr>
                <w:i/>
                <w:i/>
                <w:color w:val="000000"/>
              </w:rPr>
            </w:pPr>
            <w:r>
              <w:rPr>
                <w:i/>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3156" w:type="dxa"/>
            <w:gridSpan w:val="2"/>
            <w:tcBorders/>
          </w:tcPr>
          <w:p>
            <w:pPr>
              <w:pStyle w:val="Normal"/>
              <w:spacing w:lineRule="auto" w:line="360"/>
              <w:rPr>
                <w:color w:val="000000"/>
              </w:rPr>
            </w:pPr>
            <w:r>
              <w:rPr>
                <w:color w:val="000000"/>
              </w:rPr>
              <w:t xml:space="preserve">  </w:t>
            </w:r>
            <w:r>
              <w:rPr>
                <w:color w:val="000000"/>
              </w:rPr>
              <w:t>Less Costs to Achieve</w:t>
            </w:r>
          </w:p>
        </w:tc>
        <w:tc>
          <w:tcPr>
            <w:tcW w:w="0" w:type="dxa"/>
            <w:vMerge w:val="continue"/>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end"/>
              <w:rPr>
                <w:color w:val="000000"/>
              </w:rPr>
            </w:pPr>
            <w:r>
              <w:rPr>
                <w:color w:val="000000"/>
              </w:rPr>
              <w:t xml:space="preserve">      </w:t>
            </w:r>
            <w:r>
              <w:rPr>
                <w:color w:val="000000"/>
              </w:rPr>
              <w:t>(10.0)</w:t>
            </w:r>
          </w:p>
        </w:tc>
        <w:tc>
          <w:tcPr>
            <w:tcW w:w="1010" w:type="dxa"/>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end"/>
              <w:rPr>
                <w:color w:val="000000"/>
              </w:rPr>
            </w:pPr>
            <w:r>
              <w:rPr>
                <w:color w:val="000000"/>
              </w:rPr>
              <w:t xml:space="preserve">          </w:t>
            </w:r>
            <w:r>
              <w:rPr>
                <w:color w:val="000000"/>
              </w:rPr>
              <w:t xml:space="preserve">-   </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pacing w:lineRule="auto" w:line="360"/>
              <w:rPr>
                <w:color w:val="000000"/>
              </w:rPr>
            </w:pPr>
            <w:r>
              <w:rPr>
                <w:color w:val="000000"/>
              </w:rPr>
              <w:t xml:space="preserve">     </w:t>
            </w:r>
            <w:r>
              <w:rPr>
                <w:color w:val="000000"/>
              </w:rPr>
              <w:t>Net Merger Credit</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32.9 </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44.2 </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pacing w:lineRule="auto" w:line="360"/>
              <w:rPr/>
            </w:pPr>
            <w:r>
              <w:rPr>
                <w:b/>
                <w:color w:val="000000"/>
              </w:rPr>
              <w:t>Total</w:t>
            </w:r>
            <w:r>
              <w:rPr>
                <w:color w:val="000000"/>
              </w:rPr>
              <w:t>:</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3156" w:type="dxa"/>
            <w:gridSpan w:val="2"/>
            <w:tcBorders/>
          </w:tcPr>
          <w:p>
            <w:pPr>
              <w:pStyle w:val="Normal"/>
              <w:spacing w:lineRule="auto" w:line="360"/>
              <w:rPr>
                <w:color w:val="000000"/>
              </w:rPr>
            </w:pPr>
            <w:r>
              <w:rPr>
                <w:color w:val="000000"/>
              </w:rPr>
              <w:t xml:space="preserve">  </w:t>
            </w:r>
            <w:r>
              <w:rPr>
                <w:color w:val="000000"/>
              </w:rPr>
              <w:t>Merger Savings (customer)</w:t>
            </w:r>
          </w:p>
        </w:tc>
        <w:tc>
          <w:tcPr>
            <w:tcW w:w="0" w:type="dxa"/>
            <w:vMerge w:val="continue"/>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63.6 </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65.5 </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3156" w:type="dxa"/>
            <w:gridSpan w:val="2"/>
            <w:tcBorders/>
          </w:tcPr>
          <w:p>
            <w:pPr>
              <w:pStyle w:val="Normal"/>
              <w:spacing w:lineRule="auto" w:line="360"/>
              <w:rPr>
                <w:color w:val="000000"/>
              </w:rPr>
            </w:pPr>
            <w:r>
              <w:rPr>
                <w:color w:val="000000"/>
              </w:rPr>
              <w:t xml:space="preserve">  </w:t>
            </w:r>
            <w:r>
              <w:rPr>
                <w:color w:val="000000"/>
              </w:rPr>
              <w:t>Less Costs to Achieve</w:t>
            </w:r>
          </w:p>
        </w:tc>
        <w:tc>
          <w:tcPr>
            <w:tcW w:w="0" w:type="dxa"/>
            <w:vMerge w:val="continue"/>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end"/>
              <w:rPr>
                <w:color w:val="000000"/>
              </w:rPr>
            </w:pPr>
            <w:r>
              <w:rPr>
                <w:color w:val="000000"/>
              </w:rPr>
              <w:t xml:space="preserve">      </w:t>
            </w:r>
            <w:r>
              <w:rPr>
                <w:color w:val="000000"/>
              </w:rPr>
              <w:t>(14.8)</w:t>
            </w:r>
          </w:p>
        </w:tc>
        <w:tc>
          <w:tcPr>
            <w:tcW w:w="1010" w:type="dxa"/>
            <w:tcBorders/>
          </w:tcPr>
          <w:p>
            <w:pPr>
              <w:pStyle w:val="Normal"/>
              <w:snapToGrid w:val="false"/>
              <w:spacing w:lineRule="auto" w:line="360"/>
              <w:jc w:val="end"/>
              <w:rPr>
                <w:color w:val="000000"/>
              </w:rPr>
            </w:pPr>
            <w:r>
              <w:rPr>
                <w:color w:val="000000"/>
              </w:rPr>
            </w:r>
          </w:p>
        </w:tc>
        <w:tc>
          <w:tcPr>
            <w:tcW w:w="1011" w:type="dxa"/>
            <w:tcBorders>
              <w:bottom w:val="single" w:sz="6" w:space="0" w:color="000000"/>
            </w:tcBorders>
          </w:tcPr>
          <w:p>
            <w:pPr>
              <w:pStyle w:val="Normal"/>
              <w:spacing w:lineRule="auto" w:line="360"/>
              <w:jc w:val="end"/>
              <w:rPr>
                <w:color w:val="000000"/>
              </w:rPr>
            </w:pPr>
            <w:r>
              <w:rPr>
                <w:color w:val="000000"/>
              </w:rPr>
              <w:t xml:space="preserve">          </w:t>
            </w:r>
            <w:r>
              <w:rPr>
                <w:color w:val="000000"/>
              </w:rPr>
              <w:t xml:space="preserve">-   </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pacing w:lineRule="auto" w:line="360"/>
              <w:rPr>
                <w:color w:val="000000"/>
              </w:rPr>
            </w:pPr>
            <w:r>
              <w:rPr>
                <w:color w:val="000000"/>
              </w:rPr>
              <w:t xml:space="preserve">     </w:t>
            </w:r>
            <w:r>
              <w:rPr>
                <w:color w:val="000000"/>
              </w:rPr>
              <w:t>Net Merger Credit</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48.8 </w:t>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pacing w:lineRule="auto" w:line="360"/>
              <w:jc w:val="end"/>
              <w:rPr>
                <w:color w:val="000000"/>
              </w:rPr>
            </w:pPr>
            <w:r>
              <w:rPr>
                <w:color w:val="000000"/>
              </w:rPr>
              <w:t xml:space="preserve">       </w:t>
            </w:r>
            <w:r>
              <w:rPr>
                <w:color w:val="000000"/>
              </w:rPr>
              <w:t xml:space="preserve">65.5 </w:t>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2146"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1010" w:type="dxa"/>
            <w:tcBorders/>
          </w:tcPr>
          <w:p>
            <w:pPr>
              <w:pStyle w:val="Normal"/>
              <w:snapToGrid w:val="false"/>
              <w:spacing w:lineRule="auto" w:line="360"/>
              <w:jc w:val="end"/>
              <w:rPr>
                <w:color w:val="000000"/>
              </w:rPr>
            </w:pPr>
            <w:r>
              <w:rPr>
                <w:color w:val="000000"/>
              </w:rPr>
            </w:r>
          </w:p>
        </w:tc>
        <w:tc>
          <w:tcPr>
            <w:tcW w:w="1011" w:type="dxa"/>
            <w:tcBorders/>
          </w:tcPr>
          <w:p>
            <w:pPr>
              <w:pStyle w:val="Normal"/>
              <w:snapToGrid w:val="false"/>
              <w:spacing w:lineRule="auto" w:line="360"/>
              <w:jc w:val="end"/>
              <w:rPr>
                <w:color w:val="000000"/>
              </w:rPr>
            </w:pPr>
            <w:r>
              <w:rPr>
                <w:color w:val="000000"/>
              </w:rPr>
            </w:r>
          </w:p>
        </w:tc>
        <w:tc>
          <w:tcPr>
            <w:tcW w:w="332" w:type="dxa"/>
            <w:tcBorders/>
          </w:tcPr>
          <w:p>
            <w:pPr>
              <w:pStyle w:val="Normal"/>
              <w:snapToGrid w:val="false"/>
              <w:spacing w:lineRule="auto" w:line="360"/>
              <w:jc w:val="end"/>
              <w:rPr>
                <w:color w:val="000000"/>
              </w:rPr>
            </w:pPr>
            <w:r>
              <w:rPr>
                <w:color w:val="000000"/>
              </w:rPr>
            </w:r>
          </w:p>
        </w:tc>
        <w:tc>
          <w:tcPr>
            <w:tcW w:w="961" w:type="dxa"/>
            <w:tcBorders/>
          </w:tcPr>
          <w:p>
            <w:pPr>
              <w:pStyle w:val="Normal"/>
              <w:snapToGrid w:val="false"/>
              <w:spacing w:lineRule="auto" w:line="360"/>
              <w:jc w:val="end"/>
              <w:rPr>
                <w:color w:val="000000"/>
              </w:rPr>
            </w:pPr>
            <w:r>
              <w:rPr>
                <w:color w:val="000000"/>
              </w:rPr>
            </w:r>
          </w:p>
        </w:tc>
      </w:tr>
      <w:tr>
        <w:trPr>
          <w:trHeight w:val="262" w:hRule="atLeast"/>
        </w:trPr>
        <w:tc>
          <w:tcPr>
            <w:tcW w:w="710" w:type="dxa"/>
            <w:tcBorders/>
          </w:tcPr>
          <w:p>
            <w:pPr>
              <w:pStyle w:val="Normal"/>
              <w:snapToGrid w:val="false"/>
              <w:spacing w:lineRule="auto" w:line="360"/>
              <w:jc w:val="end"/>
              <w:rPr>
                <w:color w:val="000000"/>
              </w:rPr>
            </w:pPr>
            <w:r>
              <w:rPr>
                <w:color w:val="000000"/>
              </w:rPr>
            </w:r>
          </w:p>
        </w:tc>
        <w:tc>
          <w:tcPr>
            <w:tcW w:w="7481" w:type="dxa"/>
            <w:gridSpan w:val="7"/>
            <w:tcBorders/>
          </w:tcPr>
          <w:p>
            <w:pPr>
              <w:pStyle w:val="Normal"/>
              <w:spacing w:lineRule="auto" w:line="360"/>
              <w:rPr>
                <w:i/>
                <w:i/>
                <w:color w:val="000000"/>
              </w:rPr>
            </w:pPr>
            <w:r>
              <w:rPr>
                <w:i/>
                <w:color w:val="000000"/>
              </w:rPr>
              <w:t xml:space="preserve">     </w:t>
            </w:r>
            <w:r>
              <w:rPr>
                <w:i/>
                <w:color w:val="000000"/>
              </w:rPr>
              <w:t>(1) Reflects 2002 amount escalated by 3% estimated inflation factor.</w:t>
            </w:r>
          </w:p>
        </w:tc>
        <w:tc>
          <w:tcPr>
            <w:tcW w:w="0" w:type="dxa"/>
            <w:vMerge w:val="continue"/>
            <w:tcBorders/>
          </w:tcPr>
          <w:p>
            <w:pPr>
              <w:pStyle w:val="Normal"/>
              <w:snapToGrid w:val="false"/>
              <w:spacing w:lineRule="auto" w:line="360"/>
              <w:jc w:val="end"/>
              <w:rPr>
                <w:i/>
                <w:i/>
                <w:color w:val="000000"/>
              </w:rPr>
            </w:pPr>
            <w:r>
              <w:rPr>
                <w:i/>
                <w:color w:val="000000"/>
              </w:rPr>
            </w:r>
          </w:p>
        </w:tc>
        <w:tc>
          <w:tcPr>
            <w:tcW w:w="0" w:type="dxa"/>
            <w:vMerge w:val="continue"/>
            <w:tcBorders/>
          </w:tcPr>
          <w:p>
            <w:pPr>
              <w:pStyle w:val="Normal"/>
              <w:snapToGrid w:val="false"/>
              <w:spacing w:lineRule="auto" w:line="360"/>
              <w:jc w:val="end"/>
              <w:rPr>
                <w:color w:val="000000"/>
              </w:rPr>
            </w:pPr>
            <w:r>
              <w:rPr>
                <w:color w:val="000000"/>
              </w:rPr>
            </w:r>
          </w:p>
        </w:tc>
        <w:tc>
          <w:tcPr>
            <w:tcW w:w="0" w:type="dxa"/>
            <w:vMerge w:val="continue"/>
            <w:tcBorders/>
          </w:tcPr>
          <w:p>
            <w:pPr>
              <w:pStyle w:val="Normal"/>
              <w:snapToGrid w:val="false"/>
              <w:spacing w:lineRule="auto" w:line="360"/>
              <w:jc w:val="end"/>
              <w:rPr>
                <w:color w:val="000000"/>
              </w:rPr>
            </w:pPr>
            <w:r>
              <w:rPr>
                <w:color w:val="000000"/>
              </w:rPr>
            </w:r>
          </w:p>
        </w:tc>
        <w:tc>
          <w:tcPr>
            <w:tcW w:w="0" w:type="dxa"/>
            <w:vMerge w:val="continue"/>
            <w:tcBorders/>
          </w:tcPr>
          <w:p>
            <w:pPr>
              <w:pStyle w:val="Normal"/>
              <w:snapToGrid w:val="false"/>
              <w:spacing w:lineRule="auto" w:line="360"/>
              <w:jc w:val="end"/>
              <w:rPr>
                <w:color w:val="000000"/>
              </w:rPr>
            </w:pPr>
            <w:r>
              <w:rPr>
                <w:color w:val="000000"/>
              </w:rPr>
            </w:r>
          </w:p>
        </w:tc>
        <w:tc>
          <w:tcPr>
            <w:tcW w:w="0" w:type="dxa"/>
            <w:vMerge w:val="continue"/>
            <w:tcBorders/>
          </w:tcPr>
          <w:p>
            <w:pPr>
              <w:pStyle w:val="Normal"/>
              <w:snapToGrid w:val="false"/>
              <w:spacing w:lineRule="auto" w:line="360"/>
              <w:jc w:val="end"/>
              <w:rPr>
                <w:color w:val="000000"/>
              </w:rPr>
            </w:pPr>
            <w:r>
              <w:rPr>
                <w:color w:val="000000"/>
              </w:rPr>
            </w:r>
          </w:p>
        </w:tc>
        <w:tc>
          <w:tcPr>
            <w:tcW w:w="0" w:type="dxa"/>
            <w:vMerge w:val="continue"/>
            <w:tcBorders/>
          </w:tcPr>
          <w:p>
            <w:pPr>
              <w:pStyle w:val="Normal"/>
              <w:snapToGrid w:val="false"/>
              <w:spacing w:lineRule="auto" w:line="360"/>
              <w:jc w:val="end"/>
              <w:rPr>
                <w:color w:val="000000"/>
              </w:rPr>
            </w:pPr>
            <w:r>
              <w:rPr>
                <w:color w:val="000000"/>
              </w:rPr>
            </w:r>
          </w:p>
        </w:tc>
      </w:tr>
    </w:tbl>
    <w:p>
      <w:pPr>
        <w:pStyle w:val="Normal"/>
        <w:spacing w:lineRule="auto" w:line="360"/>
        <w:rPr>
          <w:sz w:val="24"/>
        </w:rPr>
      </w:pPr>
      <w:r>
        <w:rPr>
          <w:sz w:val="24"/>
        </w:rPr>
      </w:r>
    </w:p>
    <w:p>
      <w:pPr>
        <w:pStyle w:val="Normal"/>
        <w:spacing w:lineRule="auto" w:line="360"/>
        <w:ind w:firstLine="720" w:end="0"/>
        <w:rPr>
          <w:sz w:val="24"/>
        </w:rPr>
      </w:pPr>
      <w:r>
        <w:rPr>
          <w:sz w:val="24"/>
        </w:rPr>
        <w:t xml:space="preserve">Using this methodology, the merger savings from 2002 are used as a base, but are then adjusted for inflation and to back out the “costs to achieve” which will have been fully amortized.  SDG&amp;E/SoCalGas submit that this is a reasonable manner in which to calculate the appropriate merger credits for the year 2003, which would then be shared equally (50/50, as in the prior five years) between customers and shareholders.  Because the issue raised in this portion of the instant motion stems from the merger proceeding, SDG&amp;E/SoCalGas is serving this motion on all parties to A.96-10-038 as well as those in the respective cost of service/PBR dockets. </w:t>
      </w:r>
    </w:p>
    <w:p>
      <w:pPr>
        <w:pStyle w:val="BodyTextIndent2"/>
        <w:rPr/>
      </w:pPr>
      <w:r>
        <w:rPr/>
        <w:t>SDG&amp;E and SoCalGas submit that continued sharing of merger synergies is particularly appropriate in light of provisions of the DWR/SDG&amp;E MOU that require SDG&amp;E and SoCalGas to significantly increase current levels of capital expenditures - -</w:t>
      </w:r>
      <w:r>
        <w:rPr>
          <w:color w:val="000000"/>
        </w:rPr>
        <w:t xml:space="preserve"> by approximately $600 million in the aggregate - - over the capital investments actually made at SDG&amp;E and Southern California Gas Company during the 6-year period 1995-2000.  </w:t>
      </w:r>
      <w:r>
        <w:rPr/>
        <w:t>Specifically, the MOU provides for</w:t>
      </w:r>
      <w:r>
        <w:rPr>
          <w:color w:val="000000"/>
        </w:rPr>
        <w:t xml:space="preserve"> capital investments of at least $3.0 billion in the aggregate</w:t>
      </w:r>
      <w:r>
        <w:rPr>
          <w:rStyle w:val="FootnoteCharacters"/>
          <w:rStyle w:val="FootnoteReference"/>
          <w:color w:val="000000"/>
        </w:rPr>
        <w:footnoteReference w:id="3"/>
      </w:r>
      <w:r>
        <w:rPr>
          <w:color w:val="000000"/>
        </w:rPr>
        <w:t xml:space="preserve"> during the 6-year period from 2001 through 2006,</w:t>
      </w:r>
      <w:r>
        <w:rPr>
          <w:i/>
          <w:color w:val="000000"/>
        </w:rPr>
        <w:t xml:space="preserve"> </w:t>
      </w:r>
      <w:r>
        <w:rPr/>
        <w:t>as follows:</w:t>
      </w:r>
    </w:p>
    <w:p>
      <w:pPr>
        <w:pStyle w:val="Normal"/>
        <w:ind w:start="720" w:end="720"/>
        <w:rPr/>
      </w:pPr>
      <w:r>
        <w:rPr>
          <w:sz w:val="24"/>
        </w:rPr>
        <w:t>“</w:t>
      </w:r>
      <w:r>
        <w:rPr>
          <w:i/>
          <w:color w:val="000000"/>
          <w:sz w:val="24"/>
        </w:rPr>
        <w:t>Parent shall commit to cause Utility and Southern California Gas Company to make capital investments in their businesses (exclusive of capital investments relating to Utility’s transmission business) of at least $3.0 billion in the aggregate (plus, if the Transmission Sale shall not occur, additional capital investments in Utility’s transmission business of at least $200 million (plus an additional $300 million if Utility funds the Valley Rainbow transmission line)) during the 6-year period from 2001 through 2006, or such lesser amount as the CPUC may approve, with the equity component thereof funded from utility retained earnings or, if insufficient, from Parent’s equity investment, provided that Utility and Southern California Gas Company will receive a return of and on equity in retail rates in accordance with their respective authorized rates of return and amortization schedules from time to time in effect.  Exclusive of capital investments relating to Utility’s transmission business, the foregoing commitments represent an increase of approximately $600 million in the aggregate over the capital investments actually made in Utility and Southern California Gas Company during the 6-year period 1995-2000.”</w:t>
      </w:r>
    </w:p>
    <w:p>
      <w:pPr>
        <w:pStyle w:val="Normal"/>
        <w:ind w:start="720" w:end="720"/>
        <w:rPr>
          <w:sz w:val="24"/>
        </w:rPr>
      </w:pPr>
      <w:r>
        <w:rPr>
          <w:sz w:val="24"/>
        </w:rPr>
        <w:t>(MOU, at p. 18.)</w:t>
        <w:br/>
      </w:r>
    </w:p>
    <w:p>
      <w:pPr>
        <w:pStyle w:val="zCaption"/>
        <w:widowControl/>
        <w:spacing w:lineRule="auto" w:line="360"/>
        <w:ind w:firstLine="720" w:end="0"/>
        <w:rPr/>
      </w:pPr>
      <w:r>
        <w:rPr>
          <w:rFonts w:cs="Times New Roman" w:ascii="Times New Roman" w:hAnsi="Times New Roman"/>
        </w:rPr>
        <w:t xml:space="preserve">The foregoing provision of the DWR/SDG&amp;E MOU provides for significant capital investments by SDG&amp;E and SoCalGas, beginning this year.  While continued sharing of merger savings will not be adequate to fully compensate SDG&amp;E and SoCalGas for this aspect of the </w:t>
      </w:r>
      <w:r>
        <w:rPr/>
        <w:t xml:space="preserve">DWR/SDG&amp;E </w:t>
      </w:r>
      <w:r>
        <w:rPr>
          <w:rFonts w:cs="Times New Roman" w:ascii="Times New Roman" w:hAnsi="Times New Roman"/>
        </w:rPr>
        <w:t xml:space="preserve">MOU, continued sharing of merger savings is particularly appropriate in light of the capital investment requirements that are imposed on SDG&amp;E and SoCalGas under the </w:t>
      </w:r>
      <w:r>
        <w:rPr/>
        <w:t xml:space="preserve">DWR/SDG&amp;E </w:t>
      </w:r>
      <w:r>
        <w:rPr>
          <w:rFonts w:cs="Times New Roman" w:ascii="Times New Roman" w:hAnsi="Times New Roman"/>
        </w:rPr>
        <w:t>MOU.</w:t>
      </w:r>
    </w:p>
    <w:p>
      <w:pPr>
        <w:pStyle w:val="Heading1"/>
        <w:ind w:hanging="0" w:start="0"/>
        <w:rPr>
          <w:rFonts w:ascii="Times New Roman" w:hAnsi="Times New Roman" w:cs="Times New Roman"/>
        </w:rPr>
      </w:pPr>
      <w:r>
        <w:rPr>
          <w:rFonts w:cs="Times New Roman"/>
        </w:rPr>
      </w:r>
    </w:p>
    <w:p>
      <w:pPr>
        <w:pStyle w:val="Heading1"/>
        <w:ind w:hanging="0" w:start="0"/>
        <w:rPr/>
      </w:pPr>
      <w:r>
        <w:rPr/>
        <w:t>IV.</w:t>
      </w:r>
    </w:p>
    <w:p>
      <w:pPr>
        <w:pStyle w:val="Heading1"/>
        <w:ind w:hanging="0" w:start="0"/>
        <w:rPr/>
      </w:pPr>
      <w:r>
        <w:rPr/>
        <w:t>CONCLUSION</w:t>
      </w:r>
    </w:p>
    <w:p>
      <w:pPr>
        <w:pStyle w:val="Normal"/>
        <w:spacing w:lineRule="auto" w:line="360"/>
        <w:rPr/>
      </w:pPr>
      <w:r>
        <w:rPr/>
        <w:tab/>
      </w:r>
      <w:r>
        <w:rPr>
          <w:sz w:val="24"/>
        </w:rPr>
        <w:t>Based upon the foregoing, and consistent with the DWR/SDG&amp;E MOU, SDG&amp;E and SoCalGas respectfully request that the Commission act expeditiously in response to this motion and:</w:t>
      </w:r>
    </w:p>
    <w:p>
      <w:pPr>
        <w:pStyle w:val="Normal"/>
        <w:numPr>
          <w:ilvl w:val="0"/>
          <w:numId w:val="2"/>
        </w:numPr>
        <w:tabs>
          <w:tab w:val="clear" w:pos="720"/>
          <w:tab w:val="left" w:pos="1080" w:leader="none"/>
        </w:tabs>
        <w:spacing w:lineRule="auto" w:line="360"/>
        <w:ind w:hanging="360" w:start="1080" w:end="0"/>
        <w:rPr>
          <w:sz w:val="24"/>
        </w:rPr>
      </w:pPr>
      <w:r>
        <w:rPr>
          <w:sz w:val="24"/>
        </w:rPr>
        <w:t>Grant the request of SDG&amp;E and SoCalGas for a one-year deferral of their PBR/COS proceedings and one-year extension of each utility's PBR mechanism; and,</w:t>
      </w:r>
    </w:p>
    <w:p>
      <w:pPr>
        <w:pStyle w:val="Normal"/>
        <w:numPr>
          <w:ilvl w:val="0"/>
          <w:numId w:val="2"/>
        </w:numPr>
        <w:tabs>
          <w:tab w:val="clear" w:pos="720"/>
          <w:tab w:val="left" w:pos="1080" w:leader="none"/>
        </w:tabs>
        <w:spacing w:lineRule="auto" w:line="360"/>
        <w:ind w:hanging="360" w:start="1080" w:end="0"/>
        <w:rPr>
          <w:sz w:val="24"/>
        </w:rPr>
      </w:pPr>
      <w:r>
        <w:rPr>
          <w:sz w:val="24"/>
        </w:rPr>
        <w:t>Grant the request of SDG&amp;E and SoCalGas for continued sharing of merger savings, after deducting costs to achieve (which have been fully amortized) and applying an inflation factor to the merger savings as described herein.</w:t>
      </w:r>
    </w:p>
    <w:p>
      <w:pPr>
        <w:pStyle w:val="Normal"/>
        <w:rPr>
          <w:sz w:val="24"/>
        </w:rPr>
      </w:pPr>
      <w:r>
        <w:rPr>
          <w:sz w:val="24"/>
        </w:rPr>
      </w:r>
    </w:p>
    <w:p>
      <w:pPr>
        <w:pStyle w:val="Normal"/>
        <w:ind w:firstLine="720" w:start="3600" w:end="0"/>
        <w:rPr>
          <w:sz w:val="24"/>
        </w:rPr>
      </w:pPr>
      <w:r>
        <w:rPr>
          <w:sz w:val="24"/>
        </w:rPr>
        <w:t xml:space="preserve">Respectfully submitted, </w:t>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t>_____________________________</w:t>
      </w:r>
    </w:p>
    <w:p>
      <w:pPr>
        <w:pStyle w:val="Normal"/>
        <w:tabs>
          <w:tab w:val="clear" w:pos="720"/>
          <w:tab w:val="left" w:pos="4320" w:leader="none"/>
        </w:tabs>
        <w:ind w:start="4320" w:end="0"/>
        <w:rPr>
          <w:sz w:val="24"/>
        </w:rPr>
      </w:pPr>
      <w:r>
        <w:rPr>
          <w:sz w:val="24"/>
        </w:rPr>
        <w:t>Jeffrey M. Parrott</w:t>
      </w:r>
    </w:p>
    <w:p>
      <w:pPr>
        <w:pStyle w:val="Normal"/>
        <w:tabs>
          <w:tab w:val="clear" w:pos="720"/>
          <w:tab w:val="left" w:pos="4320" w:leader="none"/>
        </w:tabs>
        <w:ind w:start="4320" w:end="0"/>
        <w:rPr>
          <w:sz w:val="24"/>
        </w:rPr>
      </w:pPr>
      <w:r>
        <w:rPr>
          <w:sz w:val="24"/>
        </w:rPr>
        <w:t>Keith W. Melville</w:t>
      </w:r>
    </w:p>
    <w:p>
      <w:pPr>
        <w:pStyle w:val="Normal"/>
        <w:tabs>
          <w:tab w:val="clear" w:pos="720"/>
          <w:tab w:val="left" w:pos="4320" w:leader="none"/>
        </w:tabs>
        <w:ind w:start="4320" w:end="0"/>
        <w:rPr>
          <w:sz w:val="24"/>
        </w:rPr>
      </w:pPr>
      <w:r>
        <w:rPr>
          <w:sz w:val="24"/>
        </w:rPr>
        <w:t xml:space="preserve">Attorneys for </w:t>
      </w:r>
    </w:p>
    <w:p>
      <w:pPr>
        <w:pStyle w:val="Normal"/>
        <w:tabs>
          <w:tab w:val="clear" w:pos="720"/>
          <w:tab w:val="left" w:pos="4320" w:leader="none"/>
        </w:tabs>
        <w:ind w:start="4320" w:end="-720"/>
        <w:rPr>
          <w:sz w:val="24"/>
        </w:rPr>
      </w:pPr>
      <w:r>
        <w:rPr>
          <w:sz w:val="24"/>
        </w:rPr>
        <w:t>San Diego Gas &amp; Electric Company and</w:t>
      </w:r>
    </w:p>
    <w:p>
      <w:pPr>
        <w:pStyle w:val="Normal"/>
        <w:tabs>
          <w:tab w:val="clear" w:pos="720"/>
          <w:tab w:val="left" w:pos="4320" w:leader="none"/>
        </w:tabs>
        <w:ind w:start="4320" w:end="-720"/>
        <w:rPr>
          <w:sz w:val="24"/>
        </w:rPr>
      </w:pPr>
      <w:r>
        <w:rPr>
          <w:sz w:val="24"/>
        </w:rPr>
        <w:t>Southern California Gas Company</w:t>
      </w:r>
    </w:p>
    <w:p>
      <w:pPr>
        <w:pStyle w:val="Normal"/>
        <w:tabs>
          <w:tab w:val="clear" w:pos="720"/>
          <w:tab w:val="left" w:pos="4320" w:leader="none"/>
        </w:tabs>
        <w:ind w:start="4320" w:end="0"/>
        <w:rPr>
          <w:sz w:val="24"/>
        </w:rPr>
      </w:pPr>
      <w:r>
        <w:rPr>
          <w:sz w:val="24"/>
        </w:rPr>
        <w:t>101 Ash Street</w:t>
      </w:r>
    </w:p>
    <w:p>
      <w:pPr>
        <w:pStyle w:val="Normal"/>
        <w:tabs>
          <w:tab w:val="clear" w:pos="720"/>
          <w:tab w:val="left" w:pos="4320" w:leader="none"/>
        </w:tabs>
        <w:ind w:start="4320" w:end="0"/>
        <w:rPr>
          <w:sz w:val="24"/>
        </w:rPr>
      </w:pPr>
      <w:r>
        <w:rPr>
          <w:sz w:val="24"/>
        </w:rPr>
        <w:t>San Diego, CA  92101</w:t>
      </w:r>
    </w:p>
    <w:p>
      <w:pPr>
        <w:pStyle w:val="Normal"/>
        <w:tabs>
          <w:tab w:val="clear" w:pos="720"/>
          <w:tab w:val="left" w:pos="4320" w:leader="none"/>
        </w:tabs>
        <w:ind w:start="4320" w:end="0"/>
        <w:rPr>
          <w:sz w:val="24"/>
        </w:rPr>
      </w:pPr>
      <w:r>
        <w:rPr>
          <w:sz w:val="24"/>
        </w:rPr>
        <w:t>Telephone:  (619) 699-5039</w:t>
      </w:r>
    </w:p>
    <w:p>
      <w:pPr>
        <w:pStyle w:val="Normal"/>
        <w:rPr>
          <w:sz w:val="24"/>
        </w:rPr>
      </w:pPr>
      <w:r>
        <w:rPr>
          <w:sz w:val="24"/>
        </w:rPr>
        <w:t>July 16, 2001</w:t>
        <w:tab/>
        <w:tab/>
        <w:tab/>
        <w:tab/>
        <w:tab/>
        <w:t>Facsimile:   (619) 699-5027</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ab/>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ab/>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rPr/>
      </w:pPr>
      <w:r>
        <w:rPr>
          <w:rStyle w:val="FootnoteCharacters"/>
        </w:rPr>
        <w:footnoteRef/>
      </w:r>
      <w:r>
        <w:rPr/>
        <w:t xml:space="preserve"> </w:t>
      </w:r>
      <w:r>
        <w:rPr/>
        <w:t xml:space="preserve">As for workload, the above-referenced rate cases do not include other major proceedings to be litigated in 2002 such as the SoCal Gas and SDG&amp;E BCAPs.  </w:t>
      </w:r>
    </w:p>
    <w:p>
      <w:pPr>
        <w:pStyle w:val="FootnoteText"/>
        <w:spacing w:lineRule="auto" w:line="240"/>
        <w:rPr/>
      </w:pPr>
      <w:r>
        <w:rPr/>
      </w:r>
    </w:p>
  </w:footnote>
  <w:footnote w:id="3">
    <w:p>
      <w:pPr>
        <w:pStyle w:val="FootnoteText"/>
        <w:spacing w:lineRule="auto" w:line="240"/>
        <w:rPr/>
      </w:pPr>
      <w:r>
        <w:rPr>
          <w:rStyle w:val="FootnoteCharacters"/>
        </w:rPr>
        <w:footnoteRef/>
      </w:r>
      <w:r>
        <w:rPr/>
        <w:t xml:space="preserve"> </w:t>
      </w:r>
      <w:r>
        <w:rPr>
          <w:color w:val="000000"/>
        </w:rPr>
        <w:t xml:space="preserve"> </w:t>
      </w:r>
      <w:r>
        <w:rPr>
          <w:color w:val="000000"/>
        </w:rPr>
        <w:t>Plus, if the transmission sale provided for in the MOU shall not occur, SDG&amp;E is required to make additional capital investments in it’s transmission business of at least $200 million - - plus an additional $300 million if it funds the Valley Rainbow transmission line.</w:t>
      </w:r>
      <w:r>
        <w:rPr/>
        <w:t xml:space="preserve"> </w:t>
      </w:r>
    </w:p>
    <w:p>
      <w:pPr>
        <w:pStyle w:val="FootnoteText"/>
        <w:spacing w:lineRule="auto" w:line="24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lang w:eastAsia="en-US"/>
    </w:rPr>
  </w:style>
  <w:style w:type="paragraph" w:styleId="Heading5">
    <w:name w:val="heading 5"/>
    <w:basedOn w:val="Normal"/>
    <w:next w:val="Normal"/>
    <w:qFormat/>
    <w:pPr>
      <w:keepNext w:val="true"/>
      <w:numPr>
        <w:ilvl w:val="4"/>
        <w:numId w:val="1"/>
      </w:numPr>
      <w:outlineLvl w:val="4"/>
    </w:pPr>
    <w:rPr>
      <w:b/>
      <w:sz w:val="24"/>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360"/>
      <w:jc w:val="center"/>
    </w:pPr>
    <w:rPr>
      <w:b/>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Caption">
    <w:name w:val="zCaption"/>
    <w:basedOn w:val="Normal"/>
    <w:qFormat/>
    <w:pPr>
      <w:widowControl w:val="false"/>
    </w:pPr>
    <w:rPr>
      <w:rFonts w:ascii="NewCenturySchlbk;Century Schoolbook" w:hAnsi="NewCenturySchlbk;Century Schoolbook" w:cs="NewCenturySchlbk;Century Schoolbook"/>
      <w:sz w:val="24"/>
      <w:lang w:eastAsia="en-US"/>
    </w:rPr>
  </w:style>
  <w:style w:type="paragraph" w:styleId="zAppNo">
    <w:name w:val="zAppNo"/>
    <w:basedOn w:val="Normal"/>
    <w:qFormat/>
    <w:pPr>
      <w:widowControl w:val="false"/>
      <w:spacing w:lineRule="atLeast" w:line="240" w:before="240" w:after="0"/>
      <w:jc w:val="center"/>
    </w:pPr>
    <w:rPr>
      <w:rFonts w:ascii="NewCenturySchlbk;Century Schoolbook" w:hAnsi="NewCenturySchlbk;Century Schoolbook" w:cs="NewCenturySchlbk;Century Schoolbook"/>
      <w:sz w:val="24"/>
      <w:lang w:eastAsia="en-US"/>
    </w:rPr>
  </w:style>
  <w:style w:type="paragraph" w:styleId="BodyTextIndent">
    <w:name w:val="Body Text Indent"/>
    <w:basedOn w:val="Normal"/>
    <w:pPr>
      <w:spacing w:lineRule="auto" w:line="360"/>
      <w:ind w:firstLine="360" w:start="0" w:end="0"/>
    </w:pPr>
    <w:rPr>
      <w:b/>
      <w:i/>
      <w:sz w:val="24"/>
      <w:lang w:eastAsia="en-US"/>
    </w:rPr>
  </w:style>
  <w:style w:type="paragraph" w:styleId="FootnoteText">
    <w:name w:val="footnote text"/>
    <w:basedOn w:val="Normal"/>
    <w:pPr>
      <w:spacing w:lineRule="auto" w:line="36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lineRule="auto" w:line="360"/>
    </w:pPr>
    <w:rPr>
      <w:sz w:val="24"/>
      <w:lang w:eastAsia="en-US"/>
    </w:rPr>
  </w:style>
  <w:style w:type="paragraph" w:styleId="BodyTextIndent2">
    <w:name w:val="Body Text Indent 2"/>
    <w:basedOn w:val="Normal"/>
    <w:qFormat/>
    <w:pPr>
      <w:spacing w:lineRule="auto" w:line="360"/>
      <w:ind w:firstLine="720" w:start="0" w:end="0"/>
    </w:pPr>
    <w:rPr>
      <w:sz w:val="24"/>
    </w:rPr>
  </w:style>
  <w:style w:type="paragraph" w:styleId="BodyTextIndent3">
    <w:name w:val="Body Text Indent 3"/>
    <w:basedOn w:val="Normal"/>
    <w:qFormat/>
    <w:pPr>
      <w:spacing w:lineRule="auto" w:line="360"/>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2001-07-16T17:57:00Z</dcterms:created>
  <dc:creator/>
  <dc:description/>
  <dc:language>en-CA</dc:language>
  <cp:lastModifiedBy>SEMPRA</cp:lastModifiedBy>
  <cp:lastPrinted>2001-07-16T14:42:00Z</cp:lastPrinted>
  <dcterms:modified xsi:type="dcterms:W3CDTF">2001-07-16T19:12:00Z</dcterms:modified>
  <cp:revision>18</cp:revision>
  <dc:subject/>
  <dc:title/>
</cp:coreProperties>
</file>