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t>ALJ/JSW/t93</w:t>
        <w:tab/>
        <w:tab/>
        <w:tab/>
        <w:tab/>
      </w:r>
      <w:r>
        <w:rPr>
          <w:b/>
        </w:rPr>
        <w:tab/>
        <w:tab/>
        <w:tab/>
      </w:r>
    </w:p>
    <w:p>
      <w:pPr>
        <w:pStyle w:val="Footer"/>
        <w:tabs>
          <w:tab w:val="clear" w:pos="4320"/>
          <w:tab w:val="clear" w:pos="8640"/>
          <w:tab w:val="left" w:pos="630" w:leader="none"/>
        </w:tabs>
        <w:rPr>
          <w:b/>
        </w:rPr>
      </w:pPr>
      <w:r>
        <w:rPr/>
        <w:tab/>
        <w:tab/>
        <w:tab/>
        <w:tab/>
        <w:tab/>
        <w:tab/>
        <w:tab/>
        <w:tab/>
        <w:tab/>
        <w:tab/>
        <w:tab/>
      </w:r>
    </w:p>
    <w:p>
      <w:pPr>
        <w:pStyle w:val="Footer"/>
        <w:tabs>
          <w:tab w:val="clear" w:pos="4320"/>
          <w:tab w:val="clear" w:pos="8640"/>
          <w:tab w:val="left" w:pos="630" w:leader="none"/>
        </w:tabs>
        <w:rPr>
          <w:b/>
        </w:rPr>
      </w:pPr>
      <w:r>
        <w:rPr>
          <w:b/>
        </w:rPr>
      </w:r>
    </w:p>
    <w:p>
      <w:pPr>
        <w:pStyle w:val="Footer"/>
        <w:tabs>
          <w:tab w:val="clear" w:pos="4320"/>
          <w:tab w:val="clear" w:pos="8640"/>
          <w:tab w:val="left" w:pos="630" w:leader="none"/>
        </w:tabs>
        <w:ind w:end="-1350"/>
        <w:rPr>
          <w:rFonts w:ascii="Helvetica" w:hAnsi="Helvetica" w:cs="Helvetica"/>
          <w:b/>
          <w:sz w:val="24"/>
        </w:rPr>
      </w:pPr>
      <w:r>
        <w:rPr>
          <w:rFonts w:cs="Helvetica" w:ascii="Helvetica" w:hAnsi="Helvetica"/>
          <w:b/>
          <w:sz w:val="24"/>
        </w:rPr>
        <w:t>BEFORE THE PUBLIC UTILITIES COMMISSION OF THE STATE OF CALIFORNIA</w:t>
      </w:r>
    </w:p>
    <w:p>
      <w:pPr>
        <w:pStyle w:val="Footer"/>
        <w:tabs>
          <w:tab w:val="clear" w:pos="4320"/>
          <w:tab w:val="clear" w:pos="8640"/>
          <w:tab w:val="left" w:pos="630" w:leader="none"/>
        </w:tabs>
        <w:rPr>
          <w:rFonts w:ascii="Helvetica" w:hAnsi="Helvetica" w:cs="Helvetica"/>
          <w:b/>
          <w:sz w:val="24"/>
        </w:rPr>
      </w:pPr>
      <w:r>
        <w:rPr>
          <w:rFonts w:cs="Helvetica" w:ascii="Helvetica" w:hAnsi="Helvetica"/>
          <w:b/>
          <w:sz w:val="24"/>
        </w:rPr>
      </w:r>
    </w:p>
    <w:tbl>
      <w:tblPr>
        <w:tblW w:w="10008" w:type="dxa"/>
        <w:jc w:val="start"/>
        <w:tblInd w:w="0" w:type="dxa"/>
        <w:tblLayout w:type="fixed"/>
        <w:tblCellMar>
          <w:top w:w="0" w:type="dxa"/>
          <w:start w:w="108" w:type="dxa"/>
          <w:bottom w:w="0" w:type="dxa"/>
          <w:end w:w="108" w:type="dxa"/>
        </w:tblCellMar>
      </w:tblPr>
      <w:tblGrid>
        <w:gridCol w:w="5958"/>
        <w:gridCol w:w="4050"/>
      </w:tblGrid>
      <w:tr>
        <w:trPr/>
        <w:tc>
          <w:tcPr>
            <w:tcW w:w="5958" w:type="dxa"/>
            <w:tcBorders>
              <w:bottom w:val="single" w:sz="6" w:space="0" w:color="000000"/>
              <w:end w:val="single" w:sz="6" w:space="0" w:color="000000"/>
            </w:tcBorders>
          </w:tcPr>
          <w:p>
            <w:pPr>
              <w:pStyle w:val="Normal"/>
              <w:rPr/>
            </w:pPr>
            <w:r>
              <w:rPr/>
              <w:t>Order Instituting Rulemaking into whether the curtailment and diversion priorities for noncore natural gas customers in the service territories of Pacific Gas and Electric Company, and Southern California Gas Company should be changed.</w:t>
            </w:r>
          </w:p>
          <w:p>
            <w:pPr>
              <w:pStyle w:val="Footer"/>
              <w:tabs>
                <w:tab w:val="clear" w:pos="4320"/>
                <w:tab w:val="clear" w:pos="8640"/>
                <w:tab w:val="left" w:pos="2160" w:leader="none"/>
                <w:tab w:val="left" w:pos="3600" w:leader="none"/>
              </w:tabs>
              <w:rPr/>
            </w:pPr>
            <w:r>
              <w:rPr/>
            </w:r>
          </w:p>
        </w:tc>
        <w:tc>
          <w:tcPr>
            <w:tcW w:w="4050" w:type="dxa"/>
            <w:tcBorders/>
          </w:tcPr>
          <w:p>
            <w:pPr>
              <w:pStyle w:val="BodyText2"/>
              <w:rPr/>
            </w:pPr>
            <w:r>
              <w:rPr/>
              <w:t>FILED</w:t>
              <w:br/>
              <w:t>PUBLIC UTILITIES COMMISSION</w:t>
            </w:r>
          </w:p>
          <w:p>
            <w:pPr>
              <w:pStyle w:val="BodyText2"/>
              <w:rPr/>
            </w:pPr>
            <w:r>
              <w:rPr/>
              <w:t>MARCH 15, 2001</w:t>
            </w:r>
          </w:p>
          <w:p>
            <w:pPr>
              <w:pStyle w:val="Normal"/>
              <w:jc w:val="center"/>
              <w:rPr>
                <w:sz w:val="24"/>
              </w:rPr>
            </w:pPr>
            <w:r>
              <w:rPr>
                <w:sz w:val="24"/>
              </w:rPr>
              <w:t>SAN FRANCISCO OFFICE</w:t>
            </w:r>
          </w:p>
          <w:p>
            <w:pPr>
              <w:pStyle w:val="Normal"/>
              <w:jc w:val="center"/>
              <w:rPr>
                <w:sz w:val="24"/>
              </w:rPr>
            </w:pPr>
            <w:r>
              <w:rPr>
                <w:sz w:val="24"/>
              </w:rPr>
              <w:t>RULEMAKING 01-03-023</w:t>
            </w:r>
          </w:p>
        </w:tc>
      </w:tr>
    </w:tbl>
    <w:p>
      <w:pPr>
        <w:pStyle w:val="Normal"/>
        <w:spacing w:lineRule="auto" w:line="360"/>
        <w:rPr/>
      </w:pPr>
      <w:r>
        <w:rPr/>
      </w:r>
    </w:p>
    <w:p>
      <w:pPr>
        <w:pStyle w:val="main"/>
        <w:rPr/>
      </w:pPr>
      <w:r>
        <w:rPr/>
        <w:t>ORDER INSTITUTING RULEMAKING INTO THE</w:t>
        <w:br/>
        <w:t>PRIORITY OF SERVICE IN THE EVENT OF A</w:t>
        <w:br/>
        <w:t>NATURAL GAS CURTAILMENT OR DIVERSION</w:t>
      </w:r>
    </w:p>
    <w:p>
      <w:pPr>
        <w:pStyle w:val="Normal"/>
        <w:spacing w:lineRule="auto" w:line="360"/>
        <w:rPr/>
      </w:pPr>
      <w:r>
        <w:rPr/>
      </w:r>
    </w:p>
    <w:p>
      <w:pPr>
        <w:pStyle w:val="Heading1"/>
        <w:ind w:hanging="0" w:start="0"/>
        <w:rPr/>
      </w:pPr>
      <w:r>
        <w:rPr/>
        <w:t>Summary</w:t>
      </w:r>
    </w:p>
    <w:p>
      <w:pPr>
        <w:pStyle w:val="Normal"/>
        <w:rPr/>
      </w:pPr>
      <w:r>
        <w:rPr/>
      </w:r>
    </w:p>
    <w:p>
      <w:pPr>
        <w:pStyle w:val="BodyTextIndent"/>
        <w:rPr/>
      </w:pPr>
      <w:r>
        <w:rPr/>
        <w:t xml:space="preserve">There are a number of natural gas customers in the service territories of Pacific Gas and Electric Company (PG&amp;E) and Southern California Gas Company (SoCalGas) who are electric generators that use natural gas to produce electricity.  The volumes of gas needed to serve these gas-fired electric generators are considerable.  </w:t>
      </w:r>
    </w:p>
    <w:p>
      <w:pPr>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pStyle w:val="BodyTextIndent"/>
        <w:rPr/>
      </w:pPr>
      <w:r>
        <w:rPr/>
        <w:t xml:space="preserve">The current electricity crisis has brought to the forefront the issue of whether in the event of a gas curtailment or diversion, electric generators should be given  a priority over other noncore gas customers.  This rulemaking is being opened to examine whether the priority of service for gas-fired electric generators should be given a higher priority than other noncore gas customers.  Opening and reply comments on this issue are welcome.  </w:t>
      </w:r>
    </w:p>
    <w:p>
      <w:pPr>
        <w:pStyle w:val="Heading1"/>
        <w:ind w:hanging="0" w:start="0"/>
        <w:rPr/>
      </w:pPr>
      <w:r>
        <w:rPr/>
        <w:t>Background</w:t>
      </w:r>
    </w:p>
    <w:p>
      <w:pPr>
        <w:pStyle w:val="standard"/>
        <w:rPr/>
      </w:pPr>
      <w:r>
        <w:rPr/>
        <w:t>On January 26, 2001, the Northern California Generation Coalition (NCGC) filed a petition to modify the PG&amp;E Gas Accord decision (Decision (D.) 97</w:t>
        <w:noBreakHyphen/>
        <w:t xml:space="preserve">08-055 [73 CPUC2d 754]) and related resolution (Resolution G-3288).  NCGC seeks to modify the Gas Accord settlement by giving electric generators in PG&amp;E’s service territory a higher priority than other noncore customers in the event gas supplies to noncore customers are curtailed or diverted.  </w:t>
      </w:r>
    </w:p>
    <w:p>
      <w:pPr>
        <w:pStyle w:val="standard"/>
        <w:rPr/>
      </w:pPr>
      <w:r>
        <w:rPr/>
        <w:t xml:space="preserve">The issue of whether natural gas service to electric generators should be preserved during the current electricity crisis is a timely issue that the Commission should address.  If gas supplies intended for electric generators are curtailed or diverted to meet operational concerns or to serve higher priority gas uses, that is likely to reduce the amount of electricity generated in California.  This reduction in output may lead to electricity shortages.  The choice between deciding whether gas-fired electricity generation should be given priority over the gas needs of other noncore customers is a difficult one that should be carefully evaluated.  Now is an opportune time to review the priority of service for noncore customers.   </w:t>
      </w:r>
    </w:p>
    <w:p>
      <w:pPr>
        <w:pStyle w:val="Normal"/>
        <w:spacing w:lineRule="auto" w:line="360"/>
        <w:ind w:firstLine="720" w:end="0"/>
        <w:rPr/>
      </w:pPr>
      <w:r>
        <w:rPr/>
        <w:t xml:space="preserve">In the event of a curtailment or diversion, the priority of service differs depending on which gas utility a customer takes service from.  </w:t>
      </w:r>
    </w:p>
    <w:p>
      <w:pPr>
        <w:pStyle w:val="Normal"/>
        <w:spacing w:lineRule="auto" w:line="360"/>
        <w:ind w:firstLine="720" w:end="0"/>
        <w:rPr/>
      </w:pPr>
      <w:r>
        <w:rPr/>
        <w:t xml:space="preserve">A curtailment is where the gas utility suspends gas service or reduces the quantity of gas it will transport or deliver to certain categories of customers.  A curtailment situation arises when there is a restriction or limitation on the utility’s transmission or distribution system which results in the inability of the utility to meet its operational, contractual or gas customers’ requirements, or when there is insufficient gas to meet is operational, contractual, or sales customers’ requirements. (See 73 CPUC2d at p. 811, App. B, § II.E.11; PG&amp;E Gas Rule 14.A.; SoCalGas Rule 1.) A diversion of gas supply takes place when there is an insufficient gas supply or capacity available for the gas utility to meet the requirements of its customers.  (See 73 CPUC2d at p. 811, § II.E.12; PG&amp;E Gas Rule 14.G.; SoCalGas Rule 23.D.) </w:t>
      </w:r>
    </w:p>
    <w:p>
      <w:pPr>
        <w:pStyle w:val="Normal"/>
        <w:spacing w:lineRule="auto" w:line="360"/>
        <w:ind w:firstLine="720" w:end="0"/>
        <w:rPr/>
      </w:pPr>
      <w:r>
        <w:rPr/>
        <w:t>In PG&amp;E’s service territory, existing Commission decisions give electric generators the same priority as other noncore customers in the event of a curtailment or diversion.  For noncore customers in PG&amp;E’s service territory, these priorities are contained in the PG&amp;E Gas Accord decision, D.97-08-055, and PG&amp;E’s Gas Rule 14.  In a curtailment situation, PG&amp;E’s Gas Rule 14.D.1. and D.2. provide that PG&amp;E will allocate service in the following order: to all firm service, which will be treated equally, with pro rata allocation of nominations if necessary; and then “As</w:t>
        <w:noBreakHyphen/>
        <w:t>Available service will be scheduled according to contract price, with the lowest price capacity interrupted first.” (Footnote omitted.)  In the event of a diversion, the diversions occur in the following order:</w:t>
      </w:r>
    </w:p>
    <w:p>
      <w:pPr>
        <w:pStyle w:val="standard"/>
        <w:spacing w:lineRule="auto" w:line="240"/>
        <w:ind w:hanging="450" w:start="1170" w:end="720"/>
        <w:rPr/>
      </w:pPr>
      <w:r>
        <w:rPr/>
        <w:t>“</w:t>
      </w:r>
      <w:r>
        <w:rPr/>
        <w:t>a.  Supply scheduled under As-Available transmission service will be diverted in order of increasing transmission contract price and on a pro rata basis for all volumes transported under the same price.  However, supply under scheduled deliveries from storage using As</w:t>
        <w:noBreakHyphen/>
        <w:t>Available transmission service will be treated as the highest priority Firm transmission service….</w:t>
      </w:r>
    </w:p>
    <w:p>
      <w:pPr>
        <w:pStyle w:val="standard"/>
        <w:spacing w:lineRule="auto" w:line="240"/>
        <w:ind w:hanging="0" w:start="720" w:end="720"/>
        <w:rPr/>
      </w:pPr>
      <w:r>
        <w:rPr/>
      </w:r>
    </w:p>
    <w:p>
      <w:pPr>
        <w:pStyle w:val="standard"/>
        <w:spacing w:lineRule="auto" w:line="240"/>
        <w:ind w:hanging="450" w:start="1170" w:end="720"/>
        <w:rPr/>
      </w:pPr>
      <w:r>
        <w:rPr/>
        <w:t>“</w:t>
      </w:r>
      <w:r>
        <w:rPr/>
        <w:t>b.  Supply scheduled to Noncore End-User Customers under Firm transmission is diverted on a pro rata basis.</w:t>
      </w:r>
    </w:p>
    <w:p>
      <w:pPr>
        <w:pStyle w:val="standard"/>
        <w:spacing w:lineRule="auto" w:line="240"/>
        <w:ind w:hanging="0" w:start="720" w:end="720"/>
        <w:rPr/>
      </w:pPr>
      <w:r>
        <w:rPr/>
      </w:r>
    </w:p>
    <w:p>
      <w:pPr>
        <w:pStyle w:val="standard"/>
        <w:spacing w:lineRule="auto" w:line="240" w:before="0" w:after="120"/>
        <w:ind w:hanging="450" w:start="1170" w:end="720"/>
        <w:rPr/>
      </w:pPr>
      <w:r>
        <w:rPr/>
        <w:t>“</w:t>
      </w:r>
      <w:r>
        <w:rPr/>
        <w:t>c.  Scheduled deliveries from storage using Firm or As</w:t>
        <w:noBreakHyphen/>
        <w:t>Available transmission service will be treated as the highest priority Firm transmission service and will be diverted on a pro rata basis.”  (PG&amp;E Gas Rule 14.G.1.)</w:t>
      </w:r>
    </w:p>
    <w:p>
      <w:pPr>
        <w:pStyle w:val="standard"/>
        <w:rPr/>
      </w:pPr>
      <w:r>
        <w:rPr/>
        <w:t>For noncore customers in SoCalGas’ service territory, priority of gas service is set forth in Appendix B of D.91-11-025 (41 CPUC2d 668, 724-726), D.92-07-025 (45 CPUC2d 47, 64-65) and SoCalGas’ Rule 23.  When operating conditions require curtailment of service and/or diversion  of customer-owned gas, the following priority order applies:</w:t>
      </w:r>
    </w:p>
    <w:p>
      <w:pPr>
        <w:pStyle w:val="standard"/>
        <w:spacing w:lineRule="auto" w:line="240" w:before="0" w:after="120"/>
        <w:ind w:hanging="0" w:start="720" w:end="720"/>
        <w:rPr/>
      </w:pPr>
      <w:r>
        <w:rPr/>
        <w:t>“</w:t>
      </w:r>
      <w:r>
        <w:rPr/>
        <w:t>(1)</w:t>
        <w:tab/>
        <w:t>All interruptible noncore Standby Procurement service.</w:t>
      </w:r>
    </w:p>
    <w:p>
      <w:pPr>
        <w:pStyle w:val="standard"/>
        <w:spacing w:lineRule="auto" w:line="240" w:before="0" w:after="120"/>
        <w:ind w:hanging="0" w:start="720" w:end="720"/>
        <w:rPr/>
      </w:pPr>
      <w:r>
        <w:rPr>
          <w:rFonts w:eastAsia="Palatino;Book Antiqua"/>
        </w:rPr>
        <w:t xml:space="preserve">  </w:t>
      </w:r>
      <w:r>
        <w:rPr/>
        <w:t>(2)</w:t>
        <w:tab/>
        <w:t>All firm noncore Standby Procurement service.</w:t>
      </w:r>
    </w:p>
    <w:p>
      <w:pPr>
        <w:pStyle w:val="standard"/>
        <w:spacing w:lineRule="auto" w:line="240" w:before="0" w:after="120"/>
        <w:ind w:hanging="720" w:start="1440" w:end="720"/>
        <w:rPr/>
      </w:pPr>
      <w:r>
        <w:rPr>
          <w:rFonts w:eastAsia="Palatino;Book Antiqua"/>
        </w:rPr>
        <w:t xml:space="preserve">  </w:t>
      </w:r>
      <w:r>
        <w:rPr/>
        <w:t>(3)</w:t>
        <w:tab/>
        <w:t>All interutility service provided under Schedule No. GIT.</w:t>
      </w:r>
    </w:p>
    <w:p>
      <w:pPr>
        <w:pStyle w:val="standard"/>
        <w:numPr>
          <w:ilvl w:val="0"/>
          <w:numId w:val="2"/>
        </w:numPr>
        <w:spacing w:lineRule="auto" w:line="240" w:before="0" w:after="120"/>
        <w:ind w:hanging="600" w:start="1440" w:end="720"/>
        <w:rPr/>
      </w:pPr>
      <w:r>
        <w:rPr/>
        <w:t>All as-available storage withdrawal service, provided under Schedule No. G-AUC, or portions thereof according to the as-available withdrawal reservation price paid with customers paying the lowest price curtailed first and customers paying the highest price curtailed last.  Customers paying the same price will be curtailed on a pro rata basis with the exception that all UEG service shall be curtailed before cogeneration service.</w:t>
      </w:r>
    </w:p>
    <w:p>
      <w:pPr>
        <w:pStyle w:val="standard"/>
        <w:numPr>
          <w:ilvl w:val="0"/>
          <w:numId w:val="2"/>
        </w:numPr>
        <w:spacing w:lineRule="auto" w:line="240" w:before="0" w:after="120"/>
        <w:ind w:hanging="600" w:start="1440" w:end="720"/>
        <w:rPr/>
      </w:pPr>
      <w:r>
        <w:rPr/>
        <w:t>All interruptible intrastate service according to the percentage of default rate paid, as defined in Rule No. 1, with customers paying the lowest percentage of default curtailed first.   Customers paying the same percentage of default shall be curtailed on a pro rata basis (by equal percentage) with the exception that all UEG service shall be curtailed before cogeneration service where such service is at the same percentage of default.</w:t>
      </w:r>
    </w:p>
    <w:p>
      <w:pPr>
        <w:pStyle w:val="standard"/>
        <w:numPr>
          <w:ilvl w:val="0"/>
          <w:numId w:val="2"/>
        </w:numPr>
        <w:spacing w:lineRule="auto" w:line="240" w:before="0" w:after="120"/>
        <w:ind w:hanging="600" w:start="1440" w:end="720"/>
        <w:rPr/>
      </w:pPr>
      <w:r>
        <w:rPr/>
        <w:t>All firm intrastate service on a rotating basis as described in Section C.2 herein.  During any period of firm intrastate service curtailment, standby procurement service shall be made available to core transportation customers.  During such a curtailment period, however, core transportation customers using standby procurement in excess of the 10% tolerance band described in Schedule No. G-IMB shall pay the curtailment violation penalty described herein.</w:t>
      </w:r>
    </w:p>
    <w:p>
      <w:pPr>
        <w:pStyle w:val="standard"/>
        <w:numPr>
          <w:ilvl w:val="0"/>
          <w:numId w:val="2"/>
        </w:numPr>
        <w:spacing w:lineRule="auto" w:line="240" w:before="0" w:after="120"/>
        <w:ind w:hanging="600" w:start="1440" w:end="720"/>
        <w:rPr/>
      </w:pPr>
      <w:r>
        <w:rPr/>
        <w:t>All firm unbundled storage withdrawal, equally with the Utility’s core price function storage, on a pro rata basis with the exception that all UEG service shall be curtailed before cogeneration service.</w:t>
      </w:r>
    </w:p>
    <w:p>
      <w:pPr>
        <w:pStyle w:val="standard"/>
        <w:numPr>
          <w:ilvl w:val="0"/>
          <w:numId w:val="2"/>
        </w:numPr>
        <w:spacing w:lineRule="auto" w:line="240" w:before="0" w:after="120"/>
        <w:ind w:hanging="600" w:start="1440" w:end="720"/>
        <w:rPr/>
      </w:pPr>
      <w:r>
        <w:rPr/>
        <w:t>All Priority 2A service on a pro rata basis.</w:t>
      </w:r>
    </w:p>
    <w:p>
      <w:pPr>
        <w:pStyle w:val="standard"/>
        <w:numPr>
          <w:ilvl w:val="0"/>
          <w:numId w:val="2"/>
        </w:numPr>
        <w:spacing w:lineRule="auto" w:line="240" w:before="0" w:after="120"/>
        <w:ind w:hanging="600" w:start="1440" w:end="720"/>
        <w:rPr/>
      </w:pPr>
      <w:r>
        <w:rPr/>
        <w:t>All Priority 1 non-residential service on a pro rata basis.</w:t>
      </w:r>
    </w:p>
    <w:p>
      <w:pPr>
        <w:pStyle w:val="standard"/>
        <w:numPr>
          <w:ilvl w:val="0"/>
          <w:numId w:val="2"/>
        </w:numPr>
        <w:spacing w:lineRule="auto" w:line="240" w:before="0" w:after="120"/>
        <w:ind w:hanging="600" w:start="1440" w:end="720"/>
        <w:rPr/>
      </w:pPr>
      <w:r>
        <w:rPr/>
        <w:t>All Priority 1 residential service on a pro rata basis.” (SoCalGas Rule 23, § C.1.)</w:t>
      </w:r>
    </w:p>
    <w:p>
      <w:pPr>
        <w:pStyle w:val="standard"/>
        <w:rPr/>
      </w:pPr>
      <w:r>
        <w:rPr/>
        <w:t>The issue of curtailments and diversions in San Diego Gas &amp; Electric Company’s service territory is currently the subject of Investigation 00</w:t>
        <w:noBreakHyphen/>
        <w:t>11</w:t>
        <w:noBreakHyphen/>
        <w:t xml:space="preserve">002.  Since the Commission is addressing the gas needs of SDG&amp;E’s core and noncore gas customers already, there is no need for us to include SDG&amp;E as a respondent to this rulemaking. </w:t>
      </w:r>
    </w:p>
    <w:p>
      <w:pPr>
        <w:pStyle w:val="Heading1"/>
        <w:ind w:hanging="0" w:start="0"/>
        <w:rPr/>
      </w:pPr>
      <w:r>
        <w:rPr/>
        <w:t>Scope Of Proceeding</w:t>
      </w:r>
    </w:p>
    <w:p>
      <w:pPr>
        <w:pStyle w:val="standard"/>
        <w:rPr/>
      </w:pPr>
      <w:r>
        <w:rPr/>
        <w:t xml:space="preserve">PG&amp;E and SoCalGas are made respondents to this investigation.  </w:t>
      </w:r>
    </w:p>
    <w:p>
      <w:pPr>
        <w:pStyle w:val="standard"/>
        <w:rPr/>
      </w:pPr>
      <w:r>
        <w:rPr/>
        <w:t xml:space="preserve">Public Utilities Code § 1708 provides that the Commission “may at any time, upon notice to the parties, and with opportunity to be heard …, rescind, alter, or amend any order or decision made by it.”  By opening this investigation, notice is hereby provided that the Commission may modify or alter previous Commission decisions or rulings regarding the priority of gas service in the event of a curtailment or diversion. </w:t>
      </w:r>
    </w:p>
    <w:p>
      <w:pPr>
        <w:pStyle w:val="standard"/>
        <w:rPr/>
      </w:pPr>
      <w:r>
        <w:rPr/>
        <w:t>In this rulemaking, the Commission will examine whether it should change the priority of service rules for noncore gas customers to give electric generators a higher priority of service in the event of a curtailment of service or diversion of customer-owned gas.  The respondents are directed to file opening comments on the following issues, and interested parties may file opening comments as well:</w:t>
      </w:r>
    </w:p>
    <w:p>
      <w:pPr>
        <w:pStyle w:val="BodyTextIndent"/>
        <w:numPr>
          <w:ilvl w:val="0"/>
          <w:numId w:val="3"/>
        </w:numPr>
        <w:tabs>
          <w:tab w:val="clear" w:pos="720"/>
          <w:tab w:val="left" w:pos="1080" w:leader="none"/>
          <w:tab w:val="left" w:pos="1260" w:leader="none"/>
        </w:tabs>
        <w:spacing w:lineRule="auto" w:line="240" w:before="0" w:after="120"/>
        <w:ind w:hanging="360" w:start="1080" w:end="0"/>
        <w:rPr/>
      </w:pPr>
      <w:r>
        <w:rPr/>
        <w:t xml:space="preserve">Should the priority of service rules be changed to give gas-fired electric generators a higher priority of service in the event of a curtailment of service or diversion of customer-owned gas?   Provide an explanation as to why the rules should or should not be changed.  </w:t>
      </w:r>
    </w:p>
    <w:p>
      <w:pPr>
        <w:pStyle w:val="BodyTextIndent"/>
        <w:numPr>
          <w:ilvl w:val="0"/>
          <w:numId w:val="3"/>
        </w:numPr>
        <w:tabs>
          <w:tab w:val="clear" w:pos="720"/>
          <w:tab w:val="left" w:pos="1080" w:leader="none"/>
          <w:tab w:val="left" w:pos="1260" w:leader="none"/>
        </w:tabs>
        <w:spacing w:lineRule="auto" w:line="240" w:before="0" w:after="120"/>
        <w:ind w:hanging="360" w:start="1080" w:end="0"/>
        <w:rPr/>
      </w:pPr>
      <w:r>
        <w:rPr/>
        <w:t>Should the priority of service rules for electric generators be  changed for both SoCalGas and PG&amp;E, or should it be changed for only one of the utilities?</w:t>
      </w:r>
    </w:p>
    <w:p>
      <w:pPr>
        <w:pStyle w:val="BodyTextIndent"/>
        <w:numPr>
          <w:ilvl w:val="0"/>
          <w:numId w:val="3"/>
        </w:numPr>
        <w:tabs>
          <w:tab w:val="clear" w:pos="720"/>
          <w:tab w:val="left" w:pos="1080" w:leader="none"/>
          <w:tab w:val="left" w:pos="1260" w:leader="none"/>
        </w:tabs>
        <w:spacing w:lineRule="auto" w:line="240" w:before="0" w:after="120"/>
        <w:ind w:hanging="360" w:start="1080" w:end="0"/>
        <w:rPr/>
      </w:pPr>
      <w:r>
        <w:rPr/>
        <w:t xml:space="preserve">Is SoCalGas’ Rule 23, § H. provision regarding utility electric generation service, sufficient to assign a higher priority to electric generators in the event of a curtailment or diversion in SoCalGas’ service territory?  </w:t>
      </w:r>
    </w:p>
    <w:p>
      <w:pPr>
        <w:pStyle w:val="BodyTextIndent"/>
        <w:numPr>
          <w:ilvl w:val="0"/>
          <w:numId w:val="3"/>
        </w:numPr>
        <w:tabs>
          <w:tab w:val="clear" w:pos="720"/>
          <w:tab w:val="left" w:pos="1080" w:leader="none"/>
          <w:tab w:val="left" w:pos="1260" w:leader="none"/>
        </w:tabs>
        <w:spacing w:lineRule="auto" w:line="240" w:before="0" w:after="120"/>
        <w:ind w:hanging="360" w:start="1080" w:end="0"/>
        <w:rPr/>
      </w:pPr>
      <w:r>
        <w:rPr/>
        <w:t>What will the impact be on other noncore customers if gas-fired electric generators are given a higher priority than other noncore customers?</w:t>
      </w:r>
    </w:p>
    <w:p>
      <w:pPr>
        <w:pStyle w:val="BodyTextIndent"/>
        <w:numPr>
          <w:ilvl w:val="0"/>
          <w:numId w:val="3"/>
        </w:numPr>
        <w:tabs>
          <w:tab w:val="clear" w:pos="720"/>
          <w:tab w:val="left" w:pos="1080" w:leader="none"/>
          <w:tab w:val="left" w:pos="1260" w:leader="none"/>
        </w:tabs>
        <w:spacing w:lineRule="auto" w:line="240" w:before="0" w:after="120"/>
        <w:ind w:hanging="360" w:start="1080" w:end="0"/>
        <w:rPr/>
      </w:pPr>
      <w:r>
        <w:rPr/>
        <w:t>Describe the procedures or system changes that the gas utilities would have to undertake to track gas supplies if electric generators are given a higher priority of service than other noncore customers.</w:t>
      </w:r>
    </w:p>
    <w:p>
      <w:pPr>
        <w:pStyle w:val="BodyTextIndent"/>
        <w:numPr>
          <w:ilvl w:val="0"/>
          <w:numId w:val="3"/>
        </w:numPr>
        <w:tabs>
          <w:tab w:val="clear" w:pos="720"/>
          <w:tab w:val="left" w:pos="1080" w:leader="none"/>
          <w:tab w:val="left" w:pos="1260" w:leader="none"/>
        </w:tabs>
        <w:spacing w:lineRule="auto" w:line="240" w:before="0" w:after="120"/>
        <w:ind w:hanging="360" w:start="1080" w:end="0"/>
        <w:rPr/>
      </w:pPr>
      <w:r>
        <w:rPr/>
        <w:t xml:space="preserve">Are there sufficient curtailment or diversion penalties, or other price mechanisms in place, in order to adequately compensate those customers whose gas supply is curtailed or diverted? </w:t>
      </w:r>
    </w:p>
    <w:p>
      <w:pPr>
        <w:pStyle w:val="standard"/>
        <w:rPr/>
      </w:pPr>
      <w:r>
        <w:rPr/>
        <w:t xml:space="preserve">The respondents and interested parties may also file reply comments to the opening comments.  </w:t>
        <w:tab/>
      </w:r>
    </w:p>
    <w:p>
      <w:pPr>
        <w:pStyle w:val="standard"/>
        <w:rPr/>
      </w:pPr>
      <w:r>
        <w:rPr/>
        <w:t xml:space="preserve">The opening comments shall be filed with the Commission’s Docket Office on or before April 6, 2001, and reply comments shall be filed on or before April 20, 2001.  </w:t>
      </w:r>
    </w:p>
    <w:p>
      <w:pPr>
        <w:pStyle w:val="Heading1"/>
        <w:ind w:hanging="0" w:start="0"/>
        <w:rPr/>
      </w:pPr>
      <w:r>
        <w:rPr/>
        <w:t>Preliminary Scoping Memo</w:t>
      </w:r>
    </w:p>
    <w:p>
      <w:pPr>
        <w:pStyle w:val="standard"/>
        <w:rPr/>
      </w:pPr>
      <w:r>
        <w:rPr/>
        <w:t xml:space="preserve">Rule 6(c)(2) of the Commission’s Rules of Practice and Procedure provides that the order instituting rulemaking “shall preliminarily determine the category and need for hearing, and shall attach a preliminary scoping memo.”  This rulemaking is preliminarily determined to be quasi-legislative, as that term is defined in Rule 5(d).  </w:t>
      </w:r>
    </w:p>
    <w:p>
      <w:pPr>
        <w:pStyle w:val="standard"/>
        <w:rPr/>
      </w:pPr>
      <w:r>
        <w:rPr/>
        <w:t>Consistent with the quasi-legislative category of this proceeding, we anticipate that there will be a formal hearing involving legislative facts.</w:t>
      </w:r>
      <w:r>
        <w:rPr>
          <w:rStyle w:val="FootnoteCharacters"/>
          <w:rStyle w:val="FootnoteReference"/>
        </w:rPr>
        <w:footnoteReference w:id="2"/>
      </w:r>
      <w:r>
        <w:rPr/>
        <w:t xml:space="preserve">  There may be an evidentiary hearing as well, since testimony regarding adjudicative facts may be needed.</w:t>
      </w:r>
      <w:r>
        <w:rPr>
          <w:rStyle w:val="FootnoteCharacters"/>
          <w:rStyle w:val="FootnoteReference"/>
        </w:rPr>
        <w:footnoteReference w:id="3"/>
      </w:r>
      <w:r>
        <w:rPr/>
        <w:t xml:space="preserve">  The adjudicative facts could include such issues as the impact such a priority change could have on other noncore customers, and what changes the utilities would have to make to their procedures or computer systems to accommodate a higher priority of service for electric generators.      </w:t>
      </w:r>
    </w:p>
    <w:p>
      <w:pPr>
        <w:pStyle w:val="standard"/>
        <w:rPr/>
      </w:pPr>
      <w:r>
        <w:rPr/>
        <w:t xml:space="preserve">In accordance with Rule 6.3 and 6(c)(2), the proposed schedule is as follows: </w:t>
      </w:r>
    </w:p>
    <w:p>
      <w:pPr>
        <w:pStyle w:val="Normal"/>
        <w:spacing w:lineRule="auto" w:line="360"/>
        <w:ind w:firstLine="720" w:end="0"/>
        <w:rPr/>
      </w:pPr>
      <w:r>
        <w:rPr/>
        <w:t>Rulemaking issued</w:t>
        <w:tab/>
        <w:tab/>
        <w:t>March 15, 2001</w:t>
      </w:r>
    </w:p>
    <w:p>
      <w:pPr>
        <w:pStyle w:val="Normal"/>
        <w:spacing w:lineRule="auto" w:line="360"/>
        <w:ind w:firstLine="720" w:end="0"/>
        <w:rPr/>
      </w:pPr>
      <w:r>
        <w:rPr/>
        <w:t>Opening Comments</w:t>
        <w:tab/>
        <w:tab/>
        <w:t>April 6, 2001</w:t>
      </w:r>
    </w:p>
    <w:p>
      <w:pPr>
        <w:pStyle w:val="Normal"/>
        <w:spacing w:lineRule="auto" w:line="360"/>
        <w:ind w:firstLine="720" w:end="0"/>
        <w:rPr/>
      </w:pPr>
      <w:r>
        <w:rPr/>
        <w:t>Reply Comments</w:t>
        <w:tab/>
        <w:tab/>
        <w:tab/>
        <w:t>April 20, 2001</w:t>
      </w:r>
    </w:p>
    <w:p>
      <w:pPr>
        <w:pStyle w:val="Normal"/>
        <w:spacing w:lineRule="auto" w:line="360"/>
        <w:ind w:firstLine="720" w:end="0"/>
        <w:rPr/>
      </w:pPr>
      <w:r>
        <w:rPr/>
        <w:t>Prehearing Conference</w:t>
        <w:tab/>
        <w:tab/>
        <w:t>April 2001</w:t>
      </w:r>
    </w:p>
    <w:p>
      <w:pPr>
        <w:pStyle w:val="Normal"/>
        <w:spacing w:lineRule="auto" w:line="360"/>
        <w:ind w:firstLine="720" w:end="0"/>
        <w:rPr/>
      </w:pPr>
      <w:r>
        <w:rPr/>
        <w:t>Hearings</w:t>
        <w:tab/>
        <w:tab/>
        <w:tab/>
        <w:tab/>
        <w:t>May 2001</w:t>
      </w:r>
    </w:p>
    <w:p>
      <w:pPr>
        <w:pStyle w:val="Normal"/>
        <w:spacing w:lineRule="auto" w:line="360"/>
        <w:ind w:firstLine="720" w:end="0"/>
        <w:rPr/>
      </w:pPr>
      <w:r>
        <w:rPr/>
        <w:t>Final Decision</w:t>
        <w:tab/>
        <w:tab/>
        <w:tab/>
        <w:t>Summer 2001</w:t>
      </w:r>
    </w:p>
    <w:p>
      <w:pPr>
        <w:pStyle w:val="standard"/>
        <w:rPr/>
      </w:pPr>
      <w:r>
        <w:rPr/>
        <w:t>The proposed schedule may change, and will be refined by way of a ruling either at the prehearing conference or in a written ruling.</w:t>
      </w:r>
    </w:p>
    <w:p>
      <w:pPr>
        <w:pStyle w:val="standard"/>
        <w:rPr/>
      </w:pPr>
      <w:r>
        <w:rPr/>
        <w:t xml:space="preserve">Any person who objects to the preliminary categorization of this rulemaking, the need for hearing, or to the preliminary schedule, shall raise such objections by filing an objection in their opening comments. (See Rule 6.(c)(2).) </w:t>
      </w:r>
    </w:p>
    <w:p>
      <w:pPr>
        <w:pStyle w:val="standard"/>
        <w:rPr/>
      </w:pPr>
      <w:r>
        <w:rPr/>
        <w:t>A copy of this rulemaking shall be served on the respondents, the service lists to the biennial cost allocation proceeding (BCAP) of both PG&amp;E (A.00-04-002) and SoCalGas (A.98-10-012), and the proceedings which addressed the priority of gas service (A.92-12-043, A.94-06-044, R.90</w:t>
        <w:noBreakHyphen/>
        <w:t xml:space="preserve">02-008, and R.88-08-018).  Any party filing opening comments shall serve their opening comments on these service lists as well.  </w:t>
      </w:r>
    </w:p>
    <w:p>
      <w:pPr>
        <w:pStyle w:val="standard"/>
        <w:rPr/>
      </w:pPr>
      <w:r>
        <w:rPr/>
        <w:t>Upon receipt of the opening comments, the Commission’s Process Office shall develop a new service list for this proceeding using the names of the parties who file opening comments.  The Process Office will post this new service list on the Commission’s web site, www.cpuc.ca.gov, as soon as practicable.  Reply comments need only be served on the names appearing on the new service list for this rulemaking.</w:t>
      </w:r>
    </w:p>
    <w:p>
      <w:pPr>
        <w:pStyle w:val="standard"/>
        <w:rPr/>
      </w:pPr>
      <w:r>
        <w:rPr/>
        <w:t>Those persons who do not want to be parties, and only want notice of the hearings, rulings, proposed decisions, and decisions, may either appear at the prehearing conference or at the formal hearing and fill out an appearance form, or they may mail a written request to the Process Office requesting that they be added to the service list for information only.</w:t>
      </w:r>
    </w:p>
    <w:p>
      <w:pPr>
        <w:pStyle w:val="standard"/>
        <w:rPr/>
      </w:pPr>
      <w:r>
        <w:rPr/>
        <w:t xml:space="preserve">Those persons employed by the State of California who are interested in this proceeding may be added to the “state service” section of the service list either by appearing at the prehearing conference or at the formal hearing and filling out an appearance form, or they may mail a written request to the Process Office requesting that they be added to the state service list.  All of the names that appear on the state service list shall be served with all documents that parties may submit or file in connection with this proceeding. </w:t>
      </w:r>
    </w:p>
    <w:p>
      <w:pPr>
        <w:pStyle w:val="standard"/>
        <w:rPr/>
      </w:pPr>
      <w:r>
        <w:rPr/>
        <w:t>Any person interested in participating in this rulemaking who is unfamiliar with the Commission’s procedures should contact the Commission’s Public Advisor Office in San Francisco at (415) 703-2074, or in Los Angeles at (213) 649-4782.</w:t>
      </w:r>
    </w:p>
    <w:p>
      <w:pPr>
        <w:pStyle w:val="standard"/>
        <w:rPr/>
      </w:pPr>
      <w:r>
        <w:rPr/>
        <w:t xml:space="preserve">Consistent with Rule 6(e), we expect that this proceeding will be concluded within 18 months.  </w:t>
      </w:r>
    </w:p>
    <w:p>
      <w:pPr>
        <w:pStyle w:val="standard"/>
        <w:rPr/>
      </w:pPr>
      <w:r>
        <w:rPr/>
        <w:t xml:space="preserve">Richard A. Bilas shall be the assigned Commissioner, and Timothy J. Sullivan shall be the assigned Administrative Law Judge.  </w:t>
      </w:r>
    </w:p>
    <w:p>
      <w:pPr>
        <w:pStyle w:val="Heading1"/>
        <w:ind w:hanging="0" w:start="0"/>
        <w:rPr/>
      </w:pPr>
      <w:r>
        <w:rPr/>
        <w:t>Ex Parte Communications</w:t>
      </w:r>
    </w:p>
    <w:p>
      <w:pPr>
        <w:pStyle w:val="standard"/>
        <w:rPr/>
      </w:pPr>
      <w:r>
        <w:rPr/>
        <w:t xml:space="preserve">This proceeding is subject to Rule 7, which specifies standards for engaging in ex parte communications and the reporting of such communications.  Pursuant to Rule 7(a)(4) and 7(d), ex parte communications will be allowed in this proceeding without any restrictions or reporting requirements until the assigned Commissioner makes an appealable determination of category as provided for in Rules 6(c)(2) and 6.4.  Following the Commissioner’s determination, the applicable ex parte communication and reporting requirements shall depend on such determination unless and until the determination is modified by the Commission pursuant to Rule 6.4 or 6.5.  </w:t>
      </w:r>
      <w:r>
        <w:br w:type="page"/>
      </w:r>
    </w:p>
    <w:p>
      <w:pPr>
        <w:pStyle w:val="standard"/>
        <w:rPr/>
      </w:pPr>
      <w:r>
        <w:rPr/>
        <w:t xml:space="preserve">Therefore, </w:t>
      </w:r>
      <w:r>
        <w:rPr>
          <w:b/>
        </w:rPr>
        <w:t>IT IS ORDERED</w:t>
      </w:r>
      <w:r>
        <w:rPr/>
        <w:t xml:space="preserve"> that:</w:t>
      </w:r>
    </w:p>
    <w:p>
      <w:pPr>
        <w:pStyle w:val="num1"/>
        <w:numPr>
          <w:ilvl w:val="0"/>
          <w:numId w:val="4"/>
        </w:numPr>
        <w:rPr/>
      </w:pPr>
      <w:r>
        <w:rPr/>
        <w:t>A rulemaking is instituted on the Commission’s own motion to examine whether the Commission should change the priority of service rules for noncore gas customers to give electric generators a higher priority of service in the event of a curtailment of service or diversion of customer-owned gas.</w:t>
      </w:r>
    </w:p>
    <w:p>
      <w:pPr>
        <w:pStyle w:val="num1"/>
        <w:numPr>
          <w:ilvl w:val="0"/>
          <w:numId w:val="4"/>
        </w:numPr>
        <w:rPr/>
      </w:pPr>
      <w:r>
        <w:rPr/>
        <w:t xml:space="preserve">Pacific Gas and Electric Company (PG&amp;E) and Southern California Gas Company (SoCalGas) are made respondents to this proceeding.  </w:t>
      </w:r>
    </w:p>
    <w:p>
      <w:pPr>
        <w:pStyle w:val="num1"/>
        <w:numPr>
          <w:ilvl w:val="0"/>
          <w:numId w:val="4"/>
        </w:numPr>
        <w:rPr/>
      </w:pPr>
      <w:r>
        <w:rPr/>
        <w:t>The Executive Director shall cause this Order Instituting Rulemaking (OIR) to be served on respondents and on the service list in Application (A.) 00-04-002, A.98-10-012, A.92-12-043, A.94-06-044, Rulemaking (R.) 90</w:t>
        <w:noBreakHyphen/>
        <w:t xml:space="preserve">02-008 and R.88-08-018.  </w:t>
      </w:r>
    </w:p>
    <w:p>
      <w:pPr>
        <w:pStyle w:val="num1"/>
        <w:numPr>
          <w:ilvl w:val="0"/>
          <w:numId w:val="4"/>
        </w:numPr>
        <w:rPr/>
      </w:pPr>
      <w:r>
        <w:rPr/>
        <w:t xml:space="preserve">Notice is hereby provided that this OIR may modify or alter previous Commission decisions or orders affecting the priority of gas service in the service territories of PG&amp;E and SoCalGas.  </w:t>
      </w:r>
    </w:p>
    <w:p>
      <w:pPr>
        <w:pStyle w:val="num1"/>
        <w:numPr>
          <w:ilvl w:val="0"/>
          <w:numId w:val="4"/>
        </w:numPr>
        <w:rPr/>
      </w:pPr>
      <w:r>
        <w:rPr/>
        <w:t>The respondents shall, and interested parties may, file opening comments with the Docket Office on or before April 6, 2001.</w:t>
      </w:r>
    </w:p>
    <w:p>
      <w:pPr>
        <w:pStyle w:val="num1"/>
        <w:numPr>
          <w:ilvl w:val="0"/>
          <w:numId w:val="0"/>
        </w:numPr>
        <w:spacing w:lineRule="auto" w:line="240" w:before="0" w:after="120"/>
        <w:ind w:hanging="720" w:start="1080" w:end="720"/>
        <w:rPr/>
      </w:pPr>
      <w:r>
        <w:rPr/>
        <w:t>a.  The opening comments shall be served on the service lists stated above.</w:t>
      </w:r>
    </w:p>
    <w:p>
      <w:pPr>
        <w:pStyle w:val="num1"/>
        <w:numPr>
          <w:ilvl w:val="0"/>
          <w:numId w:val="4"/>
        </w:numPr>
        <w:rPr/>
      </w:pPr>
      <w:r>
        <w:rPr/>
        <w:t>An initial service list for this proceeding shall be created by the Process Office following the filing of the opening comments, and the Process Office shall post the service list on the Commission’s web site (www.cpuc.ca.gov) as soon as practicable.</w:t>
      </w:r>
    </w:p>
    <w:p>
      <w:pPr>
        <w:pStyle w:val="num1"/>
        <w:numPr>
          <w:ilvl w:val="0"/>
          <w:numId w:val="4"/>
        </w:numPr>
        <w:rPr/>
      </w:pPr>
      <w:r>
        <w:rPr/>
        <w:t>Reply comments shall be filed with the Docket Office on or before April 20, 2001, and shall be served on the new service list created by the Process Office.</w:t>
      </w:r>
    </w:p>
    <w:p>
      <w:pPr>
        <w:pStyle w:val="num1"/>
        <w:numPr>
          <w:ilvl w:val="0"/>
          <w:numId w:val="4"/>
        </w:numPr>
        <w:rPr/>
      </w:pPr>
      <w:r>
        <w:rPr/>
        <w:t>The category of this rulemaking is preliminarily determined to be quasi-legislative.</w:t>
      </w:r>
    </w:p>
    <w:p>
      <w:pPr>
        <w:pStyle w:val="num1"/>
        <w:numPr>
          <w:ilvl w:val="0"/>
          <w:numId w:val="4"/>
        </w:numPr>
        <w:rPr/>
      </w:pPr>
      <w:r>
        <w:rPr/>
        <w:t xml:space="preserve">Any person who objects to the preliminary categorization of this rulemaking, the need for hearing, or to the preliminary schedule, shall raise such objections in its opening comments. </w:t>
      </w:r>
    </w:p>
    <w:p>
      <w:pPr>
        <w:pStyle w:val="Normal"/>
        <w:spacing w:lineRule="auto" w:line="360"/>
        <w:ind w:firstLine="360" w:start="360" w:end="0"/>
        <w:rPr/>
      </w:pPr>
      <w:r>
        <w:rPr/>
        <w:t>This order is effective today.</w:t>
      </w:r>
    </w:p>
    <w:p>
      <w:pPr>
        <w:pStyle w:val="Normal"/>
        <w:spacing w:lineRule="auto" w:line="360"/>
        <w:ind w:firstLine="360" w:start="360" w:end="0"/>
        <w:rPr/>
      </w:pPr>
      <w:r>
        <w:rPr/>
        <w:t>Dated March 15, 2001, at San Francisco, California.</w:t>
      </w:r>
    </w:p>
    <w:p>
      <w:pPr>
        <w:pStyle w:val="Normal"/>
        <w:spacing w:lineRule="auto" w:line="360"/>
        <w:ind w:firstLine="360" w:start="360" w:end="0"/>
        <w:rPr/>
      </w:pPr>
      <w:r>
        <w:rPr/>
      </w:r>
    </w:p>
    <w:p>
      <w:pPr>
        <w:pStyle w:val="standard"/>
        <w:spacing w:lineRule="auto" w:line="240"/>
        <w:ind w:firstLine="4320" w:end="0"/>
        <w:rPr/>
      </w:pPr>
      <w:r>
        <w:rPr/>
        <w:t>LORETTA M. LYNCH</w:t>
      </w:r>
    </w:p>
    <w:p>
      <w:pPr>
        <w:pStyle w:val="standard"/>
        <w:spacing w:lineRule="auto" w:line="240"/>
        <w:ind w:firstLine="5760" w:end="0"/>
        <w:rPr/>
      </w:pPr>
      <w:r>
        <w:rPr/>
        <w:t>President</w:t>
      </w:r>
    </w:p>
    <w:p>
      <w:pPr>
        <w:pStyle w:val="standard"/>
        <w:spacing w:lineRule="auto" w:line="240"/>
        <w:ind w:firstLine="4320" w:end="0"/>
        <w:rPr/>
      </w:pPr>
      <w:r>
        <w:rPr/>
        <w:t>HENRY M. DUQUE</w:t>
      </w:r>
    </w:p>
    <w:p>
      <w:pPr>
        <w:pStyle w:val="standard"/>
        <w:spacing w:lineRule="auto" w:line="240"/>
        <w:ind w:firstLine="4320" w:end="0"/>
        <w:rPr/>
      </w:pPr>
      <w:r>
        <w:rPr/>
        <w:t>RICHARD A. BILAS</w:t>
      </w:r>
    </w:p>
    <w:p>
      <w:pPr>
        <w:pStyle w:val="standard"/>
        <w:spacing w:lineRule="auto" w:line="240"/>
        <w:ind w:firstLine="4320" w:end="0"/>
        <w:rPr/>
      </w:pPr>
      <w:r>
        <w:rPr/>
        <w:t>CARL W. WOOD</w:t>
      </w:r>
    </w:p>
    <w:p>
      <w:pPr>
        <w:pStyle w:val="standard"/>
        <w:spacing w:lineRule="auto" w:line="240"/>
        <w:ind w:firstLine="4320" w:end="-360"/>
        <w:rPr/>
      </w:pPr>
      <w:r>
        <w:rPr/>
        <w:t>GEOFFREY F. BROWN</w:t>
      </w:r>
    </w:p>
    <w:p>
      <w:pPr>
        <w:pStyle w:val="standard"/>
        <w:ind w:firstLine="5220" w:end="0"/>
        <w:rPr/>
      </w:pPr>
      <w:r>
        <w:rPr/>
        <w:t>Commissioners</w:t>
      </w:r>
    </w:p>
    <w:p>
      <w:pPr>
        <w:pStyle w:val="Normal"/>
        <w:spacing w:lineRule="auto" w:line="360"/>
        <w:ind w:firstLine="360" w:start="360" w:end="0"/>
        <w:rPr/>
      </w:pPr>
      <w:r>
        <w:rPr/>
      </w:r>
    </w:p>
    <w:sectPr>
      <w:headerReference w:type="default" r:id="rId4"/>
      <w:headerReference w:type="first" r:id="rId5"/>
      <w:footerReference w:type="default" r:id="rId6"/>
      <w:footerReference w:type="first" r:id="rId7"/>
      <w:footnotePr>
        <w:numFmt w:val="decimal"/>
      </w:footnotePr>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Palatino">
    <w:altName w:val="Book Antiqua"/>
    <w:charset w:val="00" w:characterSet="windows-1252"/>
    <w:family w:val="roman"/>
    <w:pitch w:val="variable"/>
  </w:font>
  <w:font w:name="Helvetica">
    <w:altName w:val="Arial"/>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92438</w:t>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ab/>
    </w:r>
    <w:r>
      <w:rPr>
        <w:rStyle w:val="PageNumber"/>
      </w:rPr>
      <w:t xml:space="preserve">- </w:t>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 xml:space="preserve">Legislative facts are defined in Rule 8(f)(3) as “the general facts that help the tribunal decide questions of law and policy and discretion.” </w:t>
      </w:r>
    </w:p>
  </w:footnote>
  <w:footnote w:id="3">
    <w:p>
      <w:pPr>
        <w:pStyle w:val="FootnoteText"/>
        <w:rPr/>
      </w:pPr>
      <w:r>
        <w:rPr>
          <w:rStyle w:val="FootnoteCharacters"/>
        </w:rPr>
        <w:footnoteRef/>
      </w:r>
      <w:r>
        <w:rPr/>
        <w:t xml:space="preserve"> </w:t>
      </w:r>
      <w:r>
        <w:rPr/>
        <w:t xml:space="preserve">Adjudicative facts are defined in Rule 8(f)(1) as facts which “answer questions such as who did what, where, when, how, why, with what motive or intent.”  </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b/>
      </w:rPr>
      <w:tab/>
      <w:tab/>
    </w:r>
    <w:r>
      <w:rPr>
        <w:rFonts w:cs="Helvetica" w:ascii="Helvetica" w:hAnsi="Helvetica"/>
        <w:b/>
        <w:sz w:val="40"/>
      </w:rPr>
      <w:t>Mailed 3/22/2001</w:t>
    </w:r>
  </w:p>
  <w:p>
    <w:pPr>
      <w:pStyle w:val="Header"/>
      <w:rPr>
        <w:rFonts w:ascii="Helvetica" w:hAnsi="Helvetica" w:cs="Helvetica"/>
        <w:b/>
        <w:sz w:val="40"/>
      </w:rPr>
    </w:pPr>
    <w:r>
      <w:rPr>
        <w:rFonts w:cs="Helvetica" w:ascii="Helvetica" w:hAnsi="Helvetica"/>
        <w:b/>
        <w:sz w:val="4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b/>
      </w:rPr>
    </w:pPr>
    <w:r>
      <w:rPr/>
      <w:t>R.01-03-023  ALJ/JSW/t93</w:t>
      <w:tab/>
      <w:tab/>
    </w:r>
  </w:p>
  <w:p>
    <w:pPr>
      <w:pStyle w:val="Header"/>
      <w:rPr>
        <w:b/>
      </w:rPr>
    </w:pPr>
    <w:r>
      <w:rPr>
        <w:b/>
      </w:rPr>
    </w:r>
  </w:p>
  <w:p>
    <w:pPr>
      <w:pStyle w:val="Header"/>
      <w:rPr>
        <w:b/>
      </w:rPr>
    </w:pPr>
    <w:r>
      <w:rPr>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440"/>
        </w:tabs>
        <w:ind w:start="1440" w:hanging="600"/>
      </w:pPr>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0"/>
        </w:tabs>
        <w:ind w:start="0" w:hanging="0"/>
      </w:pPr>
    </w:lvl>
  </w:abstractNum>
  <w:abstractNum w:abstractNumId="5">
    <w:lvl w:ilvl="0">
      <w:start w:val="1"/>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10"/>
  <w:defaultTabStop w:val="720"/>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Palatino;Book Antiqua" w:hAnsi="Palatino;Book Antiqua" w:eastAsia="Times New Roman" w:cs="Palatino;Book Antiqua"/>
      <w:color w:val="auto"/>
      <w:sz w:val="26"/>
      <w:szCs w:val="20"/>
      <w:lang w:val="en-US" w:bidi="ar-SA" w:eastAsia="zh-CN"/>
    </w:rPr>
  </w:style>
  <w:style w:type="paragraph" w:styleId="Heading1">
    <w:name w:val="heading 1"/>
    <w:basedOn w:val="Normal"/>
    <w:next w:val="Normal"/>
    <w:qFormat/>
    <w:pPr>
      <w:keepNext w:val="true"/>
      <w:numPr>
        <w:ilvl w:val="0"/>
        <w:numId w:val="1"/>
      </w:numPr>
      <w:spacing w:lineRule="auto" w:line="360"/>
      <w:outlineLvl w:val="0"/>
    </w:pPr>
    <w:rPr>
      <w:rFonts w:ascii="Helvetica" w:hAnsi="Helvetica" w:cs="Helvetica"/>
      <w:b/>
    </w:rPr>
  </w:style>
  <w:style w:type="character" w:styleId="WW8Num1z0">
    <w:name w:val="WW8Num1z0"/>
    <w:qFormat/>
    <w:rPr/>
  </w:style>
  <w:style w:type="character" w:styleId="WW8Num2z0">
    <w:name w:val="WW8Num2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PageNumber">
    <w:name w:val="page number"/>
    <w:basedOn w:val="DefaultParagraphFon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ind w:firstLine="720" w:start="0" w:end="0"/>
    </w:pPr>
    <w:rPr/>
  </w:style>
  <w:style w:type="paragraph" w:styleId="FootnoteText">
    <w:name w:val="foot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standard">
    <w:name w:val="standard"/>
    <w:basedOn w:val="Normal"/>
    <w:qFormat/>
    <w:pPr>
      <w:spacing w:lineRule="auto" w:line="360"/>
      <w:ind w:firstLine="720" w:start="0" w:end="0"/>
    </w:pPr>
    <w:rPr/>
  </w:style>
  <w:style w:type="paragraph" w:styleId="Header">
    <w:name w:val="header"/>
    <w:basedOn w:val="Normal"/>
    <w:pPr>
      <w:tabs>
        <w:tab w:val="clear" w:pos="720"/>
        <w:tab w:val="center" w:pos="4320" w:leader="none"/>
        <w:tab w:val="right" w:pos="8640" w:leader="none"/>
      </w:tabs>
    </w:pPr>
    <w:rPr/>
  </w:style>
  <w:style w:type="paragraph" w:styleId="num1">
    <w:name w:val="num1"/>
    <w:basedOn w:val="Normal"/>
    <w:qFormat/>
    <w:pPr>
      <w:numPr>
        <w:ilvl w:val="0"/>
        <w:numId w:val="5"/>
      </w:numPr>
      <w:tabs>
        <w:tab w:val="clear" w:pos="720"/>
        <w:tab w:val="left" w:pos="-720" w:leader="none"/>
      </w:tabs>
      <w:suppressAutoHyphens w:val="true"/>
      <w:spacing w:lineRule="auto" w:line="360"/>
      <w:ind w:firstLine="360" w:start="0" w:end="0"/>
    </w:pPr>
    <w:rPr/>
  </w:style>
  <w:style w:type="paragraph" w:styleId="main">
    <w:name w:val="main"/>
    <w:basedOn w:val="Normal"/>
    <w:qFormat/>
    <w:pPr>
      <w:jc w:val="center"/>
    </w:pPr>
    <w:rPr>
      <w:rFonts w:ascii="Helvetica" w:hAnsi="Helvetica" w:cs="Helvetica"/>
      <w:b/>
    </w:rPr>
  </w:style>
  <w:style w:type="paragraph" w:styleId="BodyText2">
    <w:name w:val="Body Text 2"/>
    <w:basedOn w:val="Normal"/>
    <w:qFormat/>
    <w:pPr>
      <w:ind w:hanging="0" w:start="0" w:end="-288"/>
      <w:jc w:val="center"/>
    </w:pPr>
    <w:rPr>
      <w:sz w:val="24"/>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2001-03-23T12:47:00Z</dcterms:created>
  <dc:creator>John S. Wong</dc:creator>
  <dc:description/>
  <dc:language>en-CA</dc:language>
  <cp:lastModifiedBy>Michelle Brown</cp:lastModifiedBy>
  <cp:lastPrinted>2001-03-22T14:20:00Z</cp:lastPrinted>
  <dcterms:modified xsi:type="dcterms:W3CDTF">2001-03-23T12:47:00Z</dcterms:modified>
  <cp:revision>2</cp:revision>
  <dc:subject/>
  <dc:title>Order Instituting Rulemaking into </dc:title>
</cp:coreProperties>
</file>