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wmf" ContentType="image/x-wmf"/>
  <Override PartName="/word/media/image3.wmf" ContentType="image/x-wmf"/>
  <Override PartName="/word/media/image4.wmf" ContentType="image/x-wmf"/>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San Diego Gas &amp; Electric Company’s Proposals and Recommendations Governing Procurement of the Net Short Energy Requirements for SDG&amp;E’s Customers</w:t>
      </w:r>
    </w:p>
    <w:p>
      <w:pPr>
        <w:pStyle w:val="Heading1"/>
        <w:ind w:hanging="0" w:start="0"/>
        <w:rPr>
          <w:rFonts w:ascii="Times New Roman" w:hAnsi="Times New Roman" w:cs="Times New Roman"/>
        </w:rPr>
      </w:pPr>
      <w:bookmarkStart w:id="0" w:name="__RefHeading___Toc523299243"/>
      <w:bookmarkEnd w:id="0"/>
      <w:r>
        <w:rPr>
          <w:rFonts w:cs="Times New Roman" w:ascii="Times New Roman" w:hAnsi="Times New Roman"/>
        </w:rPr>
        <w:t>I.</w:t>
        <w:tab/>
        <w:t>Introduction</w:t>
      </w:r>
    </w:p>
    <w:p>
      <w:pPr>
        <w:pStyle w:val="Normal"/>
        <w:rPr>
          <w:rFonts w:ascii="Times New Roman" w:hAnsi="Times New Roman" w:cs="Times New Roman"/>
        </w:rPr>
      </w:pPr>
      <w:r>
        <w:rPr>
          <w:rFonts w:cs="Times New Roman"/>
        </w:rPr>
      </w:r>
    </w:p>
    <w:p>
      <w:pPr>
        <w:pStyle w:val="BodyTextIndent2"/>
        <w:rPr/>
      </w:pPr>
      <w:r>
        <w:rPr/>
        <w:t>By this filing, San Diego Gas &amp; Electric Company (SDG&amp;E) begins the process of working with the Commission on developing a resource planning and procurement model and strategy that will best serve retail consumers in SDG&amp;E’s service area. This filing presents SDG&amp;E’s proposals for implementing commitments between SDG&amp;E and the State contained in Section 9 of the Memorandum of Understanding between SDG&amp;E and the California Department of Water Resources, dated June 18, 2001.</w:t>
      </w:r>
      <w:r>
        <w:rPr>
          <w:rStyle w:val="FootnoteCharacters"/>
          <w:rStyle w:val="FootnoteReference"/>
        </w:rPr>
        <w:footnoteReference w:id="2"/>
      </w:r>
      <w:r>
        <w:rPr/>
        <w:t xml:space="preserve"> </w:t>
      </w:r>
    </w:p>
    <w:p>
      <w:pPr>
        <w:pStyle w:val="BodyTextIndent2"/>
        <w:ind w:hanging="0" w:end="0"/>
        <w:rPr/>
      </w:pPr>
      <w:r>
        <w:rPr/>
      </w:r>
    </w:p>
    <w:p>
      <w:pPr>
        <w:pStyle w:val="BodyTextIndent2"/>
        <w:ind w:hanging="0" w:end="0"/>
        <w:rPr/>
      </w:pPr>
      <w:r>
        <w:rPr/>
        <w:tab/>
        <w:t>In fulfillment of that Section, SDG&amp;E presents a planning and procurement model that will identify reasonable procurement procedures for SDG&amp;E to employ, and will ensure the full and timely recovery of the resulting procurement costs. In addition, SDG&amp;E recognizes that the CPUC has long-intended to consider other procurement models</w:t>
      </w:r>
      <w:r>
        <w:rPr>
          <w:rStyle w:val="FootnoteCharacters"/>
          <w:rStyle w:val="FootnoteReference"/>
        </w:rPr>
        <w:footnoteReference w:id="3"/>
      </w:r>
      <w:r>
        <w:rPr/>
        <w:t>. Moreover, events in California have not followed the path anticipated earlier this year and neither PG&amp;E nor Edison appear close to resuming procurement. This current unsettled condition of the other utilities and the State’s continuing role in procurement suggest a need to examine other ways to accomplish electric procurement in California. This filing presents alternatives for the Commission to consider. Accordingly, the utility procurement model SDG&amp;E presents may be an interim approach pending the State’s determination of whether it wants to pursue one of these other alternatives.</w:t>
      </w:r>
    </w:p>
    <w:p>
      <w:pPr>
        <w:pStyle w:val="Normal"/>
        <w:ind w:firstLine="720" w:end="0"/>
        <w:rPr/>
      </w:pPr>
      <w:r>
        <w:rPr/>
      </w:r>
    </w:p>
    <w:p>
      <w:pPr>
        <w:pStyle w:val="Heading2"/>
        <w:rPr/>
      </w:pPr>
      <w:bookmarkStart w:id="1" w:name="__RefHeading___Toc523299244"/>
      <w:bookmarkEnd w:id="1"/>
      <w:r>
        <w:rPr/>
        <w:t>A.</w:t>
        <w:tab/>
        <w:t>Transition from California Department of Water Resources Procurement</w:t>
      </w:r>
    </w:p>
    <w:p>
      <w:pPr>
        <w:pStyle w:val="Normal"/>
        <w:ind w:firstLine="720" w:end="0"/>
        <w:rPr/>
      </w:pPr>
      <w:r>
        <w:rPr/>
      </w:r>
    </w:p>
    <w:p>
      <w:pPr>
        <w:pStyle w:val="BodyTextIndent2"/>
        <w:rPr/>
      </w:pPr>
      <w:r>
        <w:rPr/>
        <w:t>In mid-January, 2001, the California Department of Water Resources (CDWR) began to purchase the “net short” position of Southern California Edison and Pacific Gas and Electric because those utilities’ extremely tenuous financial condition made it impossible for them to purchase in the market themselves. During the time when CDWR entered the electric commodity market on those utilities’ behalf, SDG&amp;E began to experience significant difficulty in acquiring energy supply for its customers. Due to credit concerns in California, suppliers began to demand greater credit support, and, knowing that CDWR was prepared to supply it, viewed SDG&amp;E’s credit as an unacceptable substitute. Additionally, suppliers displayed reticence to negotiate long-term supply arrangements and substantially increased their prices for the power they were willing to sell to SDG&amp;E.   It became apparent that customer interests could not be well served if SDG&amp;E were required to continue to purchase power under these conditions</w:t>
      </w:r>
    </w:p>
    <w:p>
      <w:pPr>
        <w:pStyle w:val="BodyTextIndent2"/>
        <w:rPr/>
      </w:pPr>
      <w:r>
        <w:rPr/>
      </w:r>
    </w:p>
    <w:p>
      <w:pPr>
        <w:pStyle w:val="BodyTextIndent2"/>
        <w:rPr/>
      </w:pPr>
      <w:r>
        <w:rPr/>
        <w:t>On February 1, 2001, AB x-1 1 (Keeley) became law, authorizing the CDWR to purchase the “net short” position of each of the utilities. Beginning February 7, 2001, the CDWR undertook the responsibility of obtaining resources to meet the “net short” electricity requirements of SDG&amp;E-area consumers, in accordance with authority granted the CDWR under AB x-1 1. (In carrying out those obligations, the CDWR entered into a number of forward contract commitments on behalf of SDG&amp;E-area consumers in order to meet future needs and stabilize electricity prices. Under State law, CDWR sells the power from these commitments directly to SDG&amp;E customers, with SDG&amp;E acting only as a billing agent. According to AB x-1 1, CDWR’s authority to enter into new purchase transactions on behalf of SDG&amp;E’s customers ends January 1, 2003. This filing addresses the processes the Commission should apply when SDG&amp;E is required to take over responsibility for acquiring resources to meet the net short requirements of its customers.</w:t>
      </w:r>
    </w:p>
    <w:p>
      <w:pPr>
        <w:pStyle w:val="BodyTextIndent2"/>
        <w:rPr/>
      </w:pPr>
      <w:r>
        <w:rPr/>
      </w:r>
    </w:p>
    <w:p>
      <w:pPr>
        <w:pStyle w:val="Heading2"/>
        <w:rPr/>
      </w:pPr>
      <w:bookmarkStart w:id="2" w:name="__RefHeading___Toc523299245"/>
      <w:bookmarkEnd w:id="2"/>
      <w:r>
        <w:rPr/>
        <w:t>B.</w:t>
        <w:tab/>
        <w:t>Commission Action Requested</w:t>
      </w:r>
    </w:p>
    <w:p>
      <w:pPr>
        <w:pStyle w:val="Normal"/>
        <w:ind w:firstLine="720" w:end="0"/>
        <w:rPr>
          <w:sz w:val="28"/>
        </w:rPr>
      </w:pPr>
      <w:r>
        <w:rPr>
          <w:sz w:val="28"/>
        </w:rPr>
      </w:r>
    </w:p>
    <w:p>
      <w:pPr>
        <w:pStyle w:val="Normal"/>
        <w:ind w:firstLine="720" w:end="0"/>
        <w:rPr>
          <w:sz w:val="28"/>
        </w:rPr>
      </w:pPr>
      <w:r>
        <w:rPr>
          <w:sz w:val="28"/>
        </w:rPr>
        <w:t>SDG&amp;E requests that the Commission take the following action by the target schedule of October 25, 2001 set forth in the Assigned Commissioner’s Ruling dated August 2, 2001:</w:t>
      </w:r>
    </w:p>
    <w:p>
      <w:pPr>
        <w:pStyle w:val="Normal"/>
        <w:ind w:firstLine="720" w:end="0"/>
        <w:rPr>
          <w:sz w:val="28"/>
        </w:rPr>
      </w:pPr>
      <w:r>
        <w:rPr>
          <w:sz w:val="28"/>
        </w:rPr>
      </w:r>
    </w:p>
    <w:p>
      <w:pPr>
        <w:pStyle w:val="Normal"/>
        <w:numPr>
          <w:ilvl w:val="0"/>
          <w:numId w:val="10"/>
        </w:numPr>
        <w:tabs>
          <w:tab w:val="left" w:pos="720" w:leader="none"/>
        </w:tabs>
        <w:ind w:hanging="720" w:start="720" w:end="0"/>
        <w:rPr>
          <w:sz w:val="28"/>
        </w:rPr>
      </w:pPr>
      <w:r>
        <w:rPr>
          <w:sz w:val="28"/>
        </w:rPr>
        <w:t>Approve SDG&amp;E’s proposed resource planning and procurement process as set forth in this filing. (Section III)</w:t>
      </w:r>
    </w:p>
    <w:p>
      <w:pPr>
        <w:pStyle w:val="Normal"/>
        <w:rPr>
          <w:sz w:val="28"/>
        </w:rPr>
      </w:pPr>
      <w:r>
        <w:rPr>
          <w:sz w:val="28"/>
        </w:rPr>
      </w:r>
    </w:p>
    <w:p>
      <w:pPr>
        <w:pStyle w:val="Normal"/>
        <w:numPr>
          <w:ilvl w:val="0"/>
          <w:numId w:val="2"/>
        </w:numPr>
        <w:tabs>
          <w:tab w:val="left" w:pos="720" w:leader="none"/>
        </w:tabs>
        <w:ind w:hanging="720" w:start="720" w:end="0"/>
        <w:rPr>
          <w:sz w:val="28"/>
        </w:rPr>
      </w:pPr>
      <w:r>
        <w:rPr>
          <w:sz w:val="28"/>
        </w:rPr>
        <w:t>Approve SDG&amp;E’s proposed Procurement Cost Adjustment Mechanism (PCAM) as set forth in this filing. (Section II)</w:t>
      </w:r>
    </w:p>
    <w:p>
      <w:pPr>
        <w:pStyle w:val="Normal"/>
        <w:ind w:firstLine="720" w:end="0"/>
        <w:rPr>
          <w:sz w:val="28"/>
        </w:rPr>
      </w:pPr>
      <w:r>
        <w:rPr>
          <w:sz w:val="28"/>
        </w:rPr>
      </w:r>
    </w:p>
    <w:p>
      <w:pPr>
        <w:pStyle w:val="Normal"/>
        <w:numPr>
          <w:ilvl w:val="0"/>
          <w:numId w:val="11"/>
        </w:numPr>
        <w:tabs>
          <w:tab w:val="left" w:pos="720" w:leader="none"/>
        </w:tabs>
        <w:ind w:hanging="720" w:start="720" w:end="0"/>
        <w:rPr>
          <w:sz w:val="28"/>
        </w:rPr>
      </w:pPr>
      <w:r>
        <w:rPr>
          <w:sz w:val="28"/>
        </w:rPr>
        <w:t>Initiate a process to confirm the allocation of CDWR energy being sold to SDG&amp;E’s customers based on the customers’ need for the types of products the CDWR has available. (Section II)</w:t>
      </w:r>
    </w:p>
    <w:p>
      <w:pPr>
        <w:pStyle w:val="Normal"/>
        <w:rPr>
          <w:sz w:val="28"/>
        </w:rPr>
      </w:pPr>
      <w:r>
        <w:rPr>
          <w:sz w:val="28"/>
        </w:rPr>
      </w:r>
    </w:p>
    <w:p>
      <w:pPr>
        <w:pStyle w:val="Normal"/>
        <w:numPr>
          <w:ilvl w:val="0"/>
          <w:numId w:val="11"/>
        </w:numPr>
        <w:tabs>
          <w:tab w:val="left" w:pos="720" w:leader="none"/>
        </w:tabs>
        <w:ind w:hanging="720" w:start="720" w:end="0"/>
        <w:rPr>
          <w:sz w:val="28"/>
        </w:rPr>
      </w:pPr>
      <w:r>
        <w:rPr>
          <w:sz w:val="28"/>
        </w:rPr>
        <w:t>Approve the Coordination of direct access with the planning process as set forth in this filing. (Section I.E.2.)</w:t>
      </w:r>
    </w:p>
    <w:p>
      <w:pPr>
        <w:pStyle w:val="Normal"/>
        <w:rPr>
          <w:sz w:val="28"/>
        </w:rPr>
      </w:pPr>
      <w:r>
        <w:rPr>
          <w:sz w:val="28"/>
        </w:rPr>
      </w:r>
    </w:p>
    <w:p>
      <w:pPr>
        <w:pStyle w:val="Normal"/>
        <w:numPr>
          <w:ilvl w:val="0"/>
          <w:numId w:val="11"/>
        </w:numPr>
        <w:tabs>
          <w:tab w:val="left" w:pos="720" w:leader="none"/>
        </w:tabs>
        <w:ind w:hanging="720" w:start="720" w:end="0"/>
        <w:rPr>
          <w:sz w:val="28"/>
        </w:rPr>
      </w:pPr>
      <w:r>
        <w:rPr>
          <w:sz w:val="28"/>
        </w:rPr>
        <w:t>Initiate development of a process for coordination of utility planning and procurement with State planning and procurement. (Section IV)</w:t>
      </w:r>
    </w:p>
    <w:p>
      <w:pPr>
        <w:pStyle w:val="Normal"/>
        <w:rPr>
          <w:sz w:val="28"/>
        </w:rPr>
      </w:pPr>
      <w:r>
        <w:rPr>
          <w:sz w:val="28"/>
        </w:rPr>
      </w:r>
    </w:p>
    <w:p>
      <w:pPr>
        <w:pStyle w:val="Normal"/>
        <w:numPr>
          <w:ilvl w:val="0"/>
          <w:numId w:val="11"/>
        </w:numPr>
        <w:tabs>
          <w:tab w:val="left" w:pos="720" w:leader="none"/>
        </w:tabs>
        <w:ind w:hanging="720" w:start="720" w:end="0"/>
        <w:rPr>
          <w:sz w:val="28"/>
        </w:rPr>
      </w:pPr>
      <w:r>
        <w:rPr>
          <w:sz w:val="28"/>
        </w:rPr>
        <w:t>Address alternatives to utility procurement, taking into account current circumstances affecting the other utilities and the role of the State in this function. (Section IV)</w:t>
      </w:r>
    </w:p>
    <w:p>
      <w:pPr>
        <w:pStyle w:val="Normal"/>
        <w:ind w:firstLine="720" w:end="0"/>
        <w:rPr>
          <w:sz w:val="28"/>
        </w:rPr>
      </w:pPr>
      <w:r>
        <w:rPr>
          <w:sz w:val="28"/>
        </w:rPr>
      </w:r>
    </w:p>
    <w:p>
      <w:pPr>
        <w:pStyle w:val="Heading2"/>
        <w:rPr/>
      </w:pPr>
      <w:bookmarkStart w:id="3" w:name="__RefHeading___Toc523299246"/>
      <w:bookmarkEnd w:id="3"/>
      <w:r>
        <w:rPr/>
        <w:t>C.</w:t>
        <w:tab/>
        <w:t>The Memorandum of Understanding</w:t>
      </w:r>
    </w:p>
    <w:p>
      <w:pPr>
        <w:pStyle w:val="Normal"/>
        <w:rPr/>
      </w:pPr>
      <w:r>
        <w:rPr/>
      </w:r>
    </w:p>
    <w:p>
      <w:pPr>
        <w:pStyle w:val="BodyTextIndent2"/>
        <w:rPr/>
      </w:pPr>
      <w:r>
        <w:rPr/>
        <w:t>SDG&amp;E and the CDWR entered into a Memorandum of Understanding (MOU), dated June 18, 2001, that includes provisions addressing future procurement and a Procurement Cost Recovery Mechanism. This section summarizes those provisions.</w:t>
      </w:r>
    </w:p>
    <w:p>
      <w:pPr>
        <w:pStyle w:val="Normal"/>
        <w:rPr/>
      </w:pPr>
      <w:r>
        <w:rPr/>
      </w:r>
    </w:p>
    <w:p>
      <w:pPr>
        <w:pStyle w:val="Heading3"/>
        <w:rPr/>
      </w:pPr>
      <w:bookmarkStart w:id="4" w:name="__RefHeading___Toc523299247"/>
      <w:bookmarkEnd w:id="4"/>
      <w:r>
        <w:rPr/>
        <w:t>1.</w:t>
        <w:tab/>
        <w:t>“Net Short”</w:t>
      </w:r>
    </w:p>
    <w:p>
      <w:pPr>
        <w:pStyle w:val="Normal"/>
        <w:ind w:firstLine="720" w:end="0"/>
        <w:rPr/>
      </w:pPr>
      <w:r>
        <w:rPr/>
      </w:r>
    </w:p>
    <w:p>
      <w:pPr>
        <w:pStyle w:val="BodyTextIndent"/>
        <w:rPr>
          <w:sz w:val="28"/>
        </w:rPr>
      </w:pPr>
      <w:r>
        <w:rPr>
          <w:sz w:val="28"/>
        </w:rPr>
        <w:t xml:space="preserve">In the MOU, SDG&amp;E has agreed to undertake the obligation to resume procurement of the “residual net short” power requirements for retail customers within SDG&amp;E’s service area. Thus, to the extent that CDWR’s purchases, direct access, and other provision of service do not fully supply retail customers within SDG&amp;E’s service area, SDG&amp;E has agreed to undertake this role. </w:t>
      </w:r>
    </w:p>
    <w:p>
      <w:pPr>
        <w:pStyle w:val="Normal"/>
        <w:rPr>
          <w:sz w:val="28"/>
        </w:rPr>
      </w:pPr>
      <w:r>
        <w:rPr>
          <w:sz w:val="28"/>
        </w:rPr>
      </w:r>
    </w:p>
    <w:p>
      <w:pPr>
        <w:pStyle w:val="Heading3"/>
        <w:rPr/>
      </w:pPr>
      <w:bookmarkStart w:id="5" w:name="__RefHeading___Toc523299248"/>
      <w:bookmarkEnd w:id="5"/>
      <w:r>
        <w:rPr/>
        <w:t>2.</w:t>
        <w:tab/>
        <w:t>Planning for Future Procurement</w:t>
      </w:r>
    </w:p>
    <w:p>
      <w:pPr>
        <w:pStyle w:val="Normal"/>
        <w:rPr/>
      </w:pPr>
      <w:r>
        <w:rPr/>
      </w:r>
    </w:p>
    <w:p>
      <w:pPr>
        <w:pStyle w:val="Normal"/>
        <w:ind w:firstLine="720" w:end="0"/>
        <w:rPr>
          <w:sz w:val="28"/>
        </w:rPr>
      </w:pPr>
      <w:r>
        <w:rPr>
          <w:sz w:val="28"/>
        </w:rPr>
        <w:t xml:space="preserve">As a threshold to undertaking the procurement function, there must first be a planning process that permits a determination of the level of the “residual net short” requirements of retail customers, and a balancing of </w:t>
      </w:r>
      <w:r>
        <w:br w:type="page"/>
      </w:r>
    </w:p>
    <w:p>
      <w:pPr>
        <w:pStyle w:val="Normal"/>
        <w:rPr>
          <w:sz w:val="28"/>
        </w:rPr>
      </w:pPr>
      <w:r>
        <w:rPr>
          <w:sz w:val="28"/>
        </w:rPr>
        <w:t xml:space="preserve">competing issues to determine the extent to which forward commitments are appropriate. The MOU recognizes that there is a lead-time to planning, and that the CDWR is in possession of information on CDWR contracts that is important in permitting SDG&amp;E to engage in responsible planning. Accordingly, CDWR has agreed to identify to SDG&amp;E the power available to retail customers under CDWR contracts and will assist SDG&amp;E in an orderly transition to accommodate resumption of utility procurement of customer net short requirements. </w:t>
      </w:r>
    </w:p>
    <w:p>
      <w:pPr>
        <w:pStyle w:val="Normal"/>
        <w:rPr>
          <w:sz w:val="28"/>
        </w:rPr>
      </w:pPr>
      <w:r>
        <w:rPr>
          <w:sz w:val="28"/>
        </w:rPr>
      </w:r>
    </w:p>
    <w:p>
      <w:pPr>
        <w:pStyle w:val="Normal"/>
        <w:ind w:firstLine="720" w:end="0"/>
        <w:rPr/>
      </w:pPr>
      <w:r>
        <w:rPr>
          <w:sz w:val="28"/>
        </w:rPr>
        <w:t>SDG&amp;E’s development of a complete resource plan that calculates the “net short” requirements of retail consumers that SDG&amp;E needs to serve will depend on, among other things, an accurate understanding of the amount of customer load being served by CDWR.</w:t>
      </w:r>
      <w:r>
        <w:rPr>
          <w:rStyle w:val="FootnoteCharacters"/>
          <w:rStyle w:val="FootnoteReference"/>
          <w:sz w:val="28"/>
        </w:rPr>
        <w:footnoteReference w:id="4"/>
      </w:r>
      <w:r>
        <w:rPr>
          <w:sz w:val="28"/>
        </w:rPr>
        <w:t xml:space="preserve">  This amount is currently not clear for two reasons: (1) Apparently, the CDWR is continuing to sign additional power contracts for service to customers, and (2) the method by which CDWR commitments are allocated to customers has not been fully addressed. CDWR energy allocation to customers should be based on customer need for a particular type of product that CDWR might have available, in order to ensure that customers are sold only what they need. SDG&amp;E describes in greater detail how this allocation should take place in its resource plan discussion. </w:t>
      </w:r>
    </w:p>
    <w:p>
      <w:pPr>
        <w:pStyle w:val="Normal"/>
        <w:rPr>
          <w:sz w:val="28"/>
        </w:rPr>
      </w:pPr>
      <w:r>
        <w:rPr>
          <w:sz w:val="28"/>
        </w:rPr>
      </w:r>
    </w:p>
    <w:p>
      <w:pPr>
        <w:pStyle w:val="Normal"/>
        <w:ind w:firstLine="720" w:end="0"/>
        <w:rPr>
          <w:sz w:val="28"/>
        </w:rPr>
      </w:pPr>
      <w:r>
        <w:rPr>
          <w:sz w:val="28"/>
        </w:rPr>
        <w:t>Accordingly, SDG&amp;E is using a two-step process to complete this procurement process determination. In this filing, SDG&amp;E describes the planning process that it would undertake and how it would tie into the Commission’s review and approval process. This allows the Commission to establish the policies and rules governing procurement it wants to apply. The end product will also include a ratemaking mechanism that will provide timely recovery of procurement costs while minimizing the potential for large balancing account accumulations, in order to maintain SDG&amp;E’s creditworthiness, thus complying with the MOU. With the Commission’s decision on how it wants to proceed with the planning and procurement process, and with resolution of the allocation of CDWR energy to SDG&amp;E customers, SDG&amp;E will develop the resource plan to identify customer needs, allocation of energy products CDWR is selling to SDG&amp;E-area retail consumers, and the net short requirements and how SDG&amp;E would serve those requirements.</w:t>
      </w:r>
    </w:p>
    <w:p>
      <w:pPr>
        <w:pStyle w:val="Normal"/>
        <w:ind w:firstLine="720" w:end="0"/>
        <w:rPr>
          <w:sz w:val="28"/>
        </w:rPr>
      </w:pPr>
      <w:r>
        <w:rPr>
          <w:sz w:val="28"/>
        </w:rPr>
      </w:r>
    </w:p>
    <w:p>
      <w:pPr>
        <w:pStyle w:val="Heading3"/>
        <w:rPr/>
      </w:pPr>
      <w:bookmarkStart w:id="6" w:name="__RefHeading___Toc523299249"/>
      <w:bookmarkEnd w:id="6"/>
      <w:r>
        <w:rPr/>
        <w:t>3.</w:t>
        <w:tab/>
        <w:t>Procurement Cost Recovery Mechanism</w:t>
      </w:r>
    </w:p>
    <w:p>
      <w:pPr>
        <w:pStyle w:val="Normal"/>
        <w:rPr/>
      </w:pPr>
      <w:r>
        <w:rPr/>
      </w:r>
    </w:p>
    <w:p>
      <w:pPr>
        <w:pStyle w:val="BodyTextIndent"/>
        <w:rPr>
          <w:sz w:val="28"/>
        </w:rPr>
      </w:pPr>
      <w:r>
        <w:rPr>
          <w:sz w:val="28"/>
        </w:rPr>
        <w:t>The MOU recognizes that the practical ability of SDG&amp;E to resume procurement responsibility will depend in substantial part on continuation of SDG&amp;E’s creditworthiness and its ability to recover procurement costs in rates on a timely basis. To carry this out, the MOU contemplates that the CPUC will issue decisions that</w:t>
      </w:r>
    </w:p>
    <w:p>
      <w:pPr>
        <w:pStyle w:val="BodyTextIndent"/>
        <w:rPr>
          <w:sz w:val="28"/>
        </w:rPr>
      </w:pPr>
      <w:r>
        <w:rPr>
          <w:sz w:val="28"/>
        </w:rPr>
      </w:r>
    </w:p>
    <w:p>
      <w:pPr>
        <w:pStyle w:val="BodyTextIndent"/>
        <w:ind w:hanging="0" w:start="720" w:end="720"/>
        <w:jc w:val="both"/>
        <w:rPr>
          <w:sz w:val="28"/>
        </w:rPr>
      </w:pPr>
      <w:r>
        <w:rPr>
          <w:sz w:val="28"/>
        </w:rPr>
        <w:t>…</w:t>
      </w:r>
      <w:r>
        <w:rPr>
          <w:sz w:val="28"/>
        </w:rPr>
        <w:t xml:space="preserve">will include confirmation of Utility’s entitlement to recovery its reasonable procurement costs on a timely basis and establish procedures (which may include one or more balancing accounts and trigger mechanisms) designed to ensure that any under collection or overcollection of procurement costs will be reconciled in a timely manner and any undercollection will be able to be financed…on reasonable terms consistent with Utility continuing to be an investment grade credit, and mechanisms to mitigate the potential risks of retrospective reasonableness review of procurement practices, including the development of a framework and criteria for procurement practices (the “Procurement Cost Recovery Mechanism”). </w:t>
      </w:r>
    </w:p>
    <w:p>
      <w:pPr>
        <w:pStyle w:val="BodyTextIndent"/>
        <w:ind w:hanging="0" w:start="720" w:end="720"/>
        <w:jc w:val="both"/>
        <w:rPr>
          <w:sz w:val="28"/>
        </w:rPr>
      </w:pPr>
      <w:r>
        <w:rPr>
          <w:sz w:val="28"/>
        </w:rPr>
      </w:r>
    </w:p>
    <w:p>
      <w:pPr>
        <w:pStyle w:val="BodyTextIndent"/>
        <w:ind w:hanging="0" w:start="720" w:end="720"/>
        <w:jc w:val="both"/>
        <w:rPr>
          <w:sz w:val="28"/>
        </w:rPr>
      </w:pPr>
      <w:r>
        <w:rPr>
          <w:sz w:val="28"/>
        </w:rPr>
      </w:r>
    </w:p>
    <w:p>
      <w:pPr>
        <w:pStyle w:val="BodyTextIndent"/>
        <w:ind w:hanging="0" w:end="720"/>
        <w:rPr>
          <w:sz w:val="28"/>
        </w:rPr>
      </w:pPr>
      <w:r>
        <w:rPr>
          <w:sz w:val="28"/>
        </w:rPr>
        <w:tab/>
        <w:t>SDG&amp;E includes in this filing its recommendations governing the ratemaking treatment of procurement costs incurred as SDG&amp;E meets the “net short” requirements of its customers. This is discussed further in Section II.</w:t>
      </w:r>
    </w:p>
    <w:p>
      <w:pPr>
        <w:pStyle w:val="FootnoteText"/>
        <w:rPr>
          <w:sz w:val="28"/>
        </w:rPr>
      </w:pPr>
      <w:r>
        <w:rPr>
          <w:sz w:val="28"/>
        </w:rPr>
      </w:r>
    </w:p>
    <w:p>
      <w:pPr>
        <w:pStyle w:val="Heading1"/>
        <w:ind w:hanging="0" w:start="0"/>
        <w:rPr/>
      </w:pPr>
      <w:bookmarkStart w:id="7" w:name="__RefHeading___Toc523299250"/>
      <w:bookmarkEnd w:id="7"/>
      <w:r>
        <w:rPr/>
        <w:t>D.</w:t>
        <w:tab/>
        <w:t>Goals of a Procurement Policy:</w:t>
      </w:r>
    </w:p>
    <w:p>
      <w:pPr>
        <w:pStyle w:val="Normal"/>
        <w:rPr/>
      </w:pPr>
      <w:r>
        <w:rPr/>
      </w:r>
    </w:p>
    <w:p>
      <w:pPr>
        <w:pStyle w:val="Normal"/>
        <w:rPr/>
      </w:pPr>
      <w:r>
        <w:rPr/>
        <w:tab/>
      </w:r>
      <w:r>
        <w:rPr>
          <w:sz w:val="28"/>
        </w:rPr>
        <w:t>A procurement policy should accomplish the following:</w:t>
      </w:r>
    </w:p>
    <w:p>
      <w:pPr>
        <w:pStyle w:val="Normal"/>
        <w:rPr>
          <w:sz w:val="28"/>
        </w:rPr>
      </w:pPr>
      <w:r>
        <w:rPr>
          <w:sz w:val="28"/>
        </w:rPr>
      </w:r>
    </w:p>
    <w:p>
      <w:pPr>
        <w:pStyle w:val="Normal"/>
        <w:numPr>
          <w:ilvl w:val="0"/>
          <w:numId w:val="5"/>
        </w:numPr>
        <w:rPr>
          <w:sz w:val="28"/>
        </w:rPr>
      </w:pPr>
      <w:r>
        <w:rPr>
          <w:b/>
          <w:sz w:val="28"/>
        </w:rPr>
        <w:t>Balance customer interests in low costs, price stability, and reliability:</w:t>
      </w:r>
      <w:r>
        <w:rPr>
          <w:sz w:val="28"/>
        </w:rPr>
        <w:t xml:space="preserve"> Consumers want low costs, stable rates, and high reliability. Unfortunately, frequently these objectives trade off against each other. As the state has become well aware in the past year, achieving price stability does not necessarily result in the lowest costs, and efforts to achieve the lowest cost can result in significant price volatility and may affect reliability. Reliability comes at a price. In times of scarcity, this price may be quite high. For example, in the past year, California has experienced purchase costs at times exceeding $1000/MWhr. The process SDG&amp;E proposes will provide the Commission the opportunity to determine how to balance these interests. </w:t>
      </w:r>
    </w:p>
    <w:p>
      <w:pPr>
        <w:pStyle w:val="Normal"/>
        <w:rPr>
          <w:sz w:val="28"/>
        </w:rPr>
      </w:pPr>
      <w:r>
        <w:rPr>
          <w:sz w:val="28"/>
        </w:rPr>
      </w:r>
    </w:p>
    <w:p>
      <w:pPr>
        <w:pStyle w:val="Normal"/>
        <w:numPr>
          <w:ilvl w:val="0"/>
          <w:numId w:val="7"/>
        </w:numPr>
        <w:tabs>
          <w:tab w:val="clear" w:pos="720"/>
          <w:tab w:val="left" w:pos="0" w:leader="none"/>
        </w:tabs>
        <w:rPr>
          <w:sz w:val="28"/>
        </w:rPr>
      </w:pPr>
      <w:r>
        <w:rPr>
          <w:b/>
          <w:sz w:val="28"/>
        </w:rPr>
        <w:t>Make the best use of existing resources</w:t>
      </w:r>
      <w:r>
        <w:rPr>
          <w:sz w:val="28"/>
        </w:rPr>
        <w:t>: Allocation of existing resources needs to reflect consumer requirements for different kinds of products so that consumers receive the best mix of supply sources.</w:t>
      </w:r>
    </w:p>
    <w:p>
      <w:pPr>
        <w:pStyle w:val="Normal"/>
        <w:rPr>
          <w:sz w:val="28"/>
        </w:rPr>
      </w:pPr>
      <w:r>
        <w:rPr>
          <w:sz w:val="28"/>
        </w:rPr>
      </w:r>
    </w:p>
    <w:p>
      <w:pPr>
        <w:pStyle w:val="Normal"/>
        <w:numPr>
          <w:ilvl w:val="0"/>
          <w:numId w:val="6"/>
        </w:numPr>
        <w:tabs>
          <w:tab w:val="clear" w:pos="720"/>
          <w:tab w:val="left" w:pos="0" w:leader="none"/>
        </w:tabs>
        <w:rPr>
          <w:sz w:val="28"/>
        </w:rPr>
      </w:pPr>
      <w:r>
        <w:rPr>
          <w:b/>
          <w:sz w:val="28"/>
        </w:rPr>
        <w:t>Ensure that needed new resources are available, and are at reasonable prices:</w:t>
      </w:r>
      <w:r>
        <w:rPr>
          <w:sz w:val="28"/>
        </w:rPr>
        <w:t xml:space="preserve"> The state has already embarked on a program to pursue new resources through the new California Power Authority, which has the responsibility to ensure adequate resources to meet the State’s reliability needs. The Power Authority’s actions must be closely coordinated with the Commission’s determination of how to meet the net short requirements of SDG&amp;E’s customers. For example, if the Power Authority is constructing new peaking generation while, at the same time, the utility is meeting the net short position of its customers, as determined by the CPUC in the resource planning process, by entering into peaking contracts with others, there could be a mismatch of efforts. </w:t>
      </w:r>
    </w:p>
    <w:p>
      <w:pPr>
        <w:pStyle w:val="Normal"/>
        <w:rPr>
          <w:b/>
          <w:sz w:val="28"/>
        </w:rPr>
      </w:pPr>
      <w:r>
        <w:rPr>
          <w:b/>
          <w:sz w:val="28"/>
        </w:rPr>
      </w:r>
    </w:p>
    <w:p>
      <w:pPr>
        <w:pStyle w:val="Normal"/>
        <w:numPr>
          <w:ilvl w:val="0"/>
          <w:numId w:val="9"/>
        </w:numPr>
        <w:rPr/>
      </w:pPr>
      <w:r>
        <w:rPr>
          <w:b/>
          <w:sz w:val="28"/>
        </w:rPr>
        <w:t>Provide a binding framework to govern procurement and administrative decisions:</w:t>
      </w:r>
      <w:r>
        <w:rPr>
          <w:sz w:val="28"/>
        </w:rPr>
        <w:t xml:space="preserve"> The State will need to establish the method by which the procurement takes place in order to ensure its reasonableness for customers. </w:t>
      </w:r>
    </w:p>
    <w:p>
      <w:pPr>
        <w:pStyle w:val="Heading1"/>
        <w:ind w:hanging="0" w:start="0"/>
        <w:rPr>
          <w:rFonts w:ascii="Times New Roman" w:hAnsi="Times New Roman" w:cs="Times New Roman"/>
        </w:rPr>
      </w:pPr>
      <w:bookmarkStart w:id="8" w:name="__RefHeading___Toc523299251"/>
      <w:bookmarkEnd w:id="8"/>
      <w:r>
        <w:rPr>
          <w:rFonts w:cs="Times New Roman" w:ascii="Times New Roman" w:hAnsi="Times New Roman"/>
        </w:rPr>
        <w:t>E.</w:t>
        <w:tab/>
        <w:t>Effects of Existing and Anticipated Commitments</w:t>
      </w:r>
    </w:p>
    <w:p>
      <w:pPr>
        <w:pStyle w:val="Normal"/>
        <w:rPr>
          <w:rFonts w:ascii="Times New Roman" w:hAnsi="Times New Roman" w:cs="Times New Roman"/>
        </w:rPr>
      </w:pPr>
      <w:r>
        <w:rPr>
          <w:rFonts w:cs="Times New Roman"/>
        </w:rPr>
      </w:r>
    </w:p>
    <w:p>
      <w:pPr>
        <w:pStyle w:val="BodyTextIndent"/>
        <w:rPr>
          <w:sz w:val="28"/>
        </w:rPr>
      </w:pPr>
      <w:r>
        <w:rPr>
          <w:sz w:val="28"/>
        </w:rPr>
        <w:t>The starting point in developing a resource plan is to take account of existing and anticipated commitments made on behalf of retail consumers. These different sources could have significant effects both on the planning process, and on any recommendations for procurement. In California, these take at least four different forms:</w:t>
      </w:r>
    </w:p>
    <w:p>
      <w:pPr>
        <w:pStyle w:val="BodyTextIndent"/>
        <w:rPr>
          <w:sz w:val="28"/>
        </w:rPr>
      </w:pPr>
      <w:r>
        <w:rPr>
          <w:sz w:val="28"/>
        </w:rPr>
      </w:r>
    </w:p>
    <w:p>
      <w:pPr>
        <w:pStyle w:val="BodyTextIndent"/>
        <w:numPr>
          <w:ilvl w:val="0"/>
          <w:numId w:val="8"/>
        </w:numPr>
        <w:tabs>
          <w:tab w:val="clear" w:pos="720"/>
          <w:tab w:val="left" w:pos="1260" w:leader="none"/>
        </w:tabs>
        <w:ind w:hanging="540" w:start="1260" w:end="0"/>
        <w:rPr>
          <w:sz w:val="28"/>
        </w:rPr>
      </w:pPr>
      <w:r>
        <w:rPr>
          <w:sz w:val="28"/>
        </w:rPr>
        <w:t>Commitments made by the CDWR on behalf of retail customers: The CDWR is selling power acquired under these contracts directly to end use customers.</w:t>
      </w:r>
    </w:p>
    <w:p>
      <w:pPr>
        <w:pStyle w:val="BodyTextIndent"/>
        <w:tabs>
          <w:tab w:val="clear" w:pos="720"/>
          <w:tab w:val="left" w:pos="1260" w:leader="none"/>
        </w:tabs>
        <w:ind w:hanging="540" w:start="1260" w:end="0"/>
        <w:rPr>
          <w:sz w:val="28"/>
        </w:rPr>
      </w:pPr>
      <w:r>
        <w:rPr>
          <w:sz w:val="28"/>
        </w:rPr>
      </w:r>
    </w:p>
    <w:p>
      <w:pPr>
        <w:pStyle w:val="BodyTextIndent"/>
        <w:numPr>
          <w:ilvl w:val="0"/>
          <w:numId w:val="8"/>
        </w:numPr>
        <w:tabs>
          <w:tab w:val="clear" w:pos="720"/>
          <w:tab w:val="left" w:pos="1260" w:leader="none"/>
        </w:tabs>
        <w:ind w:hanging="540" w:start="1260" w:end="0"/>
        <w:rPr>
          <w:sz w:val="28"/>
        </w:rPr>
      </w:pPr>
      <w:r>
        <w:rPr>
          <w:sz w:val="28"/>
        </w:rPr>
        <w:t>Direct Access: Third party suppliers are selling under contract directly to retail customers.</w:t>
      </w:r>
    </w:p>
    <w:p>
      <w:pPr>
        <w:pStyle w:val="BodyTextIndent"/>
        <w:tabs>
          <w:tab w:val="clear" w:pos="720"/>
          <w:tab w:val="left" w:pos="1260" w:leader="none"/>
        </w:tabs>
        <w:ind w:hanging="540" w:start="1260" w:end="0"/>
        <w:rPr>
          <w:sz w:val="28"/>
        </w:rPr>
      </w:pPr>
      <w:r>
        <w:rPr>
          <w:sz w:val="28"/>
        </w:rPr>
      </w:r>
    </w:p>
    <w:p>
      <w:pPr>
        <w:pStyle w:val="BodyTextIndent"/>
        <w:numPr>
          <w:ilvl w:val="0"/>
          <w:numId w:val="8"/>
        </w:numPr>
        <w:tabs>
          <w:tab w:val="clear" w:pos="720"/>
          <w:tab w:val="left" w:pos="1260" w:leader="none"/>
        </w:tabs>
        <w:ind w:hanging="540" w:start="1260" w:end="0"/>
        <w:rPr>
          <w:sz w:val="28"/>
        </w:rPr>
      </w:pPr>
      <w:r>
        <w:rPr>
          <w:sz w:val="28"/>
        </w:rPr>
        <w:t>Utility-retained generation</w:t>
      </w:r>
    </w:p>
    <w:p>
      <w:pPr>
        <w:pStyle w:val="BodyTextIndent"/>
        <w:tabs>
          <w:tab w:val="clear" w:pos="720"/>
          <w:tab w:val="left" w:pos="1260" w:leader="none"/>
        </w:tabs>
        <w:ind w:hanging="540" w:start="1260" w:end="0"/>
        <w:rPr>
          <w:sz w:val="28"/>
        </w:rPr>
      </w:pPr>
      <w:r>
        <w:rPr>
          <w:sz w:val="28"/>
        </w:rPr>
      </w:r>
    </w:p>
    <w:p>
      <w:pPr>
        <w:pStyle w:val="BodyTextIndent"/>
        <w:numPr>
          <w:ilvl w:val="0"/>
          <w:numId w:val="8"/>
        </w:numPr>
        <w:tabs>
          <w:tab w:val="clear" w:pos="720"/>
          <w:tab w:val="left" w:pos="1260" w:leader="none"/>
        </w:tabs>
        <w:ind w:hanging="540" w:start="1260" w:end="0"/>
        <w:rPr>
          <w:sz w:val="28"/>
        </w:rPr>
      </w:pPr>
      <w:r>
        <w:rPr>
          <w:sz w:val="28"/>
        </w:rPr>
        <w:t>Commitments made by the California Power Authority on behalf on retail customers: To SDG&amp;E’s knowledge, at present, the Power Authority has not made any commitments, but SDG&amp;E understands that the Power Authority is considering constructing additional generation, such as peaking units, to meet customer net short requirements.</w:t>
      </w:r>
    </w:p>
    <w:p>
      <w:pPr>
        <w:pStyle w:val="BodyTextIndent"/>
        <w:tabs>
          <w:tab w:val="clear" w:pos="720"/>
          <w:tab w:val="left" w:pos="1260" w:leader="none"/>
        </w:tabs>
        <w:ind w:hanging="0" w:start="720" w:end="0"/>
        <w:rPr>
          <w:sz w:val="28"/>
        </w:rPr>
      </w:pPr>
      <w:r>
        <w:rPr>
          <w:sz w:val="28"/>
        </w:rPr>
      </w:r>
    </w:p>
    <w:p>
      <w:pPr>
        <w:pStyle w:val="Heading3"/>
        <w:rPr/>
      </w:pPr>
      <w:bookmarkStart w:id="9" w:name="__RefHeading___Toc523299252"/>
      <w:bookmarkEnd w:id="9"/>
      <w:r>
        <w:rPr/>
        <w:t>1.</w:t>
        <w:tab/>
        <w:t>CDWR Commitments:</w:t>
      </w:r>
    </w:p>
    <w:p>
      <w:pPr>
        <w:pStyle w:val="Normal"/>
        <w:ind w:start="720" w:end="0"/>
        <w:rPr/>
      </w:pPr>
      <w:r>
        <w:rPr/>
      </w:r>
    </w:p>
    <w:p>
      <w:pPr>
        <w:pStyle w:val="Normal"/>
        <w:ind w:firstLine="720" w:end="0"/>
        <w:rPr>
          <w:sz w:val="28"/>
        </w:rPr>
      </w:pPr>
      <w:r>
        <w:rPr>
          <w:sz w:val="28"/>
        </w:rPr>
        <w:t>CDWR is selling energy to SDG&amp;E-area retail customers in accordance with State law. The resource plan will identify customers’ requirements for various CDWR products in order to determine customer net short requirements.</w:t>
      </w:r>
    </w:p>
    <w:p>
      <w:pPr>
        <w:pStyle w:val="Normal"/>
        <w:ind w:firstLine="720" w:end="0"/>
        <w:rPr>
          <w:sz w:val="28"/>
        </w:rPr>
      </w:pPr>
      <w:r>
        <w:rPr>
          <w:sz w:val="28"/>
        </w:rPr>
      </w:r>
    </w:p>
    <w:p>
      <w:pPr>
        <w:pStyle w:val="Heading3"/>
        <w:rPr/>
      </w:pPr>
      <w:bookmarkStart w:id="10" w:name="__RefHeading___Toc523299253"/>
      <w:bookmarkEnd w:id="10"/>
      <w:r>
        <w:rPr/>
        <w:t>2.</w:t>
        <w:tab/>
        <w:t>Direct Access</w:t>
      </w:r>
    </w:p>
    <w:p>
      <w:pPr>
        <w:pStyle w:val="Normal"/>
        <w:ind w:firstLine="720" w:end="0"/>
        <w:rPr/>
      </w:pPr>
      <w:r>
        <w:rPr/>
      </w:r>
    </w:p>
    <w:p>
      <w:pPr>
        <w:pStyle w:val="Normal"/>
        <w:ind w:firstLine="720" w:end="0"/>
        <w:rPr>
          <w:sz w:val="28"/>
        </w:rPr>
      </w:pPr>
      <w:r>
        <w:rPr>
          <w:sz w:val="28"/>
        </w:rPr>
        <w:t xml:space="preserve">Developing the net short requirements of consumers depends on the extent to which they might be served instead by third party providers. The level of direct access will affect these net short requirements. At present, there is substantial uncertainty concerning the future disposition of direct access and third party supply of retail customers that jeopardizes creation of an optimal plan. This uncertainty has the potential for increasing costs to San Diego retail customers as a result of unnecessary over- or under commitments. To resolve this uncertainty, the Commission needs to coordinate direct access with resource planning, at least on an interim basis. SDG&amp;E discusses below how to provide for this coordination. </w:t>
      </w:r>
    </w:p>
    <w:p>
      <w:pPr>
        <w:pStyle w:val="Normal"/>
        <w:ind w:firstLine="720" w:end="0"/>
        <w:rPr>
          <w:sz w:val="28"/>
        </w:rPr>
      </w:pPr>
      <w:r>
        <w:rPr>
          <w:sz w:val="28"/>
        </w:rPr>
      </w:r>
    </w:p>
    <w:p>
      <w:pPr>
        <w:pStyle w:val="Normal"/>
        <w:ind w:firstLine="720" w:end="0"/>
        <w:rPr>
          <w:sz w:val="28"/>
        </w:rPr>
      </w:pPr>
      <w:r>
        <w:rPr>
          <w:sz w:val="28"/>
        </w:rPr>
        <w:t xml:space="preserve">As the retail market matures, SDG&amp;E expects that direct access elections will gain stability and will not be characterized by severe volatility. That stability will allow planners to make reasoned assumptions on direct access and rely on them in developing a procurement plan. However, today, direct access is subject to substantial uncertainty. Before the high prices of the summer of 2000, approximately 20% of SDG&amp;E’s retail load had elected direct access. By the beginning of 2001, direct access had reduced by nearly half. More recently, SDG&amp;E has seen an increase in direct access, </w:t>
      </w:r>
      <w:r>
        <w:br w:type="page"/>
      </w:r>
    </w:p>
    <w:p>
      <w:pPr>
        <w:pStyle w:val="Normal"/>
        <w:rPr>
          <w:sz w:val="28"/>
        </w:rPr>
      </w:pPr>
      <w:r>
        <w:rPr>
          <w:sz w:val="28"/>
        </w:rPr>
        <w:t>perhaps as a result of two factors: first, would direct access customers be able to avoid paying a share of CDWR contract costs, and second, would the state suspend direct access, as appears to be permitted under ABx-1 1. Furthermore, the legislature is considering legislation that would permit direct access, and other bills that would encourage municipal aggregation of load. The effect of this latter bill is similar to direct access, but it could cause large quantities of load to leave or return to the system quite abruptly.</w:t>
      </w:r>
    </w:p>
    <w:p>
      <w:pPr>
        <w:pStyle w:val="Normal"/>
        <w:ind w:firstLine="720" w:end="0"/>
        <w:rPr>
          <w:sz w:val="28"/>
        </w:rPr>
      </w:pPr>
      <w:r>
        <w:rPr>
          <w:sz w:val="28"/>
        </w:rPr>
      </w:r>
    </w:p>
    <w:p>
      <w:pPr>
        <w:pStyle w:val="Normal"/>
        <w:ind w:firstLine="720" w:end="0"/>
        <w:rPr>
          <w:sz w:val="28"/>
        </w:rPr>
      </w:pPr>
      <w:r>
        <w:rPr>
          <w:sz w:val="28"/>
        </w:rPr>
        <w:t>These events illustrate the need for added coordination between direct access and resource planning. The necessary coordination could come by using an open enrollment period each planning cycle under which direct access elections take place. During that enrollment period, the utility is provided information on the amount of load electing direct access (or municipal aggregation) and the length of the direct access commitment. This open enrollment period would last for 90 days and commence 180 days before SDG&amp;E is scheduled to submit its procurement plan. Customers over 20kW would make commitments to service by suppliers other than SDG&amp;E of at least 5 years. Smaller customers would make minimum one year commitments. These commitments and the use of a specific enrollment period would provide SDG&amp;E with the information it needs to plan to meet net short requirements and minimize the risk of over- or under-commitment.</w:t>
      </w:r>
    </w:p>
    <w:p>
      <w:pPr>
        <w:pStyle w:val="Normal"/>
        <w:ind w:firstLine="720" w:end="0"/>
        <w:rPr>
          <w:sz w:val="28"/>
        </w:rPr>
      </w:pPr>
      <w:r>
        <w:rPr>
          <w:sz w:val="28"/>
        </w:rPr>
      </w:r>
    </w:p>
    <w:p>
      <w:pPr>
        <w:pStyle w:val="Normal"/>
        <w:ind w:firstLine="720" w:end="0"/>
        <w:rPr>
          <w:sz w:val="28"/>
        </w:rPr>
      </w:pPr>
      <w:r>
        <w:rPr>
          <w:sz w:val="28"/>
        </w:rPr>
        <w:t>In order to ensure an orderly process that protects consumers, change of service would not occur until the commission ruled on the procurement plan, and, to the extent that the commission determined that excessive direct access placed an unreasonable burden on utility customers, it could choose to limit direct access. Those electing to leave utility procurement would pay an exit fee to cover the costs of commitments made by CDWR and utility retained generation committed to those customers in order to protect remaining customers. As a result of this change, SDG&amp;E would not plan to provide commodity service to departing customers. Customers returning from direct access prematurely would be subject to a re-entry fee and to spot energy pricing, again to protect those customers who did not elect to switch.</w:t>
      </w:r>
    </w:p>
    <w:p>
      <w:pPr>
        <w:pStyle w:val="Normal"/>
        <w:ind w:firstLine="720" w:end="0"/>
        <w:rPr>
          <w:sz w:val="28"/>
        </w:rPr>
      </w:pPr>
      <w:r>
        <w:rPr>
          <w:sz w:val="28"/>
        </w:rPr>
      </w:r>
    </w:p>
    <w:p>
      <w:pPr>
        <w:pStyle w:val="Normal"/>
        <w:ind w:firstLine="720" w:end="0"/>
        <w:rPr>
          <w:sz w:val="28"/>
        </w:rPr>
      </w:pPr>
      <w:r>
        <w:rPr>
          <w:sz w:val="28"/>
        </w:rPr>
        <w:t>Coordinating direct access with the planning process, at least for a near-term period, is important to ensuring a reasonable procurement plan.</w:t>
      </w:r>
    </w:p>
    <w:p>
      <w:pPr>
        <w:pStyle w:val="Normal"/>
        <w:ind w:firstLine="720" w:end="0"/>
        <w:rPr>
          <w:sz w:val="28"/>
        </w:rPr>
      </w:pPr>
      <w:r>
        <w:rPr>
          <w:sz w:val="28"/>
        </w:rPr>
      </w:r>
      <w:r>
        <w:br w:type="page"/>
      </w:r>
    </w:p>
    <w:p>
      <w:pPr>
        <w:pStyle w:val="Heading3"/>
        <w:rPr/>
      </w:pPr>
      <w:bookmarkStart w:id="11" w:name="__RefHeading___Toc523299254"/>
      <w:bookmarkEnd w:id="11"/>
      <w:r>
        <w:rPr/>
        <w:t>3.</w:t>
        <w:tab/>
        <w:t>Utility-Retained Generation</w:t>
      </w:r>
    </w:p>
    <w:p>
      <w:pPr>
        <w:pStyle w:val="Normal"/>
        <w:ind w:firstLine="720" w:end="0"/>
        <w:rPr/>
      </w:pPr>
      <w:r>
        <w:rPr/>
      </w:r>
    </w:p>
    <w:p>
      <w:pPr>
        <w:pStyle w:val="BodyTextIndent2"/>
        <w:rPr/>
      </w:pPr>
      <w:r>
        <w:rPr/>
        <w:t>SDG&amp;E does not have large amounts of utility-retained generation: SDG&amp;E’s 20% interest in SONGS, rights to purchase under a few QF contracts, one long-term purchase contract with Portland General Electric, and three short-term purchase contracts entered into last fall. Consistent with Section 3 of the MOU, SDG&amp;E would commit its generating assets and purchase contracts to cost-based ratemaking for its bundled customers. These assets would establish the base upon which the procurement portfolio would be built.</w:t>
      </w:r>
    </w:p>
    <w:p>
      <w:pPr>
        <w:pStyle w:val="Normal"/>
        <w:spacing w:lineRule="auto" w:line="360"/>
        <w:ind w:firstLine="720" w:end="0"/>
        <w:rPr/>
      </w:pPr>
      <w:r>
        <w:rPr/>
      </w:r>
    </w:p>
    <w:p>
      <w:pPr>
        <w:pStyle w:val="Heading3"/>
        <w:rPr/>
      </w:pPr>
      <w:bookmarkStart w:id="12" w:name="__RefHeading___Toc523299255"/>
      <w:bookmarkEnd w:id="12"/>
      <w:r>
        <w:rPr/>
        <w:t>4.</w:t>
        <w:tab/>
        <w:t>California Power Authority Commitments</w:t>
      </w:r>
    </w:p>
    <w:p>
      <w:pPr>
        <w:pStyle w:val="Normal"/>
        <w:spacing w:lineRule="auto" w:line="360"/>
        <w:ind w:firstLine="720" w:end="0"/>
        <w:rPr/>
      </w:pPr>
      <w:r>
        <w:rPr/>
      </w:r>
    </w:p>
    <w:p>
      <w:pPr>
        <w:pStyle w:val="Normal"/>
        <w:ind w:firstLine="720" w:end="0"/>
        <w:rPr>
          <w:sz w:val="28"/>
        </w:rPr>
      </w:pPr>
      <w:r>
        <w:rPr>
          <w:sz w:val="28"/>
        </w:rPr>
        <w:t>SB 1-x 6 (Burton) established the California Consumer Power and Conservation Financing Authority. Under this bill, the Power Authority may purchase, lease, own, operate, acquire, or construct generating facilities in order to ensure a sufficient and reliable supply of electricity at just and reasonable rates. It is not known the extent to which the Power Authority will seek to sell electricity to consumers in the same manner as the CDWR has under AB 1-x 1. To the extent the Power Authority undertakes such a sale, the consequences will need to be reflected in the resource plan.</w:t>
      </w:r>
    </w:p>
    <w:p>
      <w:pPr>
        <w:pStyle w:val="Normal"/>
        <w:ind w:firstLine="720" w:end="0"/>
        <w:rPr>
          <w:sz w:val="28"/>
        </w:rPr>
      </w:pPr>
      <w:r>
        <w:rPr>
          <w:sz w:val="28"/>
        </w:rPr>
      </w:r>
    </w:p>
    <w:p>
      <w:pPr>
        <w:pStyle w:val="Normal"/>
        <w:ind w:firstLine="720" w:end="0"/>
        <w:rPr>
          <w:sz w:val="28"/>
        </w:rPr>
      </w:pPr>
      <w:r>
        <w:rPr>
          <w:sz w:val="28"/>
        </w:rPr>
        <w:t>Furthermore, SB1-x 6 requires the Power Authority to develop an “investment plan” whose purpose is to address issues regarding, among other things, reliability of service and grid congestion, and which shall compare costs of various energy resources. The language of this bill appears to suggest that the Power Authority will be undertaking a resource planning role and may commit capital to implement its identified resource plan. This creates the potential for California policy overlap that requires reconciliation. To the extent that SDG&amp;E develops a resource plan, it is essential that it be able to reflect in the Plan the policies and planned actions of the Power Authority. At present, SDG&amp;E has no information on the investment plan or underling policy determinations of the Power Authority and cannot reflect them in its recommendations or in any future plan.</w:t>
      </w:r>
    </w:p>
    <w:p>
      <w:pPr>
        <w:pStyle w:val="Normal"/>
        <w:rPr>
          <w:sz w:val="28"/>
        </w:rPr>
      </w:pPr>
      <w:r>
        <w:rPr>
          <w:sz w:val="28"/>
        </w:rPr>
      </w:r>
      <w:r>
        <w:br w:type="page"/>
      </w:r>
    </w:p>
    <w:p>
      <w:pPr>
        <w:pStyle w:val="Heading1"/>
        <w:numPr>
          <w:ilvl w:val="0"/>
          <w:numId w:val="3"/>
        </w:numPr>
        <w:rPr>
          <w:rFonts w:ascii="Times New Roman" w:hAnsi="Times New Roman" w:cs="Times New Roman"/>
        </w:rPr>
      </w:pPr>
      <w:bookmarkStart w:id="13" w:name="__RefHeading___Toc523299256"/>
      <w:bookmarkEnd w:id="13"/>
      <w:r>
        <w:rPr>
          <w:rFonts w:cs="Times New Roman" w:ascii="Times New Roman" w:hAnsi="Times New Roman"/>
        </w:rPr>
        <w:t>Procurement Cost Adjustment Mechanism (PCAM)</w:t>
      </w:r>
    </w:p>
    <w:p>
      <w:pPr>
        <w:pStyle w:val="Normal"/>
        <w:rPr>
          <w:rFonts w:ascii="Times New Roman" w:hAnsi="Times New Roman" w:cs="Times New Roman"/>
          <w:sz w:val="28"/>
        </w:rPr>
      </w:pPr>
      <w:r>
        <w:rPr>
          <w:rFonts w:cs="Times New Roman"/>
          <w:sz w:val="28"/>
        </w:rPr>
      </w:r>
    </w:p>
    <w:p>
      <w:pPr>
        <w:pStyle w:val="Normal"/>
        <w:ind w:firstLine="720" w:end="0"/>
        <w:rPr>
          <w:sz w:val="28"/>
        </w:rPr>
      </w:pPr>
      <w:r>
        <w:rPr>
          <w:sz w:val="28"/>
        </w:rPr>
        <w:t xml:space="preserve">In fulfillment of Section 9 of the MOU, SDG&amp;E proposes a Procurement Cost Adjustment Mechanism (PCAM) that provides for timely and full recovery of energy procurement costs associated with SDG&amp;E’s net short procurement requirements. The proposed PCAM will provide SDG&amp;E the opportunity to retain its investment grade credit rating as contemplated in the MOU. The PCAM will recover the costs associated with SDG&amp;E energy procurement commitments, ISO costs,  ancillary services cost, and other energy procurement costs not otherwise included in rates.  </w:t>
      </w:r>
    </w:p>
    <w:p>
      <w:pPr>
        <w:pStyle w:val="Normal"/>
        <w:rPr>
          <w:sz w:val="28"/>
        </w:rPr>
      </w:pPr>
      <w:r>
        <w:rPr>
          <w:sz w:val="28"/>
        </w:rPr>
      </w:r>
    </w:p>
    <w:p>
      <w:pPr>
        <w:pStyle w:val="BodyText2"/>
        <w:rPr/>
      </w:pPr>
      <w:r>
        <w:rPr/>
        <w:tab/>
        <w:t xml:space="preserve">The PCAM rate will consist of two components: an energy and ancillary services component (recovering the costs identified above) and a balancing account adjustment component. Each of these two rate components will be adjusted on a monthly basis similar to current monthly adjustments made to SDG&amp;E’s Electric Energy Commodity Cost (formerly Schedule PX) and SDG&amp;E’s existing Purchased Electric Commodity Account (PECA). </w:t>
      </w:r>
    </w:p>
    <w:p>
      <w:pPr>
        <w:pStyle w:val="Normal"/>
        <w:rPr>
          <w:sz w:val="28"/>
        </w:rPr>
      </w:pPr>
      <w:r>
        <w:rPr>
          <w:sz w:val="28"/>
        </w:rPr>
      </w:r>
    </w:p>
    <w:p>
      <w:pPr>
        <w:pStyle w:val="Normal"/>
        <w:rPr>
          <w:sz w:val="28"/>
        </w:rPr>
      </w:pPr>
      <w:r>
        <w:rPr>
          <w:sz w:val="28"/>
        </w:rPr>
        <w:tab/>
        <w:t xml:space="preserve">The PCAM will also consist of a balancing account to track actual energy and ancillary services cost compared to revenues derived from the PCAM rate. </w:t>
      </w:r>
    </w:p>
    <w:p>
      <w:pPr>
        <w:pStyle w:val="Normal"/>
        <w:rPr>
          <w:sz w:val="28"/>
        </w:rPr>
      </w:pPr>
      <w:r>
        <w:rPr>
          <w:sz w:val="28"/>
        </w:rPr>
      </w:r>
    </w:p>
    <w:p>
      <w:pPr>
        <w:pStyle w:val="Normal"/>
        <w:rPr>
          <w:sz w:val="28"/>
        </w:rPr>
      </w:pPr>
      <w:r>
        <w:rPr>
          <w:sz w:val="28"/>
        </w:rPr>
        <w:tab/>
        <w:t xml:space="preserve">Prior to the implementation of the PCAM, SDG&amp;E will submit an advice letter to the Commission establishing the initial energy and ancillary services rate. Each month thereafter, SDG&amp;E will modify this rate component to reflect the previous  4-week weighted average energy procurement and ancillary services cost. This formula will also be utilized in establishing the initial PCAM energy and ancillary services component. Following the initial month of PCAM implementation, SDG&amp;E will implement a balancing account adjustment rate to establish a one month amortization of the actual previous month over or under collection. The previous month over or under collection will be determined by comparing the actual energy and ancillary services costs to the revenues brought in from the current PCAM rate (PCAM rate times actual sales).  </w:t>
      </w:r>
    </w:p>
    <w:p>
      <w:pPr>
        <w:pStyle w:val="Heading1"/>
        <w:ind w:hanging="0" w:start="0"/>
        <w:rPr>
          <w:rFonts w:ascii="Times New Roman" w:hAnsi="Times New Roman" w:cs="Times New Roman"/>
        </w:rPr>
      </w:pPr>
      <w:bookmarkStart w:id="14" w:name="__RefHeading___Toc523299257"/>
      <w:bookmarkEnd w:id="14"/>
      <w:r>
        <w:rPr>
          <w:rFonts w:cs="Times New Roman" w:ascii="Times New Roman" w:hAnsi="Times New Roman"/>
        </w:rPr>
        <w:t>III.</w:t>
        <w:tab/>
        <w:t>SDG&amp;E’s Recommended Plan-Based Approach</w:t>
      </w:r>
    </w:p>
    <w:p>
      <w:pPr>
        <w:pStyle w:val="Heading2"/>
        <w:rPr/>
      </w:pPr>
      <w:bookmarkStart w:id="15" w:name="__RefHeading___Toc523299258"/>
      <w:bookmarkEnd w:id="15"/>
      <w:r>
        <w:rPr/>
        <w:t xml:space="preserve">A.  </w:t>
        <w:tab/>
        <w:t>Overview of Plan-Based Approach:</w:t>
      </w:r>
    </w:p>
    <w:p>
      <w:pPr>
        <w:pStyle w:val="Normal"/>
        <w:rPr/>
      </w:pPr>
      <w:r>
        <w:rPr/>
      </w:r>
    </w:p>
    <w:p>
      <w:pPr>
        <w:pStyle w:val="BodyText2"/>
        <w:ind w:firstLine="720" w:end="0"/>
        <w:rPr/>
      </w:pPr>
      <w:r>
        <w:rPr/>
        <w:t xml:space="preserve">This approach is based on a scenario in which SDG&amp;E is obligated to provide electric supply services to consumers within the SDG&amp;E service area to the extent such consumers' requirements are not met by alternative suppliers.  This could occur by January 2003 under terms of current legislation, or sooner if certain conditions in SDG&amp;E’s MOU with the State of California are met.  To discharge this obligation SDG&amp;E must account for its own Utility Retained Generation and for the supplies procured and managed for these consumers by the California Department of Water Resources and the California Power Authority.  The remaining supply requirements will be met by SDG&amp;E through the supply acquisition process described herein. </w:t>
      </w:r>
    </w:p>
    <w:p>
      <w:pPr>
        <w:pStyle w:val="BodyText2"/>
        <w:rPr/>
      </w:pPr>
      <w:r>
        <w:rPr/>
      </w:r>
    </w:p>
    <w:p>
      <w:pPr>
        <w:pStyle w:val="BodyText2"/>
        <w:ind w:firstLine="720" w:end="0"/>
        <w:rPr/>
      </w:pPr>
      <w:r>
        <w:rPr/>
        <w:t>SDG&amp;E proposes to follow a highly collaborative approach with the CPUC in determining the need for and timing of additional resources, and for managing the procurement process to balance customers’ interests in low cost, reliability of supply, and price stability.  This will be accomplished through submittal of a comprehensive annual procurement plan to the CPUC which will provide sufficient detail on all aspects of the procurement process to allow the CPUC to approve the plan, with modifications if needed, prior to SDG&amp;E undertaking the procurement contemplated in the plan.</w:t>
      </w:r>
    </w:p>
    <w:p>
      <w:pPr>
        <w:pStyle w:val="BodyText2"/>
        <w:rPr/>
      </w:pPr>
      <w:r>
        <w:rPr/>
      </w:r>
    </w:p>
    <w:p>
      <w:pPr>
        <w:pStyle w:val="BodyText2"/>
        <w:ind w:firstLine="720" w:end="0"/>
        <w:rPr/>
      </w:pPr>
      <w:r>
        <w:rPr/>
        <w:t>The plan and development process are described more fully in subsequent sections of this document.  In brief, they would include the following steps and timetables:</w:t>
      </w:r>
    </w:p>
    <w:p>
      <w:pPr>
        <w:pStyle w:val="BodyText2"/>
        <w:ind w:firstLine="720" w:end="0"/>
        <w:jc w:val="center"/>
        <w:rPr/>
      </w:pPr>
      <w:r>
        <w:rPr/>
      </w:r>
    </w:p>
    <w:p>
      <w:pPr>
        <w:pStyle w:val="BodyText2"/>
        <w:ind w:firstLine="720" w:end="0"/>
        <w:jc w:val="center"/>
        <w:rPr>
          <w:b/>
        </w:rPr>
      </w:pPr>
      <w:r>
        <w:rPr>
          <w:b/>
        </w:rPr>
        <w:t>CONTENTS OF THE ANNUAL PLAN</w:t>
      </w:r>
    </w:p>
    <w:p>
      <w:pPr>
        <w:pStyle w:val="BodyText2"/>
        <w:rPr>
          <w:b/>
        </w:rPr>
      </w:pPr>
      <w:r>
        <w:rPr>
          <w:b/>
        </w:rPr>
      </w:r>
    </w:p>
    <w:p>
      <w:pPr>
        <w:pStyle w:val="BodyText2"/>
        <w:numPr>
          <w:ilvl w:val="0"/>
          <w:numId w:val="4"/>
        </w:numPr>
        <w:rPr/>
      </w:pPr>
      <w:r>
        <w:rPr>
          <w:b/>
          <w:u w:val="single"/>
        </w:rPr>
        <w:t>Identify Existing Loads and Resources</w:t>
      </w:r>
      <w:r>
        <w:rPr/>
        <w:t xml:space="preserve"> available to serve loads in the San Diego area for a 5-year period.  This will identify any gaps which need to be filled to fully meet expected loads.</w:t>
      </w:r>
    </w:p>
    <w:p>
      <w:pPr>
        <w:pStyle w:val="BodyText2"/>
        <w:numPr>
          <w:ilvl w:val="0"/>
          <w:numId w:val="4"/>
        </w:numPr>
        <w:rPr/>
      </w:pPr>
      <w:r>
        <w:rPr>
          <w:b/>
          <w:u w:val="single"/>
        </w:rPr>
        <w:t>Preliminary Assessment of the Amount and Type of Resources to be Procured</w:t>
      </w:r>
      <w:r>
        <w:rPr/>
        <w:t xml:space="preserve"> in order to fill any gaps identified in the step above for each of the plan’s 5 years.  This steps takes the raw need identified in the step </w:t>
      </w:r>
      <w:r>
        <w:br w:type="page"/>
      </w:r>
    </w:p>
    <w:p>
      <w:pPr>
        <w:pStyle w:val="BodyText2"/>
        <w:ind w:start="360" w:end="0"/>
        <w:rPr/>
      </w:pPr>
      <w:r>
        <w:rPr/>
        <w:t>above, and breaks it down into more detail on which kinds of resources…base load, peaking, etc. need to be procured.</w:t>
      </w:r>
    </w:p>
    <w:p>
      <w:pPr>
        <w:pStyle w:val="BodyText2"/>
        <w:numPr>
          <w:ilvl w:val="0"/>
          <w:numId w:val="4"/>
        </w:numPr>
        <w:rPr/>
      </w:pPr>
      <w:r>
        <w:rPr>
          <w:b/>
          <w:u w:val="single"/>
        </w:rPr>
        <w:t>Risk Management Assessment</w:t>
      </w:r>
      <w:r>
        <w:rPr/>
        <w:t xml:space="preserve"> to identify the best overall portfolio of long and short-term resources, lengths of commitments, etc. to be procured.</w:t>
      </w:r>
    </w:p>
    <w:p>
      <w:pPr>
        <w:pStyle w:val="BodyText2"/>
        <w:numPr>
          <w:ilvl w:val="0"/>
          <w:numId w:val="4"/>
        </w:numPr>
        <w:rPr>
          <w:u w:val="single"/>
        </w:rPr>
      </w:pPr>
      <w:r>
        <w:rPr>
          <w:b/>
          <w:u w:val="single"/>
        </w:rPr>
        <w:t>Procurement Methodology to be Followed</w:t>
      </w:r>
      <w:r>
        <w:rPr/>
        <w:t xml:space="preserve"> for each type of resource identified for procurement.  This will identify the best procurement mechanism for each type…RFP, Market Trading, ISO Market, etc., as well as timing and evaluation methodologies to be used in making decisions.</w:t>
      </w:r>
    </w:p>
    <w:p>
      <w:pPr>
        <w:pStyle w:val="BodyText2"/>
        <w:rPr>
          <w:u w:val="single"/>
        </w:rPr>
      </w:pPr>
      <w:r>
        <w:rPr>
          <w:u w:val="single"/>
        </w:rPr>
      </w:r>
    </w:p>
    <w:p>
      <w:pPr>
        <w:pStyle w:val="BodyText2"/>
        <w:jc w:val="center"/>
        <w:rPr>
          <w:b/>
          <w:u w:val="single"/>
        </w:rPr>
      </w:pPr>
      <w:r>
        <w:rPr>
          <w:b/>
          <w:u w:val="single"/>
        </w:rPr>
        <w:t>TIMELINE FOR PLAN DEVELOPMENT AND APPROVAL</w:t>
      </w:r>
    </w:p>
    <w:p>
      <w:pPr>
        <w:pStyle w:val="BodyText2"/>
        <w:jc w:val="center"/>
        <w:rPr>
          <w:b/>
          <w:u w:val="single"/>
        </w:rPr>
      </w:pPr>
      <w:r>
        <w:rPr>
          <w:b/>
          <w:u w:val="single"/>
        </w:rPr>
      </w:r>
    </w:p>
    <w:tbl>
      <w:tblPr>
        <w:tblW w:w="8856" w:type="dxa"/>
        <w:jc w:val="start"/>
        <w:tblInd w:w="0" w:type="dxa"/>
        <w:tblLayout w:type="fixed"/>
        <w:tblCellMar>
          <w:top w:w="0" w:type="dxa"/>
          <w:start w:w="108" w:type="dxa"/>
          <w:bottom w:w="0" w:type="dxa"/>
          <w:end w:w="108" w:type="dxa"/>
        </w:tblCellMar>
      </w:tblPr>
      <w:tblGrid>
        <w:gridCol w:w="4698"/>
        <w:gridCol w:w="4158"/>
      </w:tblGrid>
      <w:tr>
        <w:trPr/>
        <w:tc>
          <w:tcPr>
            <w:tcW w:w="4698" w:type="dxa"/>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Action</w:t>
            </w:r>
          </w:p>
        </w:tc>
        <w:tc>
          <w:tcPr>
            <w:tcW w:w="4158" w:type="dxa"/>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Date</w:t>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SDG&amp;E submits this procurement process to CPUC</w:t>
            </w:r>
          </w:p>
        </w:tc>
        <w:tc>
          <w:tcPr>
            <w:tcW w:w="4158"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August, 2001</w:t>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SDG&amp;E and CPUC confer on procurement process submittal</w:t>
            </w:r>
          </w:p>
        </w:tc>
        <w:tc>
          <w:tcPr>
            <w:tcW w:w="4158" w:type="dxa"/>
            <w:tcBorders>
              <w:top w:val="single" w:sz="4" w:space="0" w:color="000000"/>
              <w:start w:val="single" w:sz="4" w:space="0" w:color="000000"/>
              <w:bottom w:val="single" w:sz="4" w:space="0" w:color="000000"/>
              <w:end w:val="single" w:sz="4" w:space="0" w:color="000000"/>
            </w:tcBorders>
          </w:tcPr>
          <w:p>
            <w:pPr>
              <w:pStyle w:val="Normal"/>
              <w:snapToGrid w:val="false"/>
              <w:rPr>
                <w:sz w:val="28"/>
              </w:rPr>
            </w:pPr>
            <w:r>
              <w:rPr>
                <w:sz w:val="28"/>
              </w:rPr>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CPUC approves SDG&amp;E’s submittal or amendment of submittal.</w:t>
            </w:r>
          </w:p>
        </w:tc>
        <w:tc>
          <w:tcPr>
            <w:tcW w:w="4158"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October, 2001</w:t>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 xml:space="preserve">SDG&amp;E ordered to return to procurement </w:t>
            </w:r>
          </w:p>
        </w:tc>
        <w:tc>
          <w:tcPr>
            <w:tcW w:w="4158"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Unknown at this time; triggered per the MOU or legislation</w:t>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 xml:space="preserve">SDG&amp;E files first procurement plan with CPUC </w:t>
            </w:r>
          </w:p>
        </w:tc>
        <w:tc>
          <w:tcPr>
            <w:tcW w:w="4158"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90 days after SDG&amp;E ordered to return to return to procurement</w:t>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SDG&amp;E/CPUC confer regarding plan submittal</w:t>
            </w:r>
          </w:p>
        </w:tc>
        <w:tc>
          <w:tcPr>
            <w:tcW w:w="4158" w:type="dxa"/>
            <w:tcBorders>
              <w:top w:val="single" w:sz="4" w:space="0" w:color="000000"/>
              <w:start w:val="single" w:sz="4" w:space="0" w:color="000000"/>
              <w:bottom w:val="single" w:sz="4" w:space="0" w:color="000000"/>
              <w:end w:val="single" w:sz="4" w:space="0" w:color="000000"/>
            </w:tcBorders>
          </w:tcPr>
          <w:p>
            <w:pPr>
              <w:pStyle w:val="Normal"/>
              <w:snapToGrid w:val="false"/>
              <w:rPr>
                <w:sz w:val="28"/>
              </w:rPr>
            </w:pPr>
            <w:r>
              <w:rPr>
                <w:sz w:val="28"/>
              </w:rPr>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CPUC approved SDG&amp;E’s first procurement plan or an amendment to SDG&amp;E'’ first procurement plan</w:t>
            </w:r>
          </w:p>
        </w:tc>
        <w:tc>
          <w:tcPr>
            <w:tcW w:w="4158"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90 days after SDG&amp;E files first procurement plan</w:t>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SDG&amp;E confers with CPUC during procurement process</w:t>
            </w:r>
          </w:p>
        </w:tc>
        <w:tc>
          <w:tcPr>
            <w:tcW w:w="4158" w:type="dxa"/>
            <w:tcBorders>
              <w:top w:val="single" w:sz="4" w:space="0" w:color="000000"/>
              <w:start w:val="single" w:sz="4" w:space="0" w:color="000000"/>
              <w:bottom w:val="single" w:sz="4" w:space="0" w:color="000000"/>
              <w:end w:val="single" w:sz="4" w:space="0" w:color="000000"/>
            </w:tcBorders>
          </w:tcPr>
          <w:p>
            <w:pPr>
              <w:pStyle w:val="Normal"/>
              <w:snapToGrid w:val="false"/>
              <w:rPr>
                <w:sz w:val="28"/>
              </w:rPr>
            </w:pPr>
            <w:r>
              <w:rPr>
                <w:sz w:val="28"/>
              </w:rPr>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If key drivers change, SDG&amp;E files an amended plan after conferring with CPUC</w:t>
            </w:r>
          </w:p>
        </w:tc>
        <w:tc>
          <w:tcPr>
            <w:tcW w:w="4158"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As needed</w:t>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CPUC approves amended plan</w:t>
            </w:r>
          </w:p>
        </w:tc>
        <w:tc>
          <w:tcPr>
            <w:tcW w:w="4158"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30 days after SDG&amp;E files amended plan</w:t>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SDG&amp;E confers with CPUC during implementation of amended plan</w:t>
            </w:r>
          </w:p>
        </w:tc>
        <w:tc>
          <w:tcPr>
            <w:tcW w:w="4158" w:type="dxa"/>
            <w:tcBorders>
              <w:top w:val="single" w:sz="4" w:space="0" w:color="000000"/>
              <w:start w:val="single" w:sz="4" w:space="0" w:color="000000"/>
              <w:bottom w:val="single" w:sz="4" w:space="0" w:color="000000"/>
              <w:end w:val="single" w:sz="4" w:space="0" w:color="000000"/>
            </w:tcBorders>
          </w:tcPr>
          <w:p>
            <w:pPr>
              <w:pStyle w:val="Normal"/>
              <w:snapToGrid w:val="false"/>
              <w:rPr>
                <w:sz w:val="28"/>
              </w:rPr>
            </w:pPr>
            <w:r>
              <w:rPr>
                <w:sz w:val="28"/>
              </w:rPr>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SDG&amp;E files second procurement plan with CPUC</w:t>
            </w:r>
          </w:p>
        </w:tc>
        <w:tc>
          <w:tcPr>
            <w:tcW w:w="4158"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Approximately 1 year after SDG&amp;E files first procurement plan with CPUC</w:t>
            </w:r>
          </w:p>
        </w:tc>
      </w:tr>
    </w:tbl>
    <w:p>
      <w:pPr>
        <w:pStyle w:val="BodyText2"/>
        <w:jc w:val="center"/>
        <w:rPr>
          <w:u w:val="single"/>
        </w:rPr>
      </w:pPr>
      <w:r>
        <w:rPr>
          <w:u w:val="single"/>
        </w:rPr>
      </w:r>
    </w:p>
    <w:p>
      <w:pPr>
        <w:pStyle w:val="BodyText2"/>
        <w:ind w:firstLine="720" w:end="0"/>
        <w:rPr/>
      </w:pPr>
      <w:r>
        <w:rPr/>
        <w:t xml:space="preserve">SDG&amp;E will keep the CPUC informed on progress under the plan during the year, including updates on the plan’s key drivers, such as market conditions, customer demand, etc.  To the extent these drivers suggest a change to the plan, SDG&amp;E would submit recommendations for change to the CPUC and request that the CPUC formally approve these changes. Implementing a mechanism for changing the plan provides the flexibility needed to keep the plan consistent with current conditions.  </w:t>
      </w:r>
    </w:p>
    <w:p>
      <w:pPr>
        <w:pStyle w:val="BodyText2"/>
        <w:rPr/>
      </w:pPr>
      <w:r>
        <w:rPr/>
      </w:r>
    </w:p>
    <w:p>
      <w:pPr>
        <w:pStyle w:val="BodyText2"/>
        <w:ind w:firstLine="720" w:end="0"/>
        <w:rPr/>
      </w:pPr>
      <w:r>
        <w:rPr/>
        <w:t xml:space="preserve">Once the CPUC adopts the proposed plan, including any required modifications based on their review, timely cost recovery of electric procurement costs must be assured, subject to review by the CPUC to verify that the procurement was carried out in accordance with the plan, including any approved changes to the plan. </w:t>
      </w:r>
    </w:p>
    <w:p>
      <w:pPr>
        <w:pStyle w:val="BodyText2"/>
        <w:ind w:firstLine="720" w:end="0"/>
        <w:rPr/>
      </w:pPr>
      <w:r>
        <w:rPr/>
      </w:r>
    </w:p>
    <w:p>
      <w:pPr>
        <w:pStyle w:val="Heading2"/>
        <w:rPr/>
      </w:pPr>
      <w:bookmarkStart w:id="16" w:name="__RefHeading___Toc523299261"/>
      <w:bookmarkEnd w:id="16"/>
      <w:r>
        <w:rPr/>
        <w:t>B.</w:t>
        <w:tab/>
        <w:t>Plan Elements and Development Methodologies</w:t>
      </w:r>
    </w:p>
    <w:p>
      <w:pPr>
        <w:pStyle w:val="Normal"/>
        <w:rPr>
          <w:sz w:val="28"/>
        </w:rPr>
      </w:pPr>
      <w:r>
        <w:rPr>
          <w:sz w:val="28"/>
        </w:rPr>
      </w:r>
    </w:p>
    <w:p>
      <w:pPr>
        <w:pStyle w:val="BodyText2"/>
        <w:ind w:firstLine="720" w:end="0"/>
        <w:rPr/>
      </w:pPr>
      <w:r>
        <w:rPr/>
        <w:t>This section provides more detail on elements of the plan which were summarized in the section above.  Taken together, they provide the Commission with a full description of the assumptions and methodologies used to develop the plan, as well as the specific conclusions reached regarding the need for additional procurement of various resource types, and the recommended procurement methodologies for implementation.</w:t>
      </w:r>
    </w:p>
    <w:p>
      <w:pPr>
        <w:pStyle w:val="Normal"/>
        <w:spacing w:lineRule="auto" w:line="360"/>
        <w:rPr/>
      </w:pPr>
      <w:r>
        <w:rPr/>
      </w:r>
    </w:p>
    <w:p>
      <w:pPr>
        <w:pStyle w:val="Heading3"/>
        <w:rPr/>
      </w:pPr>
      <w:bookmarkStart w:id="17" w:name="__RefHeading___Toc523299262"/>
      <w:bookmarkEnd w:id="17"/>
      <w:r>
        <w:rPr/>
        <w:t>1)</w:t>
        <w:tab/>
        <w:t>Existing Loads and Resources</w:t>
      </w:r>
    </w:p>
    <w:p>
      <w:pPr>
        <w:pStyle w:val="Normal"/>
        <w:rPr>
          <w:sz w:val="28"/>
        </w:rPr>
      </w:pPr>
      <w:r>
        <w:rPr>
          <w:sz w:val="28"/>
        </w:rPr>
      </w:r>
    </w:p>
    <w:p>
      <w:pPr>
        <w:pStyle w:val="BodyText2"/>
        <w:ind w:firstLine="720" w:end="0"/>
        <w:rPr/>
      </w:pPr>
      <w:r>
        <w:rPr/>
        <w:t xml:space="preserve">The first step in the planning process is the identification of the aggregate electric supply required to meet SDG&amp;E's unfilled requirements.  The plan will be based on SDG&amp;E’s latest forecast of customers’ electric supply requirements within the SDG&amp;E service area ("area load") for a 5 year period.  These requirements include both energy and ancillary service capacity obligations.  The load forecast will identify that portion of total area demand expected to be self-supplied (through on-site generation) and that portion expected to be supplied, on an elective basis, by third parties (through direct access suppliers), and net remaining to be served.  The forecast would be developed using standard tools such as econometric models and would incorporate projections of explanatory variables such as  economic growth, and electric prices.  The forecast will reflect an analysis of regional trends, discussions with individual large customers concerning their expectations for changes in consumption patterns, comparisons to others’ demand forecasts including the CEC, and an assessment of the likely effect of current and prospective legislative or regulatory programs for load management and conservation, etc. </w:t>
      </w:r>
    </w:p>
    <w:p>
      <w:pPr>
        <w:pStyle w:val="Normal"/>
        <w:ind w:firstLine="720" w:end="0"/>
        <w:rPr/>
      </w:pPr>
      <w:r>
        <w:rPr>
          <w:sz w:val="28"/>
        </w:rPr>
        <w:t>Existing resources will be identified as 1) the utility’s retained generation, and 2) any CDWR or California Power Authority  resources that have already been designated to meet the  energy and ancillary service capacity obligations of customers within the SDG&amp;E service area through an approved plan from a prior year’s cycle (for the initial cycle of the plan, these resources will be zero).</w:t>
      </w:r>
      <w:r>
        <w:rPr>
          <w:rStyle w:val="FootnoteCharacters"/>
          <w:sz w:val="28"/>
        </w:rPr>
        <w:t xml:space="preserve"> </w:t>
      </w:r>
      <w:r>
        <w:rPr>
          <w:sz w:val="28"/>
        </w:rPr>
        <w:t xml:space="preserve">    An example of this part of the plan submittal is shown below:</w:t>
      </w:r>
    </w:p>
    <w:p>
      <w:pPr>
        <w:pStyle w:val="Normal"/>
        <w:rPr>
          <w:sz w:val="28"/>
          <w:lang w:val="en-CA"/>
        </w:rPr>
      </w:pPr>
      <w:r>
        <w:rPr>
          <w:sz w:val="28"/>
          <w:lang w:val="en-CA"/>
        </w:rPr>
        <w:drawing>
          <wp:anchor behindDoc="0" distT="0" distB="0" distL="114935" distR="114935" simplePos="0" locked="0" layoutInCell="1" allowOverlap="1" relativeHeight="4">
            <wp:simplePos x="0" y="0"/>
            <wp:positionH relativeFrom="column">
              <wp:posOffset>45720</wp:posOffset>
            </wp:positionH>
            <wp:positionV relativeFrom="paragraph">
              <wp:posOffset>101600</wp:posOffset>
            </wp:positionV>
            <wp:extent cx="5669280" cy="388429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6" r="-4" b="-6"/>
                    <a:stretch>
                      <a:fillRect/>
                    </a:stretch>
                  </pic:blipFill>
                  <pic:spPr bwMode="auto">
                    <a:xfrm>
                      <a:off x="0" y="0"/>
                      <a:ext cx="5669280" cy="3884295"/>
                    </a:xfrm>
                    <a:prstGeom prst="rect">
                      <a:avLst/>
                    </a:prstGeom>
                    <a:noFill/>
                  </pic:spPr>
                </pic:pic>
              </a:graphicData>
            </a:graphic>
          </wp:anchor>
        </w:drawing>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r>
        <w:br w:type="page"/>
      </w:r>
    </w:p>
    <w:p>
      <w:pPr>
        <w:pStyle w:val="Heading3"/>
        <w:rPr/>
      </w:pPr>
      <w:bookmarkStart w:id="18" w:name="__RefHeading___Toc523299263"/>
      <w:bookmarkEnd w:id="18"/>
      <w:r>
        <w:rPr/>
        <w:t>2)</w:t>
        <w:tab/>
        <w:t>Preliminary Assessment of Amount and Type of Resources to be Procured</w:t>
      </w:r>
    </w:p>
    <w:p>
      <w:pPr>
        <w:pStyle w:val="Normal"/>
        <w:rPr/>
      </w:pPr>
      <w:r>
        <w:rPr/>
      </w:r>
    </w:p>
    <w:p>
      <w:pPr>
        <w:pStyle w:val="BodyText2"/>
        <w:ind w:firstLine="720" w:end="0"/>
        <w:rPr/>
      </w:pPr>
      <w:r>
        <w:rPr/>
        <w:t>The second step in the plan will be to identify on a “first cut” basis the likely amount and type of resources needed to fully meet load in each year.  This preliminary assessment will examine expected annual requirements and load shapes, as well as various typical day requirements and load shapes, such as an average and abnormal winter and summer day.  This will allow general conclusions to be reached as to the amount and timing of available products (base, intermediate, peaking, ancillary services, etc.) which would best fill needs without creating uneconomic surpluses or shortfalls.</w:t>
      </w:r>
    </w:p>
    <w:p>
      <w:pPr>
        <w:pStyle w:val="Normal"/>
        <w:rPr>
          <w:sz w:val="28"/>
        </w:rPr>
      </w:pPr>
      <w:r>
        <w:rPr>
          <w:sz w:val="28"/>
        </w:rPr>
      </w:r>
    </w:p>
    <w:p>
      <w:pPr>
        <w:pStyle w:val="Normal"/>
        <w:ind w:firstLine="720" w:end="0"/>
        <w:rPr>
          <w:sz w:val="28"/>
          <w:lang w:eastAsia="en-US"/>
        </w:rPr>
      </w:pPr>
      <w:r>
        <w:rPr>
          <w:sz w:val="28"/>
          <w:lang w:eastAsia="en-US"/>
        </w:rPr>
        <w:t xml:space="preserve">At this first stage of analysis, limited optimization of the general conclusions reached above using production cost modeling may be carried out with generic pricing assumptions.  This will help fine-tune this preliminary analysis by examining the prospects for substituting one product for another—for example, a lower-cost base resource which would need to be sold back into the market during hours where it might be in surplus, vs. a higher cost dispatchable resource which better matched the expected demand on some days. </w:t>
      </w:r>
    </w:p>
    <w:p>
      <w:pPr>
        <w:pStyle w:val="Normal"/>
        <w:rPr>
          <w:sz w:val="28"/>
          <w:lang w:eastAsia="en-US"/>
        </w:rPr>
      </w:pPr>
      <w:r>
        <w:rPr>
          <w:sz w:val="28"/>
          <w:lang w:eastAsia="en-US"/>
        </w:rPr>
      </w:r>
    </w:p>
    <w:p>
      <w:pPr>
        <w:pStyle w:val="BodyText2"/>
        <w:ind w:firstLine="720" w:end="0"/>
        <w:rPr/>
      </w:pPr>
      <w:r>
        <w:rPr/>
        <w:t xml:space="preserve">This preliminary plan will form the basis for SDG&amp;E’s initial proposal for the amount and type of resources to be procured.  Since the conclusions reached at this stage are of necessity somewhat general due to the absence of actual price information for more detailed modeling, the plan will propose ranges for procurement of each product.  These ranges will provide flexibility to fine-tune the optimal mix of each product as better information is obtained during specific procurement activity during the plan year.  The use of these ranges is described further in Section B5 (Plan Flexibility). </w:t>
      </w:r>
    </w:p>
    <w:p>
      <w:pPr>
        <w:pStyle w:val="Normal"/>
        <w:rPr/>
      </w:pPr>
      <w:r>
        <w:rPr/>
      </w:r>
    </w:p>
    <w:p>
      <w:pPr>
        <w:pStyle w:val="BodyText2"/>
        <w:ind w:firstLine="720" w:end="0"/>
        <w:rPr/>
      </w:pPr>
      <w:r>
        <w:rPr/>
        <w:t xml:space="preserve">The material below summarizes resource products that will be assessed, and provides some preliminary insights into how issues will be addressed in the comprehensive plan submitted to the CPUC. </w:t>
      </w:r>
    </w:p>
    <w:p>
      <w:pPr>
        <w:pStyle w:val="BodyText2"/>
        <w:ind w:firstLine="720" w:end="0"/>
        <w:jc w:val="center"/>
        <w:rPr/>
      </w:pPr>
      <w:r>
        <w:rPr/>
      </w:r>
    </w:p>
    <w:p>
      <w:pPr>
        <w:pStyle w:val="Normal"/>
        <w:rPr>
          <w:sz w:val="28"/>
          <w:u w:val="single"/>
        </w:rPr>
      </w:pPr>
      <w:r>
        <w:rPr>
          <w:sz w:val="28"/>
          <w:u w:val="single"/>
        </w:rPr>
        <w:t>Base Requirements</w:t>
      </w:r>
    </w:p>
    <w:p>
      <w:pPr>
        <w:pStyle w:val="Normal"/>
        <w:rPr>
          <w:sz w:val="28"/>
          <w:u w:val="single"/>
        </w:rPr>
      </w:pPr>
      <w:r>
        <w:rPr>
          <w:sz w:val="28"/>
          <w:u w:val="single"/>
        </w:rPr>
      </w:r>
    </w:p>
    <w:p>
      <w:pPr>
        <w:pStyle w:val="Normal"/>
        <w:ind w:firstLine="720" w:end="0"/>
        <w:rPr/>
      </w:pPr>
      <w:r>
        <w:rPr>
          <w:sz w:val="28"/>
        </w:rPr>
        <w:t>SDG&amp;E’s URG quantities are such that additional supplies are likely to be required to meet minimum load in any month of the forecast period.  Base requirements are those additional supplies that can be part of a permanent portfolio, used every day of the year.  To fulfill this base requirement, standard contract products would be modeled.  These standard products are 7x24 contracts</w:t>
      </w:r>
      <w:r>
        <w:rPr>
          <w:rStyle w:val="FootnoteCharacters"/>
          <w:rStyle w:val="FootnoteReference"/>
          <w:sz w:val="28"/>
        </w:rPr>
        <w:footnoteReference w:id="5"/>
      </w:r>
      <w:r>
        <w:rPr>
          <w:sz w:val="28"/>
        </w:rPr>
        <w:t xml:space="preserve"> and 6x16 contracts</w:t>
      </w:r>
      <w:r>
        <w:rPr>
          <w:rStyle w:val="FootnoteCharacters"/>
          <w:rStyle w:val="FootnoteReference"/>
          <w:sz w:val="28"/>
        </w:rPr>
        <w:footnoteReference w:id="6"/>
      </w:r>
      <w:r>
        <w:rPr>
          <w:sz w:val="28"/>
        </w:rPr>
        <w:t xml:space="preserve">. </w:t>
      </w:r>
    </w:p>
    <w:p>
      <w:pPr>
        <w:pStyle w:val="Normal"/>
        <w:ind w:firstLine="720" w:end="0"/>
        <w:rPr>
          <w:sz w:val="28"/>
        </w:rPr>
      </w:pPr>
      <w:r>
        <w:rPr>
          <w:sz w:val="28"/>
        </w:rPr>
      </w:r>
    </w:p>
    <w:p>
      <w:pPr>
        <w:pStyle w:val="Normal"/>
        <w:rPr>
          <w:sz w:val="28"/>
          <w:u w:val="single"/>
        </w:rPr>
      </w:pPr>
      <w:r>
        <w:rPr>
          <w:sz w:val="28"/>
          <w:u w:val="single"/>
        </w:rPr>
        <w:t>Customized Profile Requirements</w:t>
      </w:r>
    </w:p>
    <w:p>
      <w:pPr>
        <w:pStyle w:val="Normal"/>
        <w:rPr>
          <w:sz w:val="28"/>
          <w:u w:val="single"/>
        </w:rPr>
      </w:pPr>
      <w:r>
        <w:rPr>
          <w:sz w:val="28"/>
          <w:u w:val="single"/>
        </w:rPr>
      </w:r>
    </w:p>
    <w:p>
      <w:pPr>
        <w:pStyle w:val="Normal"/>
        <w:ind w:firstLine="720" w:end="0"/>
        <w:rPr/>
      </w:pPr>
      <w:r>
        <w:rPr>
          <w:sz w:val="28"/>
        </w:rPr>
        <w:t>One of the limitations of standard products is that they do not conform well to the SDG&amp;E load profile in certain hours. Typically, the addition of 6x16 contract supplies to meet on-peak requirements results in an oversupply in the on-peak hours 07 and 08 and an under-supply during the afternoon (during the summer) and early evening (non-summer months) super-peak hours.  Also, the use of 7x24 contract supplies to fill requirements up to off-peak minimum loads will result in large under- supplies in the off-peak hour 23 and 24.  One solution to this mismatch between standard products and the typical SDG&amp;E load profile would be to develop a custom profile.  To improve the match between standardized products and SDG&amp;E's load shape it may be possible to develop an SDG&amp;E custom profile based on a modified standard 6x16 contract</w:t>
      </w:r>
      <w:r>
        <w:rPr>
          <w:rStyle w:val="FootnoteCharacters"/>
          <w:rStyle w:val="FootnoteReference"/>
          <w:sz w:val="28"/>
        </w:rPr>
        <w:footnoteReference w:id="7"/>
      </w:r>
      <w:r>
        <w:rPr>
          <w:sz w:val="28"/>
        </w:rPr>
        <w:t>.</w:t>
      </w:r>
    </w:p>
    <w:p>
      <w:pPr>
        <w:pStyle w:val="Normal"/>
        <w:ind w:firstLine="720" w:end="0"/>
        <w:rPr>
          <w:sz w:val="28"/>
        </w:rPr>
      </w:pPr>
      <w:r>
        <w:rPr>
          <w:sz w:val="28"/>
        </w:rPr>
      </w:r>
    </w:p>
    <w:p>
      <w:pPr>
        <w:pStyle w:val="Normal"/>
        <w:ind w:firstLine="720" w:end="0"/>
        <w:rPr>
          <w:sz w:val="28"/>
        </w:rPr>
      </w:pPr>
      <w:r>
        <w:rPr>
          <w:sz w:val="28"/>
        </w:rPr>
        <w:t>The customized SDG&amp;E product could be used in the detailed resource plan to meet both base and seasonal requirements.  As with the base requirement for standard products, a quantity of the customized profile can be used in all months going forward.  In addition, there is a seasonal requirement for this customized product in the third quarter of each year.</w:t>
      </w:r>
    </w:p>
    <w:p>
      <w:pPr>
        <w:pStyle w:val="Normal"/>
        <w:rPr>
          <w:sz w:val="28"/>
        </w:rPr>
      </w:pPr>
      <w:r>
        <w:rPr>
          <w:sz w:val="28"/>
        </w:rPr>
      </w:r>
    </w:p>
    <w:p>
      <w:pPr>
        <w:pStyle w:val="Normal"/>
        <w:ind w:firstLine="720" w:end="0"/>
        <w:rPr>
          <w:sz w:val="28"/>
        </w:rPr>
      </w:pPr>
      <w:r>
        <w:rPr>
          <w:sz w:val="28"/>
        </w:rPr>
        <w:t>There are alternatives to a customized supply contract.  One alternative is to purchase the standard supply products and then sell-off or trade the excess energy to achieve the desired profile.  A second alternative could be to purchase a capacity product that would allow commitment of a certain quantity of energy from that capacity in certain hours. SDG&amp;E would plan to test in the market the various alternatives for meeting large quantities of customized load shaping before it commits to any contract.</w:t>
      </w:r>
    </w:p>
    <w:p>
      <w:pPr>
        <w:pStyle w:val="Normal"/>
        <w:rPr>
          <w:sz w:val="28"/>
        </w:rPr>
      </w:pPr>
      <w:r>
        <w:rPr>
          <w:sz w:val="28"/>
        </w:rPr>
      </w:r>
      <w:r>
        <w:br w:type="page"/>
      </w:r>
    </w:p>
    <w:p>
      <w:pPr>
        <w:pStyle w:val="Normal"/>
        <w:rPr>
          <w:sz w:val="28"/>
          <w:u w:val="single"/>
        </w:rPr>
      </w:pPr>
      <w:r>
        <w:rPr>
          <w:sz w:val="28"/>
          <w:u w:val="single"/>
        </w:rPr>
        <w:t>Seasonal Requirements</w:t>
      </w:r>
    </w:p>
    <w:p>
      <w:pPr>
        <w:pStyle w:val="Normal"/>
        <w:rPr>
          <w:sz w:val="28"/>
          <w:u w:val="single"/>
        </w:rPr>
      </w:pPr>
      <w:r>
        <w:rPr>
          <w:sz w:val="28"/>
          <w:u w:val="single"/>
        </w:rPr>
      </w:r>
    </w:p>
    <w:p>
      <w:pPr>
        <w:pStyle w:val="Normal"/>
        <w:ind w:firstLine="720" w:end="0"/>
        <w:rPr>
          <w:sz w:val="28"/>
        </w:rPr>
      </w:pPr>
      <w:r>
        <w:rPr>
          <w:sz w:val="28"/>
        </w:rPr>
        <w:t xml:space="preserve">The base requirements filled by standard and customized contract products would be intended to satisfy permanent supply requirements.  However with differing load shapes that vary across the seasons of the year, additional supply requirements are likely to be needed on a short-term basis.  In addition to seasonal load variation, SDG&amp;E URG supply variations such as SONGS refueling could also create a seasonal supply requirement. </w:t>
      </w:r>
    </w:p>
    <w:p>
      <w:pPr>
        <w:pStyle w:val="Normal"/>
        <w:rPr>
          <w:sz w:val="28"/>
        </w:rPr>
      </w:pPr>
      <w:r>
        <w:rPr>
          <w:sz w:val="28"/>
        </w:rPr>
      </w:r>
    </w:p>
    <w:p>
      <w:pPr>
        <w:pStyle w:val="Normal"/>
        <w:ind w:firstLine="720" w:end="0"/>
        <w:rPr>
          <w:sz w:val="28"/>
        </w:rPr>
      </w:pPr>
      <w:r>
        <w:rPr>
          <w:sz w:val="28"/>
        </w:rPr>
        <w:t xml:space="preserve">Unlike base requirements which are intended to meet permanent needs without creating supply surpluses, the contracts which fill seasonal requirements are a compromise between best filling an overall need for base or peak load and avoiding supply surplus.  SDG&amp;E’s comprehensive plan will assess the balance between creating supply surplus in certain hours with procurement of products to meet seasonal requirements, (likely mitigated by selling off any excess quantities) and buying capacity products with shapeable energy deliveries.  </w:t>
      </w:r>
    </w:p>
    <w:p>
      <w:pPr>
        <w:pStyle w:val="Normal"/>
        <w:rPr>
          <w:sz w:val="28"/>
        </w:rPr>
      </w:pPr>
      <w:r>
        <w:rPr>
          <w:sz w:val="28"/>
        </w:rPr>
      </w:r>
    </w:p>
    <w:p>
      <w:pPr>
        <w:pStyle w:val="Normal"/>
        <w:rPr>
          <w:sz w:val="28"/>
          <w:u w:val="single"/>
        </w:rPr>
      </w:pPr>
      <w:r>
        <w:rPr>
          <w:sz w:val="28"/>
          <w:u w:val="single"/>
        </w:rPr>
        <w:t>Shapeable Requirements</w:t>
      </w:r>
    </w:p>
    <w:p>
      <w:pPr>
        <w:pStyle w:val="Normal"/>
        <w:rPr>
          <w:sz w:val="28"/>
          <w:u w:val="single"/>
        </w:rPr>
      </w:pPr>
      <w:r>
        <w:rPr>
          <w:sz w:val="28"/>
          <w:u w:val="single"/>
        </w:rPr>
      </w:r>
    </w:p>
    <w:p>
      <w:pPr>
        <w:pStyle w:val="Normal"/>
        <w:ind w:firstLine="720" w:end="0"/>
        <w:rPr>
          <w:sz w:val="28"/>
        </w:rPr>
      </w:pPr>
      <w:r>
        <w:rPr>
          <w:sz w:val="28"/>
        </w:rPr>
        <w:t xml:space="preserve">No matter how well a procurement plan is able to maximize the use of standard or near-standard products, significant quantities of shapeable supplies are likely to be needed to meet the hourly variations in requirements.  Such resources are likely to operate at an average annual capacity factor of about 30%.  </w:t>
      </w:r>
    </w:p>
    <w:p>
      <w:pPr>
        <w:pStyle w:val="Normal"/>
        <w:rPr>
          <w:sz w:val="28"/>
        </w:rPr>
      </w:pPr>
      <w:r>
        <w:rPr>
          <w:sz w:val="28"/>
        </w:rPr>
      </w:r>
    </w:p>
    <w:p>
      <w:pPr>
        <w:pStyle w:val="Normal"/>
        <w:ind w:firstLine="720" w:end="0"/>
        <w:rPr>
          <w:sz w:val="28"/>
        </w:rPr>
      </w:pPr>
      <w:r>
        <w:rPr>
          <w:sz w:val="28"/>
        </w:rPr>
        <w:t xml:space="preserve">A variety of options should be available to procure a shapeable supply.  One option would be a capacity contract.  Such a contract would reserve an amount of capacity and allow dispatch of specified quantities of energy from the contracted capacity on a short notice (e.g., with one-day advance notice or next-hour advance notice).  Typically this type of contract would include both energy and capacity payments.  A second option to meet seasonal requirements is through existing or to be developed spot markets that allow the designation of individual hourly requirements and not to exceed limitations on the price that is paid. </w:t>
      </w:r>
    </w:p>
    <w:p>
      <w:pPr>
        <w:pStyle w:val="Normal"/>
        <w:rPr>
          <w:sz w:val="28"/>
        </w:rPr>
      </w:pPr>
      <w:r>
        <w:rPr>
          <w:sz w:val="28"/>
        </w:rPr>
      </w:r>
    </w:p>
    <w:p>
      <w:pPr>
        <w:pStyle w:val="Normal"/>
        <w:rPr>
          <w:sz w:val="28"/>
          <w:u w:val="single"/>
        </w:rPr>
      </w:pPr>
      <w:r>
        <w:rPr>
          <w:sz w:val="28"/>
          <w:u w:val="single"/>
        </w:rPr>
        <w:t>Peak Day Requirements</w:t>
      </w:r>
    </w:p>
    <w:p>
      <w:pPr>
        <w:pStyle w:val="Normal"/>
        <w:rPr>
          <w:sz w:val="28"/>
          <w:u w:val="single"/>
        </w:rPr>
      </w:pPr>
      <w:r>
        <w:rPr>
          <w:sz w:val="28"/>
          <w:u w:val="single"/>
        </w:rPr>
      </w:r>
    </w:p>
    <w:p>
      <w:pPr>
        <w:pStyle w:val="Normal"/>
        <w:ind w:firstLine="720" w:end="0"/>
        <w:rPr>
          <w:sz w:val="28"/>
        </w:rPr>
      </w:pPr>
      <w:r>
        <w:rPr>
          <w:sz w:val="28"/>
        </w:rPr>
        <w:t>Unless SDG&amp;E’s present peak day loads change significantly as a result of the State’s conservation initiatives and expected prices and rate structures, the comprehensive plan will likely identify a substantial need for added peak day capacity, operating at a capacity factor of roughly 1%.</w:t>
      </w:r>
    </w:p>
    <w:p>
      <w:pPr>
        <w:pStyle w:val="Normal"/>
        <w:rPr>
          <w:sz w:val="28"/>
        </w:rPr>
      </w:pPr>
      <w:r>
        <w:rPr>
          <w:sz w:val="28"/>
        </w:rPr>
      </w:r>
    </w:p>
    <w:p>
      <w:pPr>
        <w:pStyle w:val="BodyText2"/>
        <w:ind w:firstLine="720" w:end="0"/>
        <w:rPr/>
      </w:pPr>
      <w:r>
        <w:rPr/>
        <w:t xml:space="preserve">The options for providing peak day capacity requirements tend to mirror those described above for shapeable requirements.  Because of the low capacity factor of this type supply, it is expected that it will be the most expensive on a cost per unit energy basis.  </w:t>
      </w:r>
    </w:p>
    <w:p>
      <w:pPr>
        <w:pStyle w:val="BodyText2"/>
        <w:rPr/>
      </w:pPr>
      <w:r>
        <w:rPr/>
      </w:r>
    </w:p>
    <w:p>
      <w:pPr>
        <w:pStyle w:val="BodyText2"/>
        <w:ind w:firstLine="720" w:end="0"/>
        <w:rPr/>
      </w:pPr>
      <w:r>
        <w:rPr/>
        <w:t>The chart below illustrates the role of peaking resources.</w:t>
      </w:r>
    </w:p>
    <w:p>
      <w:pPr>
        <w:pStyle w:val="BodyText2"/>
        <w:ind w:firstLine="720" w:end="0"/>
        <w:jc w:val="center"/>
        <w:rPr>
          <w:lang w:val="en-CA"/>
        </w:rPr>
      </w:pPr>
      <w:r>
        <w:rPr>
          <w:lang w:val="en-CA"/>
        </w:rPr>
        <w:drawing>
          <wp:anchor behindDoc="0" distT="0" distB="0" distL="114935" distR="114935" simplePos="0" locked="0" layoutInCell="1" allowOverlap="1" relativeHeight="7">
            <wp:simplePos x="0" y="0"/>
            <wp:positionH relativeFrom="column">
              <wp:posOffset>45720</wp:posOffset>
            </wp:positionH>
            <wp:positionV relativeFrom="paragraph">
              <wp:posOffset>344170</wp:posOffset>
            </wp:positionV>
            <wp:extent cx="5394960" cy="3696335"/>
            <wp:effectExtent l="0" t="0" r="0" b="0"/>
            <wp:wrapNone/>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6" r="-4" b="-6"/>
                    <a:stretch>
                      <a:fillRect/>
                    </a:stretch>
                  </pic:blipFill>
                  <pic:spPr bwMode="auto">
                    <a:xfrm>
                      <a:off x="0" y="0"/>
                      <a:ext cx="5394960" cy="3696335"/>
                    </a:xfrm>
                    <a:prstGeom prst="rect">
                      <a:avLst/>
                    </a:prstGeom>
                    <a:noFill/>
                  </pic:spPr>
                </pic:pic>
              </a:graphicData>
            </a:graphic>
          </wp:anchor>
        </w:drawing>
      </w:r>
    </w:p>
    <w:p>
      <w:pPr>
        <w:pStyle w:val="BodyText2"/>
        <w:ind w:firstLine="720" w:end="0"/>
        <w:jc w:val="center"/>
        <w:rPr/>
      </w:pPr>
      <w:r>
        <w:rPr/>
      </w:r>
    </w:p>
    <w:p>
      <w:pPr>
        <w:pStyle w:val="BodyText2"/>
        <w:ind w:firstLine="720" w:end="0"/>
        <w:jc w:val="center"/>
        <w:rPr/>
      </w:pPr>
      <w:r>
        <w:rPr/>
      </w:r>
    </w:p>
    <w:p>
      <w:pPr>
        <w:pStyle w:val="BodyText2"/>
        <w:ind w:firstLine="720" w:end="0"/>
        <w:jc w:val="center"/>
        <w:rPr/>
      </w:pPr>
      <w:r>
        <w:rPr/>
      </w:r>
    </w:p>
    <w:p>
      <w:pPr>
        <w:pStyle w:val="BodyText2"/>
        <w:ind w:firstLine="720" w:end="0"/>
        <w:jc w:val="center"/>
        <w:rPr/>
      </w:pPr>
      <w:r>
        <w:rPr/>
      </w:r>
    </w:p>
    <w:p>
      <w:pPr>
        <w:pStyle w:val="BodyText2"/>
        <w:ind w:firstLine="720" w:end="0"/>
        <w:jc w:val="center"/>
        <w:rPr/>
      </w:pPr>
      <w:r>
        <w:rPr/>
      </w:r>
    </w:p>
    <w:p>
      <w:pPr>
        <w:pStyle w:val="BodyText2"/>
        <w:ind w:firstLine="720" w:end="0"/>
        <w:jc w:val="center"/>
        <w:rPr/>
      </w:pPr>
      <w:r>
        <w:rPr/>
      </w:r>
    </w:p>
    <w:p>
      <w:pPr>
        <w:pStyle w:val="BodyText2"/>
        <w:ind w:firstLine="720" w:end="0"/>
        <w:jc w:val="center"/>
        <w:rPr/>
      </w:pPr>
      <w:r>
        <w:rPr/>
      </w:r>
    </w:p>
    <w:p>
      <w:pPr>
        <w:pStyle w:val="BodyText2"/>
        <w:ind w:firstLine="720" w:end="0"/>
        <w:jc w:val="center"/>
        <w:rPr/>
      </w:pPr>
      <w:r>
        <w:rPr/>
      </w:r>
    </w:p>
    <w:p>
      <w:pPr>
        <w:pStyle w:val="BodyText2"/>
        <w:ind w:firstLine="720" w:end="0"/>
        <w:jc w:val="center"/>
        <w:rPr/>
      </w:pPr>
      <w:r>
        <w:rPr/>
      </w:r>
    </w:p>
    <w:p>
      <w:pPr>
        <w:pStyle w:val="BodyText2"/>
        <w:ind w:firstLine="720" w:end="0"/>
        <w:jc w:val="center"/>
        <w:rPr/>
      </w:pPr>
      <w:r>
        <w:rPr/>
      </w:r>
    </w:p>
    <w:p>
      <w:pPr>
        <w:pStyle w:val="BodyText2"/>
        <w:ind w:firstLine="720" w:end="0"/>
        <w:jc w:val="center"/>
        <w:rPr/>
      </w:pPr>
      <w:r>
        <w:rPr/>
      </w:r>
    </w:p>
    <w:p>
      <w:pPr>
        <w:pStyle w:val="BodyText2"/>
        <w:ind w:firstLine="720" w:end="0"/>
        <w:jc w:val="center"/>
        <w:rPr/>
      </w:pPr>
      <w:r>
        <w:rPr/>
      </w:r>
    </w:p>
    <w:p>
      <w:pPr>
        <w:pStyle w:val="BodyText2"/>
        <w:ind w:firstLine="720" w:end="0"/>
        <w:jc w:val="center"/>
        <w:rPr/>
      </w:pPr>
      <w:r>
        <w:rPr/>
      </w:r>
    </w:p>
    <w:p>
      <w:pPr>
        <w:pStyle w:val="BodyText2"/>
        <w:ind w:firstLine="720" w:end="0"/>
        <w:jc w:val="center"/>
        <w:rPr/>
      </w:pPr>
      <w:r>
        <w:rPr/>
      </w:r>
    </w:p>
    <w:p>
      <w:pPr>
        <w:pStyle w:val="BodyText2"/>
        <w:ind w:firstLine="720" w:end="0"/>
        <w:jc w:val="center"/>
        <w:rPr/>
      </w:pPr>
      <w:r>
        <w:rPr/>
      </w:r>
    </w:p>
    <w:p>
      <w:pPr>
        <w:pStyle w:val="BodyText2"/>
        <w:ind w:firstLine="720" w:end="0"/>
        <w:jc w:val="center"/>
        <w:rPr/>
      </w:pPr>
      <w:r>
        <w:rPr/>
      </w:r>
    </w:p>
    <w:p>
      <w:pPr>
        <w:pStyle w:val="BodyText2"/>
        <w:ind w:firstLine="720" w:end="0"/>
        <w:jc w:val="center"/>
        <w:rPr/>
      </w:pPr>
      <w:r>
        <w:rPr/>
      </w:r>
    </w:p>
    <w:p>
      <w:pPr>
        <w:pStyle w:val="BodyText2"/>
        <w:ind w:firstLine="720" w:end="0"/>
        <w:jc w:val="center"/>
        <w:rPr/>
      </w:pPr>
      <w:r>
        <w:rPr/>
      </w:r>
    </w:p>
    <w:p>
      <w:pPr>
        <w:pStyle w:val="BodyText2"/>
        <w:ind w:firstLine="720" w:end="0"/>
        <w:jc w:val="center"/>
        <w:rPr/>
      </w:pPr>
      <w:r>
        <w:rPr/>
      </w:r>
    </w:p>
    <w:p>
      <w:pPr>
        <w:pStyle w:val="BodyText2"/>
        <w:ind w:firstLine="720" w:end="0"/>
        <w:jc w:val="center"/>
        <w:rPr/>
      </w:pPr>
      <w:r>
        <w:rPr/>
      </w:r>
    </w:p>
    <w:p>
      <w:pPr>
        <w:pStyle w:val="Normal"/>
        <w:rPr>
          <w:sz w:val="28"/>
          <w:u w:val="single"/>
        </w:rPr>
      </w:pPr>
      <w:r>
        <w:rPr>
          <w:sz w:val="28"/>
          <w:u w:val="single"/>
        </w:rPr>
        <w:t>Ancillary Services</w:t>
      </w:r>
    </w:p>
    <w:p>
      <w:pPr>
        <w:pStyle w:val="Normal"/>
        <w:rPr>
          <w:sz w:val="28"/>
          <w:u w:val="single"/>
        </w:rPr>
      </w:pPr>
      <w:r>
        <w:rPr>
          <w:sz w:val="28"/>
          <w:u w:val="single"/>
        </w:rPr>
      </w:r>
    </w:p>
    <w:p>
      <w:pPr>
        <w:pStyle w:val="Normal"/>
        <w:ind w:firstLine="720" w:end="0"/>
        <w:rPr>
          <w:sz w:val="28"/>
        </w:rPr>
      </w:pPr>
      <w:r>
        <w:rPr>
          <w:sz w:val="28"/>
        </w:rPr>
        <w:t>Ancillary service capacity (AS) is required to meet the needs of consumers in a reliable manner.  The nature of SDG&amp;E's URG portfolio is such that it has very limited AS provision capability.  As a result, SDG&amp;E's resource plan will specify how this requirement will be met in the future.</w:t>
      </w:r>
    </w:p>
    <w:p>
      <w:pPr>
        <w:pStyle w:val="Normal"/>
        <w:rPr>
          <w:sz w:val="28"/>
        </w:rPr>
      </w:pPr>
      <w:r>
        <w:rPr>
          <w:sz w:val="28"/>
        </w:rPr>
      </w:r>
    </w:p>
    <w:p>
      <w:pPr>
        <w:pStyle w:val="Normal"/>
        <w:ind w:firstLine="720" w:end="0"/>
        <w:rPr>
          <w:sz w:val="28"/>
        </w:rPr>
      </w:pPr>
      <w:r>
        <w:rPr>
          <w:sz w:val="28"/>
        </w:rPr>
        <w:t>One source of AS is obviously the ISO AS market.  A second possible source is through capacity purchases made in conjunction with contracts intended to serve shapeable or peak day requirements.    Another source could be through an open procurement process for AS.</w:t>
      </w:r>
    </w:p>
    <w:p>
      <w:pPr>
        <w:pStyle w:val="Normal"/>
        <w:rPr>
          <w:sz w:val="28"/>
        </w:rPr>
      </w:pPr>
      <w:r>
        <w:rPr>
          <w:sz w:val="28"/>
        </w:rPr>
      </w:r>
    </w:p>
    <w:p>
      <w:pPr>
        <w:pStyle w:val="Heading3"/>
        <w:rPr/>
      </w:pPr>
      <w:bookmarkStart w:id="19" w:name="__RefHeading___Toc523299264"/>
      <w:bookmarkEnd w:id="19"/>
      <w:r>
        <w:rPr/>
        <w:t>3)</w:t>
        <w:tab/>
        <w:t>Risk Management Assessment</w:t>
      </w:r>
    </w:p>
    <w:p>
      <w:pPr>
        <w:pStyle w:val="Normal"/>
        <w:rPr/>
      </w:pPr>
      <w:r>
        <w:rPr/>
      </w:r>
    </w:p>
    <w:p>
      <w:pPr>
        <w:pStyle w:val="BodyText2"/>
        <w:ind w:firstLine="720" w:end="0"/>
        <w:rPr/>
      </w:pPr>
      <w:r>
        <w:rPr/>
        <w:t>Collaboration between SDG&amp;E and the CPUC concerning the assessment and mitigation of risk associated with energy procurement is essential for the development of a procurement plan that best serves customers’ needs.  The past year’s significant excursions in both electricity and natural gas prices have focused attention on the need for a sophisticated understanding of customers’ preferences for balancing their interests in low price, reliability of supply, and price stability.  SDG&amp;E looks forward to participating with the CPUC in future processes aimed at better understanding these issues, and will incorporate whatever results are available in its procurement plan.</w:t>
      </w:r>
    </w:p>
    <w:p>
      <w:pPr>
        <w:pStyle w:val="Normal"/>
        <w:rPr>
          <w:sz w:val="28"/>
        </w:rPr>
      </w:pPr>
      <w:r>
        <w:rPr>
          <w:sz w:val="28"/>
        </w:rPr>
      </w:r>
    </w:p>
    <w:p>
      <w:pPr>
        <w:pStyle w:val="Normal"/>
        <w:ind w:firstLine="720" w:end="0"/>
        <w:rPr>
          <w:sz w:val="28"/>
        </w:rPr>
      </w:pPr>
      <w:r>
        <w:rPr>
          <w:sz w:val="28"/>
        </w:rPr>
        <w:t>SDG&amp;E’s procurement plan will be designed to minimize risk to customers by providing a proposed acquisition strategy that balances the often competing objectives of low price, reliability of supply, and price stability.  SDG&amp;E's procurement plan will recommend a target for the portion of SDG&amp;E service area customers' overall resource mix (including utility retained generation, and CDWR and California Power Authority resources) whose costs are (a) fixed at time of commitment, and (b) vary with current market conditions.  The plan will also provide a recommended acquisition schedule which, when executed, will move SDG&amp;E service area customers' overall resource mix to the recommended target.  SDG&amp;E may use tools such as value at risk analyses to help establish the target portions.    The plan will also propose a mix of commitment lead times and durations designed to increase the likelihood of locking in low prices during periods of projected supply surpluses and reduce the possibility of locking in high prices for a significant portion of SDG&amp;E's incremental resource requirements.</w:t>
      </w:r>
    </w:p>
    <w:p>
      <w:pPr>
        <w:pStyle w:val="Normal"/>
        <w:rPr>
          <w:sz w:val="28"/>
        </w:rPr>
      </w:pPr>
      <w:r>
        <w:rPr>
          <w:sz w:val="28"/>
        </w:rPr>
      </w:r>
    </w:p>
    <w:p>
      <w:pPr>
        <w:pStyle w:val="Normal"/>
        <w:ind w:firstLine="720" w:end="0"/>
        <w:rPr>
          <w:sz w:val="28"/>
        </w:rPr>
      </w:pPr>
      <w:r>
        <w:rPr>
          <w:sz w:val="28"/>
        </w:rPr>
        <w:t xml:space="preserve">As an example, the proposed plan would suggest that a given percentage of the portfolio should be composed of fixed price resources to provide some price certainty (i.e. reduce market risk), minimize price spikes and take advantage of current market prices, leaving the remainder of the portfolio as variably-priced commitments available to take advantage of potentially lower fuel and power prices in the future (i.e. reduce opportunity </w:t>
      </w:r>
      <w:r>
        <w:br w:type="page"/>
      </w:r>
    </w:p>
    <w:p>
      <w:pPr>
        <w:pStyle w:val="Normal"/>
        <w:rPr>
          <w:sz w:val="28"/>
        </w:rPr>
      </w:pPr>
      <w:r>
        <w:rPr>
          <w:sz w:val="28"/>
        </w:rPr>
        <w:t>risk).  In addition, the plan might suggest that some percentage of the total resource need for a future year should be procured several years in advance of need to take advantage of a particularly attractive price, or in contrast, it might suggest that no procurement be conducted until very close to need, to take advantage of an anticipated buyers’ market at the time of procurement.  Similarly, by recommending resources with varying durations SDG&amp;E will address the need to balance long-term commitments which provide price and supply stability along with reliability, against short-term commitments which provide the flexibility to react to changed conditions.</w:t>
      </w:r>
    </w:p>
    <w:p>
      <w:pPr>
        <w:pStyle w:val="Normal"/>
        <w:rPr>
          <w:sz w:val="28"/>
        </w:rPr>
      </w:pPr>
      <w:r>
        <w:rPr>
          <w:sz w:val="28"/>
        </w:rPr>
      </w:r>
    </w:p>
    <w:p>
      <w:pPr>
        <w:pStyle w:val="Normal"/>
        <w:ind w:firstLine="720" w:end="0"/>
        <w:rPr>
          <w:sz w:val="28"/>
        </w:rPr>
      </w:pPr>
      <w:r>
        <w:rPr>
          <w:sz w:val="28"/>
        </w:rPr>
        <w:t>The table below illustrates how these concepts will be represented and balanced in the recommended plan:</w:t>
      </w:r>
    </w:p>
    <w:p>
      <w:pPr>
        <w:pStyle w:val="Normal"/>
        <w:rPr>
          <w:sz w:val="28"/>
        </w:rPr>
      </w:pPr>
      <w:r>
        <w:rPr>
          <w:sz w:val="28"/>
        </w:rPr>
      </w:r>
    </w:p>
    <w:p>
      <w:pPr>
        <w:pStyle w:val="BodyTextIndent"/>
        <w:ind w:hanging="0" w:end="0"/>
        <w:rPr>
          <w:sz w:val="28"/>
        </w:rPr>
      </w:pPr>
      <w:r>
        <w:rPr>
          <w:sz w:val="28"/>
        </w:rPr>
      </w:r>
    </w:p>
    <w:tbl>
      <w:tblPr>
        <w:tblW w:w="8856" w:type="dxa"/>
        <w:jc w:val="start"/>
        <w:tblInd w:w="720" w:type="dxa"/>
        <w:tblLayout w:type="fixed"/>
        <w:tblCellMar>
          <w:top w:w="0" w:type="dxa"/>
          <w:start w:w="108" w:type="dxa"/>
          <w:bottom w:w="0" w:type="dxa"/>
          <w:end w:w="108" w:type="dxa"/>
        </w:tblCellMar>
      </w:tblPr>
      <w:tblGrid>
        <w:gridCol w:w="2214"/>
        <w:gridCol w:w="2214"/>
        <w:gridCol w:w="2214"/>
        <w:gridCol w:w="2214"/>
      </w:tblGrid>
      <w:tr>
        <w:trPr/>
        <w:tc>
          <w:tcPr>
            <w:tcW w:w="2214" w:type="dxa"/>
            <w:tcBorders/>
          </w:tcPr>
          <w:p>
            <w:pPr>
              <w:pStyle w:val="BodyTextIndent"/>
              <w:ind w:hanging="0" w:end="0"/>
              <w:rPr>
                <w:u w:val="single"/>
              </w:rPr>
            </w:pPr>
            <w:r>
              <w:rPr>
                <w:u w:val="single"/>
              </w:rPr>
              <w:t>Amount Fixed</w:t>
            </w:r>
          </w:p>
        </w:tc>
        <w:tc>
          <w:tcPr>
            <w:tcW w:w="2214" w:type="dxa"/>
            <w:tcBorders/>
          </w:tcPr>
          <w:p>
            <w:pPr>
              <w:pStyle w:val="BodyTextIndent"/>
              <w:ind w:hanging="0" w:end="0"/>
              <w:rPr>
                <w:u w:val="single"/>
              </w:rPr>
            </w:pPr>
            <w:r>
              <w:rPr>
                <w:u w:val="single"/>
              </w:rPr>
              <w:t>Price Risk</w:t>
            </w:r>
          </w:p>
        </w:tc>
        <w:tc>
          <w:tcPr>
            <w:tcW w:w="2214" w:type="dxa"/>
            <w:tcBorders/>
          </w:tcPr>
          <w:p>
            <w:pPr>
              <w:pStyle w:val="BodyTextIndent"/>
              <w:ind w:hanging="0" w:end="0"/>
              <w:rPr>
                <w:u w:val="single"/>
              </w:rPr>
            </w:pPr>
            <w:r>
              <w:rPr>
                <w:u w:val="single"/>
              </w:rPr>
              <w:t>Opportunity Risk</w:t>
            </w:r>
          </w:p>
        </w:tc>
        <w:tc>
          <w:tcPr>
            <w:tcW w:w="2214" w:type="dxa"/>
            <w:tcBorders/>
          </w:tcPr>
          <w:p>
            <w:pPr>
              <w:pStyle w:val="BodyTextIndent"/>
              <w:ind w:hanging="0" w:end="0"/>
              <w:rPr>
                <w:u w:val="single"/>
              </w:rPr>
            </w:pPr>
            <w:r>
              <w:rPr>
                <w:u w:val="single"/>
              </w:rPr>
              <w:t>Total Risk</w:t>
            </w:r>
          </w:p>
        </w:tc>
      </w:tr>
      <w:tr>
        <w:trPr/>
        <w:tc>
          <w:tcPr>
            <w:tcW w:w="2214" w:type="dxa"/>
            <w:tcBorders/>
          </w:tcPr>
          <w:p>
            <w:pPr>
              <w:pStyle w:val="BodyTextIndent"/>
              <w:ind w:hanging="0" w:end="0"/>
              <w:rPr/>
            </w:pPr>
            <w:r>
              <w:rPr/>
              <w:t>100%</w:t>
            </w:r>
          </w:p>
        </w:tc>
        <w:tc>
          <w:tcPr>
            <w:tcW w:w="2214" w:type="dxa"/>
            <w:tcBorders/>
          </w:tcPr>
          <w:p>
            <w:pPr>
              <w:pStyle w:val="BodyTextIndent"/>
              <w:ind w:hanging="0" w:end="0"/>
              <w:rPr/>
            </w:pPr>
            <w:r>
              <w:rPr/>
              <w:t>Very low</w:t>
            </w:r>
          </w:p>
        </w:tc>
        <w:tc>
          <w:tcPr>
            <w:tcW w:w="2214" w:type="dxa"/>
            <w:tcBorders/>
          </w:tcPr>
          <w:p>
            <w:pPr>
              <w:pStyle w:val="BodyTextIndent"/>
              <w:ind w:hanging="0" w:end="0"/>
              <w:rPr/>
            </w:pPr>
            <w:r>
              <w:rPr/>
              <w:t>Very high</w:t>
            </w:r>
          </w:p>
        </w:tc>
        <w:tc>
          <w:tcPr>
            <w:tcW w:w="2214" w:type="dxa"/>
            <w:tcBorders/>
          </w:tcPr>
          <w:p>
            <w:pPr>
              <w:pStyle w:val="BodyTextIndent"/>
              <w:ind w:hanging="0" w:end="0"/>
              <w:rPr/>
            </w:pPr>
            <w:r>
              <w:rPr/>
              <w:t>Very high</w:t>
            </w:r>
          </w:p>
        </w:tc>
      </w:tr>
      <w:tr>
        <w:trPr/>
        <w:tc>
          <w:tcPr>
            <w:tcW w:w="2214" w:type="dxa"/>
            <w:tcBorders/>
          </w:tcPr>
          <w:p>
            <w:pPr>
              <w:pStyle w:val="BodyTextIndent"/>
              <w:ind w:hanging="0" w:end="0"/>
              <w:rPr/>
            </w:pPr>
            <w:r>
              <w:rPr/>
              <w:t>90%</w:t>
            </w:r>
          </w:p>
        </w:tc>
        <w:tc>
          <w:tcPr>
            <w:tcW w:w="2214" w:type="dxa"/>
            <w:tcBorders/>
          </w:tcPr>
          <w:p>
            <w:pPr>
              <w:pStyle w:val="BodyTextIndent"/>
              <w:ind w:hanging="0" w:end="0"/>
              <w:rPr/>
            </w:pPr>
            <w:r>
              <w:rPr/>
              <w:t>Low</w:t>
            </w:r>
          </w:p>
        </w:tc>
        <w:tc>
          <w:tcPr>
            <w:tcW w:w="2214" w:type="dxa"/>
            <w:tcBorders/>
          </w:tcPr>
          <w:p>
            <w:pPr>
              <w:pStyle w:val="BodyTextIndent"/>
              <w:ind w:hanging="0" w:end="0"/>
              <w:rPr/>
            </w:pPr>
            <w:r>
              <w:rPr/>
              <w:t>High</w:t>
            </w:r>
          </w:p>
        </w:tc>
        <w:tc>
          <w:tcPr>
            <w:tcW w:w="2214" w:type="dxa"/>
            <w:tcBorders/>
          </w:tcPr>
          <w:p>
            <w:pPr>
              <w:pStyle w:val="BodyTextIndent"/>
              <w:ind w:hanging="0" w:end="0"/>
              <w:rPr/>
            </w:pPr>
            <w:r>
              <w:rPr/>
              <w:t>High</w:t>
            </w:r>
          </w:p>
        </w:tc>
      </w:tr>
      <w:tr>
        <w:trPr/>
        <w:tc>
          <w:tcPr>
            <w:tcW w:w="2214" w:type="dxa"/>
            <w:tcBorders/>
          </w:tcPr>
          <w:p>
            <w:pPr>
              <w:pStyle w:val="BodyTextIndent"/>
              <w:ind w:hanging="0" w:end="0"/>
              <w:rPr/>
            </w:pPr>
            <w:r>
              <w:rPr/>
              <w:t>80%</w:t>
            </w:r>
          </w:p>
        </w:tc>
        <w:tc>
          <w:tcPr>
            <w:tcW w:w="2214" w:type="dxa"/>
            <w:tcBorders/>
          </w:tcPr>
          <w:p>
            <w:pPr>
              <w:pStyle w:val="BodyTextIndent"/>
              <w:snapToGrid w:val="false"/>
              <w:ind w:hanging="0" w:end="0"/>
              <w:rPr/>
            </w:pPr>
            <w:r>
              <w:rPr/>
            </w:r>
          </w:p>
        </w:tc>
        <w:tc>
          <w:tcPr>
            <w:tcW w:w="2214" w:type="dxa"/>
            <w:tcBorders/>
          </w:tcPr>
          <w:p>
            <w:pPr>
              <w:pStyle w:val="BodyTextIndent"/>
              <w:snapToGrid w:val="false"/>
              <w:ind w:hanging="0" w:end="0"/>
              <w:rPr/>
            </w:pPr>
            <w:r>
              <w:rPr/>
            </w:r>
          </w:p>
        </w:tc>
        <w:tc>
          <w:tcPr>
            <w:tcW w:w="2214" w:type="dxa"/>
            <w:tcBorders/>
          </w:tcPr>
          <w:p>
            <w:pPr>
              <w:pStyle w:val="BodyTextIndent"/>
              <w:snapToGrid w:val="false"/>
              <w:ind w:hanging="0" w:end="0"/>
              <w:rPr/>
            </w:pPr>
            <w:r>
              <w:rPr/>
            </w:r>
          </w:p>
        </w:tc>
      </w:tr>
      <w:tr>
        <w:trPr/>
        <w:tc>
          <w:tcPr>
            <w:tcW w:w="2214" w:type="dxa"/>
            <w:tcBorders/>
            <w:shd w:fill="BFBFBF" w:val="clear"/>
          </w:tcPr>
          <w:p>
            <w:pPr>
              <w:pStyle w:val="BodyTextIndent"/>
              <w:snapToGrid w:val="false"/>
              <w:ind w:hanging="0" w:end="0"/>
              <w:rPr/>
            </w:pPr>
            <w:r>
              <w:rPr/>
            </w:r>
          </w:p>
        </w:tc>
        <w:tc>
          <w:tcPr>
            <w:tcW w:w="2214" w:type="dxa"/>
            <w:tcBorders/>
            <w:shd w:fill="BFBFBF" w:val="clear"/>
          </w:tcPr>
          <w:p>
            <w:pPr>
              <w:pStyle w:val="BodyTextIndent"/>
              <w:snapToGrid w:val="false"/>
              <w:ind w:hanging="0" w:end="0"/>
              <w:rPr/>
            </w:pPr>
            <w:r>
              <w:rPr/>
            </w:r>
          </w:p>
        </w:tc>
        <w:tc>
          <w:tcPr>
            <w:tcW w:w="2214" w:type="dxa"/>
            <w:tcBorders/>
            <w:shd w:fill="BFBFBF" w:val="clear"/>
          </w:tcPr>
          <w:p>
            <w:pPr>
              <w:pStyle w:val="BodyTextIndent"/>
              <w:snapToGrid w:val="false"/>
              <w:ind w:hanging="0" w:end="0"/>
              <w:rPr/>
            </w:pPr>
            <w:r>
              <w:rPr/>
            </w:r>
          </w:p>
        </w:tc>
        <w:tc>
          <w:tcPr>
            <w:tcW w:w="2214" w:type="dxa"/>
            <w:tcBorders/>
            <w:shd w:fill="BFBFBF" w:val="clear"/>
          </w:tcPr>
          <w:p>
            <w:pPr>
              <w:pStyle w:val="BodyTextIndent"/>
              <w:snapToGrid w:val="false"/>
              <w:ind w:hanging="0" w:end="0"/>
              <w:rPr/>
            </w:pPr>
            <w:r>
              <w:rPr/>
            </w:r>
          </w:p>
        </w:tc>
      </w:tr>
      <w:tr>
        <w:trPr/>
        <w:tc>
          <w:tcPr>
            <w:tcW w:w="2214" w:type="dxa"/>
            <w:tcBorders/>
            <w:shd w:fill="BFBFBF" w:val="clear"/>
          </w:tcPr>
          <w:p>
            <w:pPr>
              <w:pStyle w:val="BodyTextIndent"/>
              <w:ind w:hanging="0" w:end="0"/>
              <w:rPr/>
            </w:pPr>
            <w:r>
              <w:rPr/>
              <w:t>X%</w:t>
            </w:r>
          </w:p>
        </w:tc>
        <w:tc>
          <w:tcPr>
            <w:tcW w:w="2214" w:type="dxa"/>
            <w:tcBorders/>
            <w:shd w:fill="BFBFBF" w:val="clear"/>
          </w:tcPr>
          <w:p>
            <w:pPr>
              <w:pStyle w:val="BodyTextIndent"/>
              <w:snapToGrid w:val="false"/>
              <w:ind w:hanging="0" w:end="0"/>
              <w:rPr/>
            </w:pPr>
            <w:r>
              <w:rPr/>
            </w:r>
          </w:p>
        </w:tc>
        <w:tc>
          <w:tcPr>
            <w:tcW w:w="2214" w:type="dxa"/>
            <w:tcBorders/>
            <w:shd w:fill="BFBFBF" w:val="clear"/>
          </w:tcPr>
          <w:p>
            <w:pPr>
              <w:pStyle w:val="BodyTextIndent"/>
              <w:snapToGrid w:val="false"/>
              <w:ind w:hanging="0" w:end="0"/>
              <w:rPr/>
            </w:pPr>
            <w:r>
              <w:rPr/>
            </w:r>
          </w:p>
        </w:tc>
        <w:tc>
          <w:tcPr>
            <w:tcW w:w="2214" w:type="dxa"/>
            <w:tcBorders/>
            <w:shd w:fill="BFBFBF" w:val="clear"/>
          </w:tcPr>
          <w:p>
            <w:pPr>
              <w:pStyle w:val="BodyTextIndent"/>
              <w:ind w:hanging="0" w:end="0"/>
              <w:rPr/>
            </w:pPr>
            <w:r>
              <w:rPr/>
              <w:t>Minimized</w:t>
            </w:r>
          </w:p>
        </w:tc>
      </w:tr>
      <w:tr>
        <w:trPr/>
        <w:tc>
          <w:tcPr>
            <w:tcW w:w="2214" w:type="dxa"/>
            <w:tcBorders/>
            <w:shd w:fill="BFBFBF" w:val="clear"/>
          </w:tcPr>
          <w:p>
            <w:pPr>
              <w:pStyle w:val="BodyTextIndent"/>
              <w:snapToGrid w:val="false"/>
              <w:ind w:hanging="0" w:end="0"/>
              <w:rPr/>
            </w:pPr>
            <w:r>
              <w:rPr/>
            </w:r>
          </w:p>
        </w:tc>
        <w:tc>
          <w:tcPr>
            <w:tcW w:w="2214" w:type="dxa"/>
            <w:tcBorders/>
            <w:shd w:fill="BFBFBF" w:val="clear"/>
          </w:tcPr>
          <w:p>
            <w:pPr>
              <w:pStyle w:val="BodyTextIndent"/>
              <w:snapToGrid w:val="false"/>
              <w:ind w:hanging="0" w:end="0"/>
              <w:rPr/>
            </w:pPr>
            <w:r>
              <w:rPr/>
            </w:r>
          </w:p>
        </w:tc>
        <w:tc>
          <w:tcPr>
            <w:tcW w:w="2214" w:type="dxa"/>
            <w:tcBorders/>
            <w:shd w:fill="BFBFBF" w:val="clear"/>
          </w:tcPr>
          <w:p>
            <w:pPr>
              <w:pStyle w:val="BodyTextIndent"/>
              <w:snapToGrid w:val="false"/>
              <w:ind w:hanging="0" w:end="0"/>
              <w:rPr/>
            </w:pPr>
            <w:r>
              <w:rPr/>
            </w:r>
          </w:p>
        </w:tc>
        <w:tc>
          <w:tcPr>
            <w:tcW w:w="2214" w:type="dxa"/>
            <w:tcBorders/>
            <w:shd w:fill="BFBFBF" w:val="clear"/>
          </w:tcPr>
          <w:p>
            <w:pPr>
              <w:pStyle w:val="BodyTextIndent"/>
              <w:snapToGrid w:val="false"/>
              <w:ind w:hanging="0" w:end="0"/>
              <w:rPr/>
            </w:pPr>
            <w:r>
              <w:rPr/>
            </w:r>
          </w:p>
        </w:tc>
      </w:tr>
      <w:tr>
        <w:trPr/>
        <w:tc>
          <w:tcPr>
            <w:tcW w:w="2214" w:type="dxa"/>
            <w:tcBorders/>
          </w:tcPr>
          <w:p>
            <w:pPr>
              <w:pStyle w:val="BodyTextIndent"/>
              <w:ind w:hanging="0" w:end="0"/>
              <w:rPr/>
            </w:pPr>
            <w:r>
              <w:rPr/>
              <w:t>20%</w:t>
            </w:r>
          </w:p>
        </w:tc>
        <w:tc>
          <w:tcPr>
            <w:tcW w:w="2214" w:type="dxa"/>
            <w:tcBorders/>
          </w:tcPr>
          <w:p>
            <w:pPr>
              <w:pStyle w:val="BodyTextIndent"/>
              <w:snapToGrid w:val="false"/>
              <w:ind w:hanging="0" w:end="0"/>
              <w:rPr/>
            </w:pPr>
            <w:r>
              <w:rPr/>
            </w:r>
          </w:p>
        </w:tc>
        <w:tc>
          <w:tcPr>
            <w:tcW w:w="2214" w:type="dxa"/>
            <w:tcBorders/>
          </w:tcPr>
          <w:p>
            <w:pPr>
              <w:pStyle w:val="BodyTextIndent"/>
              <w:snapToGrid w:val="false"/>
              <w:ind w:hanging="0" w:end="0"/>
              <w:rPr/>
            </w:pPr>
            <w:r>
              <w:rPr/>
            </w:r>
          </w:p>
        </w:tc>
        <w:tc>
          <w:tcPr>
            <w:tcW w:w="2214" w:type="dxa"/>
            <w:tcBorders/>
          </w:tcPr>
          <w:p>
            <w:pPr>
              <w:pStyle w:val="BodyTextIndent"/>
              <w:snapToGrid w:val="false"/>
              <w:ind w:hanging="0" w:end="0"/>
              <w:rPr/>
            </w:pPr>
            <w:r>
              <w:rPr/>
            </w:r>
          </w:p>
        </w:tc>
      </w:tr>
      <w:tr>
        <w:trPr/>
        <w:tc>
          <w:tcPr>
            <w:tcW w:w="2214" w:type="dxa"/>
            <w:tcBorders/>
          </w:tcPr>
          <w:p>
            <w:pPr>
              <w:pStyle w:val="BodyTextIndent"/>
              <w:ind w:hanging="0" w:end="0"/>
              <w:rPr/>
            </w:pPr>
            <w:r>
              <w:rPr/>
              <w:t>10%</w:t>
            </w:r>
          </w:p>
        </w:tc>
        <w:tc>
          <w:tcPr>
            <w:tcW w:w="2214" w:type="dxa"/>
            <w:tcBorders/>
          </w:tcPr>
          <w:p>
            <w:pPr>
              <w:pStyle w:val="BodyTextIndent"/>
              <w:ind w:hanging="0" w:end="0"/>
              <w:rPr/>
            </w:pPr>
            <w:r>
              <w:rPr/>
              <w:t>High</w:t>
            </w:r>
          </w:p>
        </w:tc>
        <w:tc>
          <w:tcPr>
            <w:tcW w:w="2214" w:type="dxa"/>
            <w:tcBorders/>
          </w:tcPr>
          <w:p>
            <w:pPr>
              <w:pStyle w:val="BodyTextIndent"/>
              <w:ind w:hanging="0" w:end="0"/>
              <w:rPr/>
            </w:pPr>
            <w:r>
              <w:rPr/>
              <w:t>Low</w:t>
            </w:r>
          </w:p>
        </w:tc>
        <w:tc>
          <w:tcPr>
            <w:tcW w:w="2214" w:type="dxa"/>
            <w:tcBorders/>
          </w:tcPr>
          <w:p>
            <w:pPr>
              <w:pStyle w:val="BodyTextIndent"/>
              <w:ind w:hanging="0" w:end="0"/>
              <w:rPr/>
            </w:pPr>
            <w:r>
              <w:rPr/>
              <w:t>High</w:t>
            </w:r>
          </w:p>
        </w:tc>
      </w:tr>
      <w:tr>
        <w:trPr/>
        <w:tc>
          <w:tcPr>
            <w:tcW w:w="2214" w:type="dxa"/>
            <w:tcBorders/>
          </w:tcPr>
          <w:p>
            <w:pPr>
              <w:pStyle w:val="BodyTextIndent"/>
              <w:ind w:hanging="0" w:end="0"/>
              <w:rPr/>
            </w:pPr>
            <w:r>
              <w:rPr/>
              <w:t>0%</w:t>
            </w:r>
          </w:p>
        </w:tc>
        <w:tc>
          <w:tcPr>
            <w:tcW w:w="2214" w:type="dxa"/>
            <w:tcBorders/>
          </w:tcPr>
          <w:p>
            <w:pPr>
              <w:pStyle w:val="BodyTextIndent"/>
              <w:ind w:hanging="0" w:end="0"/>
              <w:rPr/>
            </w:pPr>
            <w:r>
              <w:rPr/>
              <w:t>Very high</w:t>
            </w:r>
          </w:p>
        </w:tc>
        <w:tc>
          <w:tcPr>
            <w:tcW w:w="2214" w:type="dxa"/>
            <w:tcBorders/>
          </w:tcPr>
          <w:p>
            <w:pPr>
              <w:pStyle w:val="BodyTextIndent"/>
              <w:ind w:hanging="0" w:end="0"/>
              <w:rPr/>
            </w:pPr>
            <w:r>
              <w:rPr/>
              <w:t>Very low</w:t>
            </w:r>
          </w:p>
        </w:tc>
        <w:tc>
          <w:tcPr>
            <w:tcW w:w="2214" w:type="dxa"/>
            <w:tcBorders/>
          </w:tcPr>
          <w:p>
            <w:pPr>
              <w:pStyle w:val="BodyTextIndent"/>
              <w:ind w:hanging="0" w:end="0"/>
              <w:rPr/>
            </w:pPr>
            <w:r>
              <w:rPr/>
              <w:t>Very high</w:t>
            </w:r>
          </w:p>
        </w:tc>
      </w:tr>
    </w:tbl>
    <w:p>
      <w:pPr>
        <w:pStyle w:val="BodyTextIndent"/>
        <w:ind w:hanging="0" w:end="0"/>
        <w:rPr/>
      </w:pPr>
      <w:r>
        <w:rPr/>
      </w:r>
    </w:p>
    <w:p>
      <w:pPr>
        <w:pStyle w:val="Normal"/>
        <w:rPr>
          <w:sz w:val="28"/>
        </w:rPr>
      </w:pPr>
      <w:r>
        <w:rPr>
          <w:sz w:val="28"/>
        </w:rPr>
      </w:r>
    </w:p>
    <w:p>
      <w:pPr>
        <w:pStyle w:val="Heading3"/>
        <w:rPr/>
      </w:pPr>
      <w:bookmarkStart w:id="20" w:name="__RefHeading___Toc523299265"/>
      <w:bookmarkEnd w:id="20"/>
      <w:r>
        <w:rPr/>
        <w:t>4)</w:t>
        <w:tab/>
        <w:t>Procurement Methodology to be Followed</w:t>
      </w:r>
    </w:p>
    <w:p>
      <w:pPr>
        <w:pStyle w:val="Normal"/>
        <w:rPr/>
      </w:pPr>
      <w:r>
        <w:rPr/>
      </w:r>
    </w:p>
    <w:p>
      <w:pPr>
        <w:pStyle w:val="BodyText2"/>
        <w:ind w:firstLine="720" w:end="0"/>
        <w:rPr/>
      </w:pPr>
      <w:r>
        <w:rPr/>
        <w:t xml:space="preserve">With ranges for the amount, timing, and type of resources being sought identified through the prior steps, the plan will next address the actual procurement process.  In this process, SDG&amp;E will identify the amount of CDWR and/or California Power Authority resources which it recommends that the CPUC dedicate to San Diego area customers. The plan will also specify the steps in procurement recommended for each resource type, and the more detailed evaluation that will be conducted to finalize the amount, timing, and type of each resource commitment.  </w:t>
      </w:r>
    </w:p>
    <w:p>
      <w:pPr>
        <w:pStyle w:val="BodyText2"/>
        <w:ind w:firstLine="720" w:end="0"/>
        <w:rPr/>
      </w:pPr>
      <w:r>
        <w:rPr/>
      </w:r>
    </w:p>
    <w:p>
      <w:pPr>
        <w:pStyle w:val="BodyText2"/>
        <w:ind w:firstLine="720" w:end="0"/>
        <w:rPr/>
      </w:pPr>
      <w:r>
        <w:rPr/>
      </w:r>
      <w:r>
        <w:br w:type="page"/>
      </w:r>
    </w:p>
    <w:p>
      <w:pPr>
        <w:pStyle w:val="BodyText2"/>
        <w:ind w:firstLine="720" w:end="0"/>
        <w:jc w:val="center"/>
        <w:rPr>
          <w:b/>
        </w:rPr>
      </w:pPr>
      <w:r>
        <w:rPr>
          <w:b/>
        </w:rPr>
        <w:t>PROCUREMENT PLAN WITHOUT CDWR AND POWER AUTHORITY RESOURCES</w:t>
      </w:r>
    </w:p>
    <w:p>
      <w:pPr>
        <w:pStyle w:val="BodyText2"/>
        <w:ind w:firstLine="720" w:end="0"/>
        <w:jc w:val="center"/>
        <w:rPr>
          <w:b/>
        </w:rPr>
      </w:pPr>
      <w:r>
        <w:rPr>
          <w:b/>
        </w:rPr>
      </w:r>
    </w:p>
    <w:p>
      <w:pPr>
        <w:pStyle w:val="BodyText2"/>
        <w:ind w:firstLine="720" w:end="0"/>
        <w:rPr/>
      </w:pPr>
      <w:r>
        <w:rPr/>
        <w:t>The plan first identifies the gaps to be filled by each resource product, without regard to where the added resources come from.  The table below shows how this information will be presented in the plan:</w:t>
      </w:r>
    </w:p>
    <w:p>
      <w:pPr>
        <w:pStyle w:val="BodyText2"/>
        <w:ind w:firstLine="720" w:end="0"/>
        <w:rPr/>
      </w:pPr>
      <w:r>
        <w:rPr/>
      </w:r>
    </w:p>
    <w:p>
      <w:pPr>
        <w:pStyle w:val="BodyText2"/>
        <w:ind w:firstLine="720" w:end="0"/>
        <w:rPr/>
      </w:pPr>
      <w:r>
        <w:rPr/>
      </w:r>
    </w:p>
    <w:p>
      <w:pPr>
        <w:pStyle w:val="BodyText2"/>
        <w:ind w:firstLine="720" w:end="0"/>
        <w:rPr>
          <w:lang w:val="en-CA"/>
        </w:rPr>
      </w:pPr>
      <w:r>
        <w:rPr>
          <w:lang w:val="en-CA"/>
        </w:rPr>
        <w:drawing>
          <wp:anchor behindDoc="0" distT="0" distB="0" distL="114935" distR="114935" simplePos="0" locked="0" layoutInCell="1" allowOverlap="1" relativeHeight="5">
            <wp:simplePos x="0" y="0"/>
            <wp:positionH relativeFrom="column">
              <wp:posOffset>411480</wp:posOffset>
            </wp:positionH>
            <wp:positionV relativeFrom="paragraph">
              <wp:posOffset>-204470</wp:posOffset>
            </wp:positionV>
            <wp:extent cx="5452745" cy="5883275"/>
            <wp:effectExtent l="0" t="0" r="0" b="0"/>
            <wp:wrapNone/>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6" t="-5" r="-6" b="-5"/>
                    <a:stretch>
                      <a:fillRect/>
                    </a:stretch>
                  </pic:blipFill>
                  <pic:spPr bwMode="auto">
                    <a:xfrm>
                      <a:off x="0" y="0"/>
                      <a:ext cx="5452745" cy="5883275"/>
                    </a:xfrm>
                    <a:prstGeom prst="rect">
                      <a:avLst/>
                    </a:prstGeom>
                    <a:noFill/>
                  </pic:spPr>
                </pic:pic>
              </a:graphicData>
            </a:graphic>
          </wp:anchor>
        </w:drawing>
      </w:r>
    </w:p>
    <w:p>
      <w:pPr>
        <w:pStyle w:val="BodyText2"/>
        <w:ind w:firstLine="720" w:end="0"/>
        <w:rPr/>
      </w:pPr>
      <w:r>
        <w:rPr/>
      </w:r>
    </w:p>
    <w:p>
      <w:pPr>
        <w:pStyle w:val="BodyText2"/>
        <w:ind w:firstLine="720" w:end="0"/>
        <w:rPr/>
      </w:pPr>
      <w:r>
        <w:rPr/>
      </w:r>
    </w:p>
    <w:p>
      <w:pPr>
        <w:pStyle w:val="BodyText2"/>
        <w:ind w:firstLine="720" w:end="0"/>
        <w:rPr/>
      </w:pPr>
      <w:r>
        <w:rPr/>
      </w:r>
    </w:p>
    <w:p>
      <w:pPr>
        <w:pStyle w:val="BodyText2"/>
        <w:ind w:firstLine="720" w:end="0"/>
        <w:rPr/>
      </w:pPr>
      <w:r>
        <w:rPr/>
      </w:r>
    </w:p>
    <w:p>
      <w:pPr>
        <w:pStyle w:val="BodyText2"/>
        <w:ind w:firstLine="720" w:end="0"/>
        <w:rPr/>
      </w:pPr>
      <w:r>
        <w:rPr/>
      </w:r>
    </w:p>
    <w:p>
      <w:pPr>
        <w:pStyle w:val="BodyText2"/>
        <w:ind w:firstLine="720" w:end="0"/>
        <w:rPr/>
      </w:pPr>
      <w:r>
        <w:rPr/>
      </w:r>
    </w:p>
    <w:p>
      <w:pPr>
        <w:pStyle w:val="BodyText2"/>
        <w:ind w:firstLine="720" w:end="0"/>
        <w:rPr/>
      </w:pPr>
      <w:r>
        <w:rPr/>
      </w:r>
    </w:p>
    <w:p>
      <w:pPr>
        <w:pStyle w:val="BodyText2"/>
        <w:ind w:firstLine="720" w:end="0"/>
        <w:rPr/>
      </w:pPr>
      <w:r>
        <w:rPr/>
      </w:r>
    </w:p>
    <w:p>
      <w:pPr>
        <w:pStyle w:val="BodyText2"/>
        <w:ind w:firstLine="720" w:end="0"/>
        <w:rPr/>
      </w:pPr>
      <w:r>
        <w:rPr/>
      </w:r>
    </w:p>
    <w:p>
      <w:pPr>
        <w:pStyle w:val="BodyText2"/>
        <w:ind w:firstLine="720" w:end="0"/>
        <w:rPr/>
      </w:pPr>
      <w:r>
        <w:rPr/>
      </w:r>
    </w:p>
    <w:p>
      <w:pPr>
        <w:pStyle w:val="BodyText2"/>
        <w:ind w:firstLine="720" w:end="0"/>
        <w:rPr/>
      </w:pPr>
      <w:r>
        <w:rPr/>
      </w:r>
    </w:p>
    <w:p>
      <w:pPr>
        <w:pStyle w:val="BodyText2"/>
        <w:ind w:firstLine="720" w:end="0"/>
        <w:rPr/>
      </w:pPr>
      <w:r>
        <w:rPr/>
      </w:r>
    </w:p>
    <w:p>
      <w:pPr>
        <w:pStyle w:val="BodyText2"/>
        <w:ind w:firstLine="720" w:end="0"/>
        <w:rPr/>
      </w:pPr>
      <w:r>
        <w:rPr/>
      </w:r>
    </w:p>
    <w:p>
      <w:pPr>
        <w:pStyle w:val="BodyText2"/>
        <w:ind w:firstLine="720" w:end="0"/>
        <w:rPr/>
      </w:pPr>
      <w:r>
        <w:rPr/>
      </w:r>
    </w:p>
    <w:p>
      <w:pPr>
        <w:pStyle w:val="BodyText2"/>
        <w:ind w:firstLine="720" w:end="0"/>
        <w:rPr/>
      </w:pPr>
      <w:r>
        <w:rPr/>
      </w:r>
    </w:p>
    <w:p>
      <w:pPr>
        <w:pStyle w:val="BodyText2"/>
        <w:ind w:firstLine="720" w:end="0"/>
        <w:rPr>
          <w:lang w:val="en-CA"/>
        </w:rPr>
      </w:pPr>
      <w:r>
        <w:rPr>
          <w:lang w:val="en-CA"/>
        </w:rPr>
      </w:r>
      <w:r>
        <mc:AlternateContent>
          <mc:Choice Requires="wps">
            <w:drawing>
              <wp:anchor behindDoc="0" distT="0" distB="0" distL="114935" distR="114935" simplePos="0" locked="0" layoutInCell="1" allowOverlap="1" relativeHeight="6">
                <wp:simplePos x="0" y="0"/>
                <wp:positionH relativeFrom="column">
                  <wp:posOffset>2235835</wp:posOffset>
                </wp:positionH>
                <wp:positionV relativeFrom="paragraph">
                  <wp:posOffset>74930</wp:posOffset>
                </wp:positionV>
                <wp:extent cx="2843530" cy="1197610"/>
                <wp:effectExtent l="0" t="0" r="0" b="0"/>
                <wp:wrapNone/>
                <wp:docPr id="4" name="Frame1"/>
                <a:graphic xmlns:a="http://schemas.openxmlformats.org/drawingml/2006/main">
                  <a:graphicData uri="http://schemas.microsoft.com/office/word/2010/wordprocessingShape">
                    <wps:wsp>
                      <wps:cNvSpPr txBox="1"/>
                      <wps:spPr>
                        <a:xfrm>
                          <a:off x="0" y="0"/>
                          <a:ext cx="2843530" cy="1197610"/>
                        </a:xfrm>
                        <a:prstGeom prst="rect"/>
                        <a:solidFill>
                          <a:srgbClr val="FFFFFF"/>
                        </a:solidFill>
                        <a:ln w="9525">
                          <a:solidFill>
                            <a:srgbClr val="000000"/>
                          </a:solidFill>
                        </a:ln>
                      </wps:spPr>
                      <wps:txbx>
                        <w:txbxContent>
                          <w:p>
                            <w:pPr>
                              <w:pStyle w:val="Normal"/>
                              <w:rPr/>
                            </w:pPr>
                            <w:r>
                              <w:rPr/>
                              <w:t>THE ACTUAL PLAN WILL SHOW THE AMOUNT OF EACH TYPE OF RESOURCE IDENTIFIED IN THIS SECTION WHICH SHOULD BE PROCURED.  AT THIS POINT, NO PLAN HAS BEEN PREPARED, SO THIS ILLUSTRATION LEAVES THIS SECTION BLANK.</w:t>
                            </w:r>
                          </w:p>
                        </w:txbxContent>
                      </wps:txbx>
                      <wps:bodyPr anchor="t" lIns="91440" tIns="45720" rIns="91440" bIns="45720">
                        <a:noAutofit/>
                      </wps:bodyPr>
                    </wps:wsp>
                  </a:graphicData>
                </a:graphic>
              </wp:anchor>
            </w:drawing>
          </mc:Choice>
          <mc:Fallback>
            <w:pict>
              <v:rect fillcolor="#FFFFFF" strokecolor="#000000" strokeweight="0pt" style="position:absolute;rotation:-0;width:223.9pt;height:94.3pt;mso-wrap-distance-left:9.05pt;mso-wrap-distance-right:9.05pt;mso-wrap-distance-top:0pt;mso-wrap-distance-bottom:0pt;margin-top:5.9pt;mso-position-vertical-relative:text;margin-left:176.05pt;mso-position-horizontal-relative:text">
                <v:textbox>
                  <w:txbxContent>
                    <w:p>
                      <w:pPr>
                        <w:pStyle w:val="Normal"/>
                        <w:rPr/>
                      </w:pPr>
                      <w:r>
                        <w:rPr/>
                        <w:t>THE ACTUAL PLAN WILL SHOW THE AMOUNT OF EACH TYPE OF RESOURCE IDENTIFIED IN THIS SECTION WHICH SHOULD BE PROCURED.  AT THIS POINT, NO PLAN HAS BEEN PREPARED, SO THIS ILLUSTRATION LEAVES THIS SECTION BLANK.</w:t>
                      </w:r>
                    </w:p>
                  </w:txbxContent>
                </v:textbox>
                <w10:wrap type="none"/>
              </v:rect>
            </w:pict>
          </mc:Fallback>
        </mc:AlternateContent>
      </w:r>
    </w:p>
    <w:p>
      <w:pPr>
        <w:pStyle w:val="BodyText2"/>
        <w:ind w:firstLine="720" w:end="0"/>
        <w:rPr/>
      </w:pPr>
      <w:r>
        <w:rPr/>
      </w:r>
    </w:p>
    <w:p>
      <w:pPr>
        <w:pStyle w:val="BodyText2"/>
        <w:ind w:firstLine="720" w:end="0"/>
        <w:rPr/>
      </w:pPr>
      <w:r>
        <w:rPr/>
      </w:r>
    </w:p>
    <w:p>
      <w:pPr>
        <w:pStyle w:val="BodyText2"/>
        <w:ind w:firstLine="720" w:end="0"/>
        <w:rPr/>
      </w:pPr>
      <w:r>
        <w:rPr/>
      </w:r>
    </w:p>
    <w:p>
      <w:pPr>
        <w:pStyle w:val="BodyText2"/>
        <w:ind w:firstLine="720" w:end="0"/>
        <w:rPr/>
      </w:pPr>
      <w:r>
        <w:rPr/>
      </w:r>
    </w:p>
    <w:p>
      <w:pPr>
        <w:pStyle w:val="BodyText2"/>
        <w:ind w:firstLine="720" w:end="0"/>
        <w:rPr/>
      </w:pPr>
      <w:r>
        <w:rPr/>
      </w:r>
    </w:p>
    <w:p>
      <w:pPr>
        <w:pStyle w:val="BodyText2"/>
        <w:ind w:firstLine="720" w:end="0"/>
        <w:rPr/>
      </w:pPr>
      <w:r>
        <w:rPr/>
      </w:r>
    </w:p>
    <w:p>
      <w:pPr>
        <w:pStyle w:val="BodyText2"/>
        <w:ind w:firstLine="720" w:end="0"/>
        <w:rPr/>
      </w:pPr>
      <w:r>
        <w:rPr/>
      </w:r>
    </w:p>
    <w:p>
      <w:pPr>
        <w:pStyle w:val="BodyText2"/>
        <w:ind w:firstLine="720" w:end="0"/>
        <w:rPr/>
      </w:pPr>
      <w:r>
        <w:rPr/>
      </w:r>
    </w:p>
    <w:p>
      <w:pPr>
        <w:pStyle w:val="BodyText2"/>
        <w:ind w:firstLine="720" w:end="0"/>
        <w:rPr/>
      </w:pPr>
      <w:r>
        <w:rPr/>
      </w:r>
    </w:p>
    <w:p>
      <w:pPr>
        <w:pStyle w:val="BodyText2"/>
        <w:ind w:firstLine="720" w:end="0"/>
        <w:rPr/>
      </w:pPr>
      <w:r>
        <w:rPr/>
      </w:r>
    </w:p>
    <w:p>
      <w:pPr>
        <w:pStyle w:val="BodyText2"/>
        <w:ind w:firstLine="720" w:end="0"/>
        <w:rPr/>
      </w:pPr>
      <w:r>
        <w:rPr/>
      </w:r>
    </w:p>
    <w:p>
      <w:pPr>
        <w:pStyle w:val="BodyText2"/>
        <w:ind w:firstLine="720" w:end="0"/>
        <w:rPr/>
      </w:pPr>
      <w:r>
        <w:rPr/>
      </w:r>
    </w:p>
    <w:p>
      <w:pPr>
        <w:pStyle w:val="BodyText2"/>
        <w:ind w:firstLine="720" w:end="0"/>
        <w:rPr/>
      </w:pPr>
      <w:r>
        <w:rPr/>
      </w:r>
    </w:p>
    <w:p>
      <w:pPr>
        <w:pStyle w:val="BodyText2"/>
        <w:ind w:firstLine="720" w:end="0"/>
        <w:rPr/>
      </w:pPr>
      <w:r>
        <w:rPr/>
      </w:r>
    </w:p>
    <w:p>
      <w:pPr>
        <w:pStyle w:val="BodyText2"/>
        <w:ind w:firstLine="720" w:end="0"/>
        <w:rPr/>
      </w:pPr>
      <w:r>
        <w:rPr/>
      </w:r>
    </w:p>
    <w:p>
      <w:pPr>
        <w:pStyle w:val="Normal"/>
        <w:rPr>
          <w:sz w:val="28"/>
          <w:u w:val="single"/>
        </w:rPr>
      </w:pPr>
      <w:r>
        <w:rPr>
          <w:sz w:val="28"/>
          <w:u w:val="single"/>
        </w:rPr>
        <w:t>CDWR, California Power Authority Resources</w:t>
      </w:r>
    </w:p>
    <w:p>
      <w:pPr>
        <w:pStyle w:val="Normal"/>
        <w:rPr>
          <w:sz w:val="28"/>
          <w:u w:val="single"/>
        </w:rPr>
      </w:pPr>
      <w:r>
        <w:rPr>
          <w:sz w:val="28"/>
          <w:u w:val="single"/>
        </w:rPr>
      </w:r>
    </w:p>
    <w:p>
      <w:pPr>
        <w:pStyle w:val="Normal"/>
        <w:ind w:firstLine="720" w:end="0"/>
        <w:rPr>
          <w:sz w:val="28"/>
        </w:rPr>
      </w:pPr>
      <w:r>
        <w:rPr>
          <w:sz w:val="28"/>
        </w:rPr>
        <w:t xml:space="preserve">SDG&amp;E recognizes that at this juncture, the process for determining the amount and timing of CDWR and perhaps California Power Authority resources to be supplied by these entities to retail customers in the SDG&amp;E service area has yet to be determined.  Clearly, it will be necessary to understand this process before a comprehensive plan can be prepared, since SDG&amp;E’s role in procurement will be shaped considerably by the outcome of this determination. </w:t>
      </w:r>
    </w:p>
    <w:p>
      <w:pPr>
        <w:pStyle w:val="Normal"/>
        <w:rPr>
          <w:sz w:val="28"/>
        </w:rPr>
      </w:pPr>
      <w:r>
        <w:rPr>
          <w:sz w:val="28"/>
        </w:rPr>
      </w:r>
    </w:p>
    <w:p>
      <w:pPr>
        <w:pStyle w:val="Normal"/>
        <w:ind w:firstLine="720" w:end="0"/>
        <w:rPr>
          <w:sz w:val="28"/>
        </w:rPr>
      </w:pPr>
      <w:r>
        <w:rPr>
          <w:sz w:val="28"/>
        </w:rPr>
        <w:t xml:space="preserve">SDG&amp;E believes that the amount and timing of CDWR and/or California Power Authority resources to be supplied by these entities to retail customers in the SDG&amp;E service area should be determined through the annual procurement plan process, and that the CPUC’s approved amounts and timing of these resources should govern the allocation of these resource to customers in San Diego. This is a necessary step to avoid the potential for significant confusion and duplicative procurement which would arise if there is no clear decision on how much of these resources are needed by (and provided to) San Diego area customers by these entities prior to determining SDG&amp;E’s obligation to secure the remainder of their total need for each product.  </w:t>
      </w:r>
    </w:p>
    <w:p>
      <w:pPr>
        <w:pStyle w:val="Normal"/>
        <w:rPr>
          <w:sz w:val="28"/>
        </w:rPr>
      </w:pPr>
      <w:r>
        <w:rPr>
          <w:sz w:val="28"/>
        </w:rPr>
      </w:r>
    </w:p>
    <w:p>
      <w:pPr>
        <w:pStyle w:val="Normal"/>
        <w:ind w:firstLine="720" w:end="0"/>
        <w:rPr>
          <w:sz w:val="28"/>
        </w:rPr>
      </w:pPr>
      <w:r>
        <w:rPr>
          <w:sz w:val="28"/>
        </w:rPr>
        <w:t xml:space="preserve">Post-2002, when the CDWR is no longer procuring additional resources for California, their existing portfolio, as well as whatever portfolio is developed by the California Power Authority, should look like any other resource to San Diego area customers; if the approved plan determines a given need for a product, customers should contract for it from these entities; if the plan indicates that customers do not need a product, they should not be required to buy it. The distinction between this relationship and contracts with conventional suppliers in the San Diego area is that, after URG, customers will give first preference to resources from the CDWR and California Power Authority, and only seek other suppliers (through SDG&amp;E’s procurement) in the event there is a shortfall of a given product.  In practice, this means that for any product identified in the CPUC-approved plan as needed to supplement the amount of that product available from SDG&amp;E’s retained generation, San Diegans will purchase that product first from the CDWR and/or California Power Authority, up to the amount needed, but no more than that amount. </w:t>
      </w:r>
    </w:p>
    <w:p>
      <w:pPr>
        <w:pStyle w:val="Normal"/>
        <w:ind w:firstLine="720" w:end="0"/>
        <w:rPr>
          <w:sz w:val="28"/>
        </w:rPr>
      </w:pPr>
      <w:r>
        <w:rPr>
          <w:sz w:val="28"/>
        </w:rPr>
      </w:r>
    </w:p>
    <w:p>
      <w:pPr>
        <w:pStyle w:val="Normal"/>
        <w:ind w:firstLine="720" w:end="0"/>
        <w:rPr>
          <w:sz w:val="28"/>
        </w:rPr>
      </w:pPr>
      <w:r>
        <w:rPr>
          <w:sz w:val="28"/>
        </w:rPr>
      </w:r>
    </w:p>
    <w:p>
      <w:pPr>
        <w:pStyle w:val="BodyTextIndent3"/>
        <w:rPr>
          <w:b/>
        </w:rPr>
      </w:pPr>
      <w:r>
        <w:rPr>
          <w:b/>
        </w:rPr>
        <w:t>PROCUREMENT PLAN INCLUDING CDWR AND POWER AUTHORITY RESOURCES</w:t>
      </w:r>
    </w:p>
    <w:p>
      <w:pPr>
        <w:pStyle w:val="Normal"/>
        <w:ind w:firstLine="720" w:end="0"/>
        <w:jc w:val="center"/>
        <w:rPr>
          <w:b/>
          <w:sz w:val="28"/>
        </w:rPr>
      </w:pPr>
      <w:r>
        <w:rPr>
          <w:b/>
          <w:sz w:val="28"/>
        </w:rPr>
      </w:r>
    </w:p>
    <w:p>
      <w:pPr>
        <w:pStyle w:val="Normal"/>
        <w:ind w:firstLine="720" w:end="0"/>
        <w:rPr>
          <w:sz w:val="28"/>
        </w:rPr>
      </w:pPr>
      <w:r>
        <w:rPr>
          <w:sz w:val="28"/>
        </w:rPr>
        <w:t>The table below illustrates how the recommended plan will identify the amounts of CDWR and California Power Authority resources that should be sold by these entities to San Diegans:</w:t>
      </w:r>
    </w:p>
    <w:p>
      <w:pPr>
        <w:pStyle w:val="Normal"/>
        <w:rPr>
          <w:sz w:val="28"/>
          <w:lang w:val="en-CA"/>
        </w:rPr>
      </w:pPr>
      <w:r>
        <w:rPr>
          <w:sz w:val="28"/>
          <w:lang w:val="en-CA"/>
        </w:rPr>
        <w:drawing>
          <wp:anchor behindDoc="0" distT="0" distB="0" distL="114935" distR="114935" simplePos="0" locked="0" layoutInCell="1" allowOverlap="1" relativeHeight="8">
            <wp:simplePos x="0" y="0"/>
            <wp:positionH relativeFrom="column">
              <wp:posOffset>-45720</wp:posOffset>
            </wp:positionH>
            <wp:positionV relativeFrom="paragraph">
              <wp:posOffset>91440</wp:posOffset>
            </wp:positionV>
            <wp:extent cx="5415915" cy="6805295"/>
            <wp:effectExtent l="0" t="0" r="0" b="0"/>
            <wp:wrapNone/>
            <wp:docPr id="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title=""/>
                    <pic:cNvPicPr>
                      <a:picLocks noChangeAspect="1" noChangeArrowheads="1"/>
                    </pic:cNvPicPr>
                  </pic:nvPicPr>
                  <pic:blipFill>
                    <a:blip r:embed="rId5"/>
                    <a:srcRect l="-6" t="-5" r="-6" b="-5"/>
                    <a:stretch>
                      <a:fillRect/>
                    </a:stretch>
                  </pic:blipFill>
                  <pic:spPr bwMode="auto">
                    <a:xfrm>
                      <a:off x="0" y="0"/>
                      <a:ext cx="5415915" cy="6805295"/>
                    </a:xfrm>
                    <a:prstGeom prst="rect">
                      <a:avLst/>
                    </a:prstGeom>
                    <a:noFill/>
                  </pic:spPr>
                </pic:pic>
              </a:graphicData>
            </a:graphic>
          </wp:anchor>
        </w:drawing>
      </w:r>
      <w:r>
        <mc:AlternateContent>
          <mc:Choice Requires="wps">
            <w:drawing>
              <wp:anchor behindDoc="0" distT="0" distB="0" distL="114935" distR="114935" simplePos="0" locked="0" layoutInCell="1" allowOverlap="1" relativeHeight="9">
                <wp:simplePos x="0" y="0"/>
                <wp:positionH relativeFrom="column">
                  <wp:posOffset>1778635</wp:posOffset>
                </wp:positionH>
                <wp:positionV relativeFrom="paragraph">
                  <wp:posOffset>3470275</wp:posOffset>
                </wp:positionV>
                <wp:extent cx="2752090" cy="740410"/>
                <wp:effectExtent l="0" t="0" r="0" b="0"/>
                <wp:wrapNone/>
                <wp:docPr id="6" name="Frame3"/>
                <a:graphic xmlns:a="http://schemas.openxmlformats.org/drawingml/2006/main">
                  <a:graphicData uri="http://schemas.microsoft.com/office/word/2010/wordprocessingShape">
                    <wps:wsp>
                      <wps:cNvSpPr txBox="1"/>
                      <wps:spPr>
                        <a:xfrm>
                          <a:off x="0" y="0"/>
                          <a:ext cx="2752090" cy="740410"/>
                        </a:xfrm>
                        <a:prstGeom prst="rect"/>
                        <a:solidFill>
                          <a:srgbClr val="FFFFFF"/>
                        </a:solidFill>
                        <a:ln w="9525">
                          <a:solidFill>
                            <a:srgbClr val="000000"/>
                          </a:solidFill>
                        </a:ln>
                      </wps:spPr>
                      <wps:txbx>
                        <w:txbxContent>
                          <w:p>
                            <w:pPr>
                              <w:pStyle w:val="Normal"/>
                              <w:rPr/>
                            </w:pPr>
                            <w:r>
                              <w:rPr/>
                              <w:t>THE ACTUAL PLAN WILL SHOW THE AMOUNT OF THE TOTAL  NEED FOR EACH PRODUCT WHICH IS AVAILABLE FROM THE CDW / CA POWER AUTHORITY</w:t>
                            </w:r>
                          </w:p>
                        </w:txbxContent>
                      </wps:txbx>
                      <wps:bodyPr anchor="t" lIns="91440" tIns="45720" rIns="91440" bIns="45720">
                        <a:noAutofit/>
                      </wps:bodyPr>
                    </wps:wsp>
                  </a:graphicData>
                </a:graphic>
              </wp:anchor>
            </w:drawing>
          </mc:Choice>
          <mc:Fallback>
            <w:pict>
              <v:rect fillcolor="#FFFFFF" strokecolor="#000000" strokeweight="0pt" style="position:absolute;rotation:-0;width:216.7pt;height:58.3pt;mso-wrap-distance-left:9.05pt;mso-wrap-distance-right:9.05pt;mso-wrap-distance-top:0pt;mso-wrap-distance-bottom:0pt;margin-top:273.25pt;mso-position-vertical-relative:text;margin-left:140.05pt;mso-position-horizontal-relative:text">
                <v:textbox>
                  <w:txbxContent>
                    <w:p>
                      <w:pPr>
                        <w:pStyle w:val="Normal"/>
                        <w:rPr/>
                      </w:pPr>
                      <w:r>
                        <w:rPr/>
                        <w:t>THE ACTUAL PLAN WILL SHOW THE AMOUNT OF THE TOTAL  NEED FOR EACH PRODUCT WHICH IS AVAILABLE FROM THE CDW / CA POWER AUTHORITY</w:t>
                      </w:r>
                    </w:p>
                  </w:txbxContent>
                </v:textbox>
                <w10:wrap type="none"/>
              </v:rect>
            </w:pict>
          </mc:Fallback>
        </mc:AlternateContent>
      </w:r>
      <w:r>
        <mc:AlternateContent>
          <mc:Choice Requires="wps">
            <w:drawing>
              <wp:anchor behindDoc="0" distT="0" distB="0" distL="114935" distR="114935" simplePos="0" locked="0" layoutInCell="1" allowOverlap="1" relativeHeight="10">
                <wp:simplePos x="0" y="0"/>
                <wp:positionH relativeFrom="column">
                  <wp:posOffset>1778635</wp:posOffset>
                </wp:positionH>
                <wp:positionV relativeFrom="paragraph">
                  <wp:posOffset>4658995</wp:posOffset>
                </wp:positionV>
                <wp:extent cx="2569210" cy="1106170"/>
                <wp:effectExtent l="0" t="0" r="0" b="0"/>
                <wp:wrapNone/>
                <wp:docPr id="7" name="Frame2"/>
                <a:graphic xmlns:a="http://schemas.openxmlformats.org/drawingml/2006/main">
                  <a:graphicData uri="http://schemas.microsoft.com/office/word/2010/wordprocessingShape">
                    <wps:wsp>
                      <wps:cNvSpPr txBox="1"/>
                      <wps:spPr>
                        <a:xfrm>
                          <a:off x="0" y="0"/>
                          <a:ext cx="2569210" cy="1106170"/>
                        </a:xfrm>
                        <a:prstGeom prst="rect"/>
                        <a:solidFill>
                          <a:srgbClr val="FFFFFF"/>
                        </a:solidFill>
                        <a:ln w="9525">
                          <a:solidFill>
                            <a:srgbClr val="000000"/>
                          </a:solidFill>
                        </a:ln>
                      </wps:spPr>
                      <wps:txbx>
                        <w:txbxContent>
                          <w:p>
                            <w:pPr>
                              <w:pStyle w:val="Normal"/>
                              <w:rPr/>
                            </w:pPr>
                            <w:r>
                              <w:rPr/>
                              <w:t>THE ACTUAL PLAN WILL SHOW THE REMAINING NEED FOR EACH PRODUCT (AFTER DWR / CA POWER AUTHORITY RESOURCES HAVE BEEN RESOLVED), WHICH MUST  BE PROCURED BY SDG&amp;E</w:t>
                            </w:r>
                          </w:p>
                        </w:txbxContent>
                      </wps:txbx>
                      <wps:bodyPr anchor="t" lIns="91440" tIns="45720" rIns="91440" bIns="45720">
                        <a:noAutofit/>
                      </wps:bodyPr>
                    </wps:wsp>
                  </a:graphicData>
                </a:graphic>
              </wp:anchor>
            </w:drawing>
          </mc:Choice>
          <mc:Fallback>
            <w:pict>
              <v:rect fillcolor="#FFFFFF" strokecolor="#000000" strokeweight="0pt" style="position:absolute;rotation:-0;width:202.3pt;height:87.1pt;mso-wrap-distance-left:9.05pt;mso-wrap-distance-right:9.05pt;mso-wrap-distance-top:0pt;mso-wrap-distance-bottom:0pt;margin-top:366.85pt;mso-position-vertical-relative:text;margin-left:140.05pt;mso-position-horizontal-relative:text">
                <v:textbox>
                  <w:txbxContent>
                    <w:p>
                      <w:pPr>
                        <w:pStyle w:val="Normal"/>
                        <w:rPr/>
                      </w:pPr>
                      <w:r>
                        <w:rPr/>
                        <w:t>THE ACTUAL PLAN WILL SHOW THE REMAINING NEED FOR EACH PRODUCT (AFTER DWR / CA POWER AUTHORITY RESOURCES HAVE BEEN RESOLVED), WHICH MUST  BE PROCURED BY SDG&amp;E</w:t>
                      </w:r>
                    </w:p>
                  </w:txbxContent>
                </v:textbox>
                <w10:wrap type="none"/>
              </v:rect>
            </w:pict>
          </mc:Fallback>
        </mc:AlternateConten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ind w:firstLine="720" w:end="0"/>
        <w:rPr>
          <w:sz w:val="28"/>
        </w:rPr>
      </w:pPr>
      <w:r>
        <w:rPr>
          <w:sz w:val="28"/>
        </w:rPr>
        <w:t>In approving this procurement methodology, the CPUC will set an amount of CDWR and California Power Authority resources that are outside of SDG&amp;E’s responsibility with respect to procurement cost recovery and contract administration, since these resources are supplied directly to San Diego area customers by these entities.  SDG&amp;E will have no reasonableness risk or responsibility for these resources since they were acquired by these agencies and dedicated directly to customers.</w:t>
      </w:r>
    </w:p>
    <w:p>
      <w:pPr>
        <w:pStyle w:val="Normal"/>
        <w:ind w:firstLine="720" w:end="0"/>
        <w:rPr>
          <w:sz w:val="28"/>
        </w:rPr>
      </w:pPr>
      <w:r>
        <w:rPr>
          <w:sz w:val="28"/>
        </w:rPr>
      </w:r>
    </w:p>
    <w:p>
      <w:pPr>
        <w:pStyle w:val="Normal"/>
        <w:rPr>
          <w:sz w:val="28"/>
          <w:u w:val="single"/>
        </w:rPr>
      </w:pPr>
      <w:r>
        <w:rPr>
          <w:sz w:val="28"/>
          <w:u w:val="single"/>
        </w:rPr>
        <w:t>Other Resources</w:t>
      </w:r>
    </w:p>
    <w:p>
      <w:pPr>
        <w:pStyle w:val="Normal"/>
        <w:rPr>
          <w:sz w:val="28"/>
          <w:u w:val="single"/>
        </w:rPr>
      </w:pPr>
      <w:r>
        <w:rPr>
          <w:sz w:val="28"/>
          <w:u w:val="single"/>
        </w:rPr>
      </w:r>
    </w:p>
    <w:p>
      <w:pPr>
        <w:pStyle w:val="BodyText2"/>
        <w:ind w:firstLine="720" w:end="0"/>
        <w:rPr/>
      </w:pPr>
      <w:r>
        <w:rPr/>
        <w:t xml:space="preserve">For products not supplied directly to San Diegans by the CDWR and/or Power Authority, the method of procurement SDG&amp;E will propose to use will vary by product.  The methods are driven by the kinds of markets in which each product is procured, and by prevailing (and evolving) best practices for procurement.  </w:t>
      </w:r>
    </w:p>
    <w:p>
      <w:pPr>
        <w:pStyle w:val="Normal"/>
        <w:rPr>
          <w:sz w:val="28"/>
        </w:rPr>
      </w:pPr>
      <w:r>
        <w:rPr>
          <w:sz w:val="28"/>
        </w:rPr>
      </w:r>
    </w:p>
    <w:p>
      <w:pPr>
        <w:pStyle w:val="Normal"/>
        <w:rPr/>
      </w:pPr>
      <w:r>
        <w:rPr>
          <w:i/>
          <w:sz w:val="28"/>
        </w:rPr>
        <w:t>Long-term products</w:t>
      </w:r>
      <w:r>
        <w:rPr>
          <w:sz w:val="28"/>
        </w:rPr>
        <w:t>:</w:t>
      </w:r>
    </w:p>
    <w:p>
      <w:pPr>
        <w:pStyle w:val="Normal"/>
        <w:rPr>
          <w:sz w:val="28"/>
        </w:rPr>
      </w:pPr>
      <w:r>
        <w:rPr>
          <w:sz w:val="28"/>
        </w:rPr>
      </w:r>
    </w:p>
    <w:p>
      <w:pPr>
        <w:pStyle w:val="Normal"/>
        <w:ind w:firstLine="720" w:end="0"/>
        <w:rPr>
          <w:sz w:val="28"/>
        </w:rPr>
      </w:pPr>
      <w:r>
        <w:rPr>
          <w:sz w:val="28"/>
        </w:rPr>
        <w:t>Longer-term products such as those serving Base Requirements and Customized Profile Requirements will be procured through RFPs.  This process has been used successfully by SDG&amp;E and others for years, and is both well understood and well-defined. RFPs provide both the buyer and seller with assurance that a fair, market-based process has led to contract awards.  They also provide assurance to the CPUC that procurement consistent with the approved plan and RFP is eligible for full cost recovery.</w:t>
      </w:r>
    </w:p>
    <w:p>
      <w:pPr>
        <w:pStyle w:val="Normal"/>
        <w:ind w:firstLine="720" w:end="0"/>
        <w:rPr>
          <w:sz w:val="28"/>
        </w:rPr>
      </w:pPr>
      <w:r>
        <w:rPr>
          <w:sz w:val="28"/>
        </w:rPr>
      </w:r>
    </w:p>
    <w:p>
      <w:pPr>
        <w:pStyle w:val="Normal"/>
        <w:ind w:firstLine="720" w:end="0"/>
        <w:rPr>
          <w:sz w:val="28"/>
        </w:rPr>
      </w:pPr>
      <w:r>
        <w:rPr>
          <w:sz w:val="28"/>
        </w:rPr>
        <w:t>SDG&amp;E’s RFPs will be defined in detail in the confidential plan submitted to the CPUC; a general description of their attributes is given below.  RFPs will include:</w:t>
      </w:r>
    </w:p>
    <w:p>
      <w:pPr>
        <w:pStyle w:val="Normal"/>
        <w:ind w:firstLine="720" w:end="0"/>
        <w:rPr>
          <w:sz w:val="28"/>
        </w:rPr>
      </w:pPr>
      <w:r>
        <w:rPr>
          <w:sz w:val="28"/>
        </w:rPr>
      </w:r>
    </w:p>
    <w:p>
      <w:pPr>
        <w:pStyle w:val="Normal"/>
        <w:ind w:hanging="180" w:start="900" w:end="0"/>
        <w:rPr/>
      </w:pPr>
      <w:r>
        <w:rPr>
          <w:sz w:val="28"/>
        </w:rPr>
        <w:t>--</w:t>
      </w:r>
      <w:r>
        <w:rPr>
          <w:i/>
          <w:sz w:val="28"/>
        </w:rPr>
        <w:t>Credit Requirements</w:t>
      </w:r>
      <w:r>
        <w:rPr>
          <w:sz w:val="28"/>
        </w:rPr>
        <w:t>, including processes for a seller’s obtaining credit enhancements if they are not investment grade</w:t>
      </w:r>
    </w:p>
    <w:p>
      <w:pPr>
        <w:pStyle w:val="Normal"/>
        <w:ind w:hanging="180" w:start="900" w:end="0"/>
        <w:rPr/>
      </w:pPr>
      <w:r>
        <w:rPr>
          <w:sz w:val="28"/>
        </w:rPr>
        <w:t>--</w:t>
      </w:r>
      <w:r>
        <w:rPr>
          <w:i/>
          <w:sz w:val="28"/>
        </w:rPr>
        <w:t>Form of Contracts</w:t>
      </w:r>
      <w:r>
        <w:rPr>
          <w:sz w:val="28"/>
        </w:rPr>
        <w:t>, such as use of the Edison Electric Institute’s form confirmation and cover sheet, FERC filings, etc.</w:t>
      </w:r>
    </w:p>
    <w:p>
      <w:pPr>
        <w:pStyle w:val="Normal"/>
        <w:ind w:start="720" w:end="0"/>
        <w:rPr/>
      </w:pPr>
      <w:r>
        <w:rPr>
          <w:sz w:val="28"/>
        </w:rPr>
        <w:t>--</w:t>
      </w:r>
      <w:r>
        <w:rPr>
          <w:i/>
          <w:sz w:val="28"/>
        </w:rPr>
        <w:t>Broad Distribution</w:t>
      </w:r>
      <w:r>
        <w:rPr>
          <w:sz w:val="28"/>
        </w:rPr>
        <w:t xml:space="preserve"> of the RFP to a current list of potential bidders</w:t>
      </w:r>
    </w:p>
    <w:p>
      <w:pPr>
        <w:pStyle w:val="Normal"/>
        <w:ind w:start="720" w:end="0"/>
        <w:rPr/>
      </w:pPr>
      <w:r>
        <w:rPr>
          <w:sz w:val="28"/>
        </w:rPr>
        <w:t>--</w:t>
      </w:r>
      <w:r>
        <w:rPr>
          <w:i/>
          <w:sz w:val="28"/>
        </w:rPr>
        <w:t>Designated Timing</w:t>
      </w:r>
      <w:r>
        <w:rPr>
          <w:sz w:val="28"/>
        </w:rPr>
        <w:t xml:space="preserve"> for RFP response</w:t>
      </w:r>
    </w:p>
    <w:p>
      <w:pPr>
        <w:pStyle w:val="Normal"/>
        <w:ind w:start="720" w:end="0"/>
        <w:rPr>
          <w:sz w:val="28"/>
        </w:rPr>
      </w:pPr>
      <w:r>
        <w:rPr>
          <w:sz w:val="28"/>
        </w:rPr>
      </w:r>
    </w:p>
    <w:p>
      <w:pPr>
        <w:pStyle w:val="BodyText2"/>
        <w:ind w:firstLine="720" w:end="0"/>
        <w:rPr/>
      </w:pPr>
      <w:r>
        <w:rPr/>
        <w:t>In addition, the plan submitted to the CPUC will include confidential information concerning other important elements of the RFPs, including:</w:t>
      </w:r>
    </w:p>
    <w:p>
      <w:pPr>
        <w:pStyle w:val="Normal"/>
        <w:rPr>
          <w:sz w:val="28"/>
        </w:rPr>
      </w:pPr>
      <w:r>
        <w:rPr>
          <w:sz w:val="28"/>
        </w:rPr>
      </w:r>
    </w:p>
    <w:p>
      <w:pPr>
        <w:pStyle w:val="Normal"/>
        <w:ind w:hanging="180" w:start="900" w:end="0"/>
        <w:rPr/>
      </w:pPr>
      <w:r>
        <w:rPr>
          <w:sz w:val="28"/>
        </w:rPr>
        <w:t>--</w:t>
      </w:r>
      <w:r>
        <w:rPr>
          <w:i/>
          <w:sz w:val="28"/>
        </w:rPr>
        <w:t>Number and Frequency</w:t>
      </w:r>
      <w:r>
        <w:rPr>
          <w:sz w:val="28"/>
        </w:rPr>
        <w:t xml:space="preserve"> of RFPs expected to be issued for each product</w:t>
      </w:r>
    </w:p>
    <w:p>
      <w:pPr>
        <w:pStyle w:val="Normal"/>
        <w:ind w:hanging="180" w:start="900" w:end="0"/>
        <w:rPr/>
      </w:pPr>
      <w:r>
        <w:rPr>
          <w:sz w:val="28"/>
        </w:rPr>
        <w:t>--</w:t>
      </w:r>
      <w:r>
        <w:rPr>
          <w:i/>
          <w:sz w:val="28"/>
        </w:rPr>
        <w:t>Minimum number of Bids</w:t>
      </w:r>
      <w:r>
        <w:rPr>
          <w:sz w:val="28"/>
        </w:rPr>
        <w:t xml:space="preserve"> to constitute a valid RFP for further analysis and award</w:t>
      </w:r>
    </w:p>
    <w:p>
      <w:pPr>
        <w:pStyle w:val="Normal"/>
        <w:ind w:start="720" w:end="0"/>
        <w:rPr/>
      </w:pPr>
      <w:r>
        <w:rPr>
          <w:sz w:val="28"/>
        </w:rPr>
        <w:t>--</w:t>
      </w:r>
      <w:r>
        <w:rPr>
          <w:i/>
          <w:sz w:val="28"/>
        </w:rPr>
        <w:t>Procedures</w:t>
      </w:r>
      <w:r>
        <w:rPr>
          <w:sz w:val="28"/>
        </w:rPr>
        <w:t xml:space="preserve"> to be followed in event of under-subscribed RFP</w:t>
      </w:r>
    </w:p>
    <w:p>
      <w:pPr>
        <w:pStyle w:val="Normal"/>
        <w:ind w:start="720" w:end="0"/>
        <w:rPr>
          <w:sz w:val="28"/>
        </w:rPr>
      </w:pPr>
      <w:r>
        <w:rPr>
          <w:sz w:val="28"/>
        </w:rPr>
        <w:t>--</w:t>
      </w:r>
      <w:r>
        <w:rPr>
          <w:i/>
          <w:sz w:val="28"/>
        </w:rPr>
        <w:t>Bid Ranking and Award Criteria</w:t>
      </w:r>
    </w:p>
    <w:p>
      <w:pPr>
        <w:pStyle w:val="Normal"/>
        <w:rPr>
          <w:sz w:val="28"/>
        </w:rPr>
      </w:pPr>
      <w:r>
        <w:rPr>
          <w:sz w:val="28"/>
        </w:rPr>
      </w:r>
    </w:p>
    <w:p>
      <w:pPr>
        <w:pStyle w:val="BodyText"/>
        <w:rPr/>
      </w:pPr>
      <w:r>
        <w:rPr/>
        <w:t xml:space="preserve">Shorter Term Products: </w:t>
      </w:r>
    </w:p>
    <w:p>
      <w:pPr>
        <w:pStyle w:val="PlainText"/>
        <w:rPr>
          <w:rFonts w:ascii="Times New Roman" w:hAnsi="Times New Roman" w:cs="Times New Roman"/>
          <w:sz w:val="28"/>
        </w:rPr>
      </w:pPr>
      <w:r>
        <w:rPr>
          <w:rFonts w:cs="Times New Roman" w:ascii="Times New Roman" w:hAnsi="Times New Roman"/>
          <w:sz w:val="28"/>
        </w:rPr>
      </w:r>
    </w:p>
    <w:p>
      <w:pPr>
        <w:pStyle w:val="PlainText"/>
        <w:ind w:firstLine="720" w:end="0"/>
        <w:rPr>
          <w:rFonts w:ascii="Times New Roman" w:hAnsi="Times New Roman" w:cs="Times New Roman"/>
          <w:sz w:val="28"/>
        </w:rPr>
      </w:pPr>
      <w:r>
        <w:rPr>
          <w:rFonts w:cs="Times New Roman" w:ascii="Times New Roman" w:hAnsi="Times New Roman"/>
          <w:sz w:val="28"/>
        </w:rPr>
        <w:t xml:space="preserve">The portion of SDG&amp;E's net short requirement that is to be met with products of short duration will be filled with monthly, balance-of-month, next-day, and, depending on circumstances, intra-day and real-time purchases. The specific amount purchased within these ranges will depend on SDG&amp;E's then-current outlook for load and resources, near-term market trends and price projections, and on the unavoidable deviations between (a) loads and resources scheduled on a day-ahead basis, and (b) metered loads and resources.         </w:t>
      </w:r>
    </w:p>
    <w:p>
      <w:pPr>
        <w:pStyle w:val="PlainText"/>
        <w:rPr>
          <w:rFonts w:ascii="Times New Roman" w:hAnsi="Times New Roman" w:cs="Times New Roman"/>
          <w:sz w:val="28"/>
        </w:rPr>
      </w:pPr>
      <w:r>
        <w:rPr>
          <w:rFonts w:cs="Times New Roman" w:ascii="Times New Roman" w:hAnsi="Times New Roman"/>
          <w:sz w:val="28"/>
        </w:rPr>
      </w:r>
    </w:p>
    <w:p>
      <w:pPr>
        <w:pStyle w:val="PlainText"/>
        <w:ind w:firstLine="720" w:end="0"/>
        <w:rPr>
          <w:rFonts w:ascii="Times New Roman" w:hAnsi="Times New Roman" w:cs="Times New Roman"/>
          <w:sz w:val="28"/>
        </w:rPr>
      </w:pPr>
      <w:r>
        <w:rPr>
          <w:rFonts w:cs="Times New Roman" w:ascii="Times New Roman" w:hAnsi="Times New Roman"/>
          <w:sz w:val="28"/>
        </w:rPr>
        <w:t xml:space="preserve">Most short duration products are standardized.  This minimizes the need to negotiate new terms and conditions for each transaction.  SDG&amp;E's plan will likely call for monthly, balance of month, and next-day purchases to be comprised of 7 x 24 (base), 6 x 16 (peak), and off-peak firm energy products.  In addition, SDG&amp;E may propose securing short duration non-standardized products in order to meet the hour-to-hour variations in consumption patterns that are not easily or efficiently met with standardized products.   The distribution of purchases across these various short-term products will be determined by the overall-requirements specified in SDG&amp;E's annual resource plan (as it may be updated intra-annually for changed circumstances).     </w:t>
      </w:r>
    </w:p>
    <w:p>
      <w:pPr>
        <w:pStyle w:val="PlainText"/>
        <w:rPr>
          <w:rFonts w:ascii="Times New Roman" w:hAnsi="Times New Roman" w:cs="Times New Roman"/>
          <w:sz w:val="28"/>
        </w:rPr>
      </w:pPr>
      <w:r>
        <w:rPr>
          <w:rFonts w:cs="Times New Roman" w:ascii="Times New Roman" w:hAnsi="Times New Roman"/>
          <w:sz w:val="28"/>
        </w:rPr>
      </w:r>
    </w:p>
    <w:p>
      <w:pPr>
        <w:pStyle w:val="PlainText"/>
        <w:ind w:firstLine="720" w:end="0"/>
        <w:rPr>
          <w:rFonts w:ascii="Times New Roman" w:hAnsi="Times New Roman" w:cs="Times New Roman"/>
          <w:sz w:val="28"/>
        </w:rPr>
      </w:pPr>
      <w:r>
        <w:rPr>
          <w:rFonts w:cs="Times New Roman" w:ascii="Times New Roman" w:hAnsi="Times New Roman"/>
          <w:sz w:val="28"/>
        </w:rPr>
        <w:t>As described elsewhere in this filing, SDG&amp;E’s plan will likely identify a need for energy that can be shaped on an hour-to-hour basis.  This shaping would allow SDG&amp;E to manage the morning and late evening ramps and the increase and decrease in loads across the peak hours of the day.  Note that such requirements vary by season as SDG&amp;E's loads peak in the early afternoon in the summer and in the early evening when there are fewer daylight hours.  SDG&amp;E’s plan will address the need to monitor a variety of markets to identify opportunities to acquire hourly shaping services.  Such services could include the possible development of a standardized super-peak product that would cover summer afternoons and the early evening hours during other times of the year.</w:t>
      </w:r>
    </w:p>
    <w:p>
      <w:pPr>
        <w:pStyle w:val="PlainText"/>
        <w:rPr>
          <w:rFonts w:ascii="Times New Roman" w:hAnsi="Times New Roman" w:cs="Times New Roman"/>
          <w:sz w:val="28"/>
        </w:rPr>
      </w:pPr>
      <w:r>
        <w:rPr>
          <w:rFonts w:cs="Times New Roman" w:ascii="Times New Roman" w:hAnsi="Times New Roman"/>
          <w:sz w:val="28"/>
        </w:rPr>
      </w:r>
    </w:p>
    <w:p>
      <w:pPr>
        <w:pStyle w:val="PlainText"/>
        <w:ind w:firstLine="720" w:end="0"/>
        <w:rPr/>
      </w:pPr>
      <w:r>
        <w:rPr>
          <w:rFonts w:cs="Times New Roman" w:ascii="Times New Roman" w:hAnsi="Times New Roman"/>
          <w:sz w:val="28"/>
        </w:rPr>
        <w:t>Of course, SDG&amp;E may also propose to rely on the ISO's real-time market to meet its hourly shaping needs as well as to satisfy more predictable energy requirements.  To the extent SDG&amp;E did not sell its surplus power in the hourly forward markets, it would be sold through the ISO's real-time market.  To the extent SDG&amp;E did not fill-in its hourly shortages in the hourly forward markets, they would be met in real-time through purchases arranged by the ISO.  SDG&amp;E’s plan would only suggest meeting its needs in real-time if SDG&amp;E predicted that doing so would cost less (in the case of purchases) or generate more revenues (in the case of sales) than making equivalent purchases and sales in the forward markets.</w:t>
      </w:r>
      <w:r>
        <w:rPr>
          <w:rStyle w:val="FootnoteCharacters"/>
          <w:rStyle w:val="FootnoteReference"/>
          <w:rFonts w:cs="Times New Roman" w:ascii="Times New Roman" w:hAnsi="Times New Roman"/>
          <w:sz w:val="28"/>
        </w:rPr>
        <w:footnoteReference w:id="8"/>
      </w:r>
      <w:r>
        <w:rPr>
          <w:rFonts w:cs="Times New Roman" w:ascii="Times New Roman" w:hAnsi="Times New Roman"/>
          <w:sz w:val="28"/>
        </w:rPr>
        <w:t xml:space="preserve"> </w:t>
      </w:r>
    </w:p>
    <w:p>
      <w:pPr>
        <w:pStyle w:val="PlainText"/>
        <w:rPr>
          <w:rFonts w:ascii="Times New Roman" w:hAnsi="Times New Roman" w:cs="Times New Roman"/>
          <w:sz w:val="28"/>
        </w:rPr>
      </w:pPr>
      <w:r>
        <w:rPr>
          <w:rFonts w:cs="Times New Roman" w:ascii="Times New Roman" w:hAnsi="Times New Roman"/>
          <w:sz w:val="28"/>
        </w:rPr>
      </w:r>
    </w:p>
    <w:p>
      <w:pPr>
        <w:pStyle w:val="PlainText"/>
        <w:ind w:firstLine="720" w:end="0"/>
        <w:rPr>
          <w:rFonts w:ascii="Times New Roman" w:hAnsi="Times New Roman" w:cs="Times New Roman"/>
          <w:sz w:val="28"/>
        </w:rPr>
      </w:pPr>
      <w:r>
        <w:rPr>
          <w:rFonts w:cs="Times New Roman" w:ascii="Times New Roman" w:hAnsi="Times New Roman"/>
          <w:sz w:val="28"/>
        </w:rPr>
        <w:t xml:space="preserve">While SDG&amp;E may propose to rely on the ISO's real-time market to meet some or all of its needs, some use of the ISO's real-time market is inevitable under any circumstances.  This is because it is impossible to predict and schedule loads and generation with perfect accuracy.  The difference between SDG&amp;E's (a) gross hour-ahead load and generation schedules (adjusted for ISO instructions issued in or near real-time), and (b) metered load and generation, is physically managed by the ISO in real-time and ultimately settled by the ISO at the ISO's real-time market clearing price.           </w:t>
      </w:r>
    </w:p>
    <w:p>
      <w:pPr>
        <w:pStyle w:val="PlainText"/>
        <w:rPr>
          <w:rFonts w:ascii="Times New Roman" w:hAnsi="Times New Roman" w:cs="Times New Roman"/>
          <w:sz w:val="28"/>
        </w:rPr>
      </w:pPr>
      <w:r>
        <w:rPr>
          <w:rFonts w:cs="Times New Roman" w:ascii="Times New Roman" w:hAnsi="Times New Roman"/>
          <w:sz w:val="28"/>
        </w:rPr>
      </w:r>
    </w:p>
    <w:p>
      <w:pPr>
        <w:pStyle w:val="PlainText"/>
        <w:ind w:firstLine="720" w:end="0"/>
        <w:rPr>
          <w:rFonts w:ascii="Times New Roman" w:hAnsi="Times New Roman" w:cs="Times New Roman"/>
          <w:sz w:val="28"/>
        </w:rPr>
      </w:pPr>
      <w:r>
        <w:rPr>
          <w:rFonts w:cs="Times New Roman" w:ascii="Times New Roman" w:hAnsi="Times New Roman"/>
          <w:sz w:val="28"/>
        </w:rPr>
        <w:t>SDG&amp;E's planned procurement of monthly, balance-of-month, and next day standardized products would normally take place on an ongoing basis during regular business days.  This would increase the probability of making some purchases on days when market prices are lowest and would avoid the danger of making large purchases on days when market prices are at their highest.  While SDG&amp;E would typically expect to purchase roughly similar quantities each week, SDG&amp;E’s plan would likely request flexibility in deciding whether to shift the timing of its monthly and balance-of-month purchases when SDG&amp;E has indications that market conditions will change.</w:t>
      </w:r>
    </w:p>
    <w:p>
      <w:pPr>
        <w:pStyle w:val="PlainText"/>
        <w:rPr>
          <w:rFonts w:ascii="Times New Roman" w:hAnsi="Times New Roman" w:cs="Times New Roman"/>
          <w:sz w:val="28"/>
        </w:rPr>
      </w:pPr>
      <w:r>
        <w:rPr>
          <w:rFonts w:cs="Times New Roman" w:ascii="Times New Roman" w:hAnsi="Times New Roman"/>
          <w:sz w:val="28"/>
        </w:rPr>
      </w:r>
    </w:p>
    <w:p>
      <w:pPr>
        <w:pStyle w:val="PlainText"/>
        <w:ind w:firstLine="720" w:end="0"/>
        <w:rPr>
          <w:rFonts w:ascii="Times New Roman" w:hAnsi="Times New Roman" w:cs="Times New Roman"/>
          <w:sz w:val="28"/>
        </w:rPr>
      </w:pPr>
      <w:r>
        <w:rPr>
          <w:rFonts w:cs="Times New Roman" w:ascii="Times New Roman" w:hAnsi="Times New Roman"/>
          <w:sz w:val="28"/>
        </w:rPr>
        <w:t xml:space="preserve">Next-day transactions would take place every weekday with Friday and Saturday deliveries arranged on Thursdays and Sunday and Monday deliveries arranged on Fridays.  Planned real-time transactions take place as a result of conscious decisions to not make advance commitments.  The decision to buy or sell in real-time is made at the time the monthly, balance-of-month and next-day bilateral markets operate.  Depending on SDG&amp;E's expectations of prices in the balance-of-month and next-day markets, SDG&amp;E may choose to forego some monthly transactions in favor of increased balance-of-month and next-day transactions.  Similarly, depending on SDG&amp;E's expectations of prices in the next-day markets, SDG&amp;E may choose to forego some balance-of-month transactions in favor of increased next-day transactions.  Finally, depending on SDG&amp;E's expectations of prices in the ISO's real-time market, SDG&amp;E may choose to forego some next-day transactions with the result that, by default, SDG&amp;E will increase its transactions in the ISO's real-time market.    </w:t>
      </w:r>
    </w:p>
    <w:p>
      <w:pPr>
        <w:pStyle w:val="PlainText"/>
        <w:rPr>
          <w:rFonts w:ascii="Times New Roman" w:hAnsi="Times New Roman" w:cs="Times New Roman"/>
          <w:sz w:val="28"/>
        </w:rPr>
      </w:pPr>
      <w:r>
        <w:rPr>
          <w:rFonts w:cs="Times New Roman" w:ascii="Times New Roman" w:hAnsi="Times New Roman"/>
          <w:sz w:val="28"/>
        </w:rPr>
      </w:r>
    </w:p>
    <w:p>
      <w:pPr>
        <w:pStyle w:val="PlainText"/>
        <w:ind w:firstLine="720" w:end="0"/>
        <w:rPr>
          <w:rFonts w:ascii="Times New Roman" w:hAnsi="Times New Roman" w:cs="Times New Roman"/>
          <w:sz w:val="28"/>
        </w:rPr>
      </w:pPr>
      <w:r>
        <w:rPr>
          <w:rFonts w:cs="Times New Roman" w:ascii="Times New Roman" w:hAnsi="Times New Roman"/>
          <w:sz w:val="28"/>
        </w:rPr>
        <w:t>Since short-term transactions do not lend themselves to the RFP process, SDG&amp;E suggests that the CPUC focus on the adequacy of the procurement process itself, requiring that the approved plan include steps such as those below.  These steps, if followed, will result in short term procurement that is eligible for full cost recovery.  As examples, the approved plan could contain requirements for:</w:t>
      </w:r>
    </w:p>
    <w:p>
      <w:pPr>
        <w:pStyle w:val="PlainText"/>
        <w:rPr>
          <w:rFonts w:ascii="Times New Roman" w:hAnsi="Times New Roman" w:cs="Times New Roman"/>
          <w:sz w:val="28"/>
        </w:rPr>
      </w:pPr>
      <w:r>
        <w:rPr>
          <w:rFonts w:cs="Times New Roman" w:ascii="Times New Roman" w:hAnsi="Times New Roman"/>
          <w:sz w:val="28"/>
        </w:rPr>
      </w:r>
    </w:p>
    <w:p>
      <w:pPr>
        <w:pStyle w:val="PlainText"/>
        <w:ind w:start="720" w:end="0"/>
        <w:rPr>
          <w:rFonts w:ascii="Times New Roman" w:hAnsi="Times New Roman" w:cs="Times New Roman"/>
          <w:sz w:val="28"/>
        </w:rPr>
      </w:pPr>
      <w:r>
        <w:rPr>
          <w:rFonts w:cs="Times New Roman" w:ascii="Times New Roman" w:hAnsi="Times New Roman"/>
          <w:sz w:val="28"/>
        </w:rPr>
        <w:t xml:space="preserve">1. A monthly survey of short-term market conditions.  This survey will reflect current market conditions as well as a forecast of prices for the upcoming month. </w:t>
      </w:r>
    </w:p>
    <w:p>
      <w:pPr>
        <w:pStyle w:val="PlainText"/>
        <w:ind w:start="720" w:end="0"/>
        <w:rPr>
          <w:rFonts w:ascii="Times New Roman" w:hAnsi="Times New Roman" w:cs="Times New Roman"/>
          <w:sz w:val="28"/>
        </w:rPr>
      </w:pPr>
      <w:r>
        <w:rPr>
          <w:rFonts w:cs="Times New Roman" w:ascii="Times New Roman" w:hAnsi="Times New Roman"/>
          <w:sz w:val="28"/>
        </w:rPr>
      </w:r>
    </w:p>
    <w:p>
      <w:pPr>
        <w:pStyle w:val="PlainText"/>
        <w:ind w:start="720" w:end="0"/>
        <w:rPr>
          <w:rFonts w:ascii="Times New Roman" w:hAnsi="Times New Roman" w:cs="Times New Roman"/>
          <w:sz w:val="28"/>
        </w:rPr>
      </w:pPr>
      <w:r>
        <w:rPr>
          <w:rFonts w:cs="Times New Roman" w:ascii="Times New Roman" w:hAnsi="Times New Roman"/>
          <w:sz w:val="28"/>
        </w:rPr>
        <w:t>2. A monthly trading plan specifying the recommended quantities of each product to be purchased and the markets in which to seek such products.</w:t>
      </w:r>
    </w:p>
    <w:p>
      <w:pPr>
        <w:pStyle w:val="PlainText"/>
        <w:ind w:start="720" w:end="0"/>
        <w:rPr>
          <w:rFonts w:ascii="Times New Roman" w:hAnsi="Times New Roman" w:cs="Times New Roman"/>
          <w:sz w:val="28"/>
        </w:rPr>
      </w:pPr>
      <w:r>
        <w:rPr>
          <w:rFonts w:cs="Times New Roman" w:ascii="Times New Roman" w:hAnsi="Times New Roman"/>
          <w:sz w:val="28"/>
        </w:rPr>
      </w:r>
    </w:p>
    <w:p>
      <w:pPr>
        <w:pStyle w:val="PlainText"/>
        <w:ind w:start="720" w:end="0"/>
        <w:rPr>
          <w:rFonts w:ascii="Times New Roman" w:hAnsi="Times New Roman" w:cs="Times New Roman"/>
          <w:sz w:val="28"/>
        </w:rPr>
      </w:pPr>
      <w:r>
        <w:rPr>
          <w:rFonts w:cs="Times New Roman" w:ascii="Times New Roman" w:hAnsi="Times New Roman"/>
          <w:sz w:val="28"/>
        </w:rPr>
        <w:t>3. A daily trading plan which specifies the maximum quantities of each product to be acquired, a not-to-exceed price for each product, and the markets in which to seek such products.</w:t>
      </w:r>
    </w:p>
    <w:p>
      <w:pPr>
        <w:pStyle w:val="PlainText"/>
        <w:ind w:start="720" w:end="0"/>
        <w:rPr>
          <w:rFonts w:ascii="Times New Roman" w:hAnsi="Times New Roman" w:cs="Times New Roman"/>
          <w:sz w:val="28"/>
        </w:rPr>
      </w:pPr>
      <w:r>
        <w:rPr>
          <w:rFonts w:cs="Times New Roman" w:ascii="Times New Roman" w:hAnsi="Times New Roman"/>
          <w:sz w:val="28"/>
        </w:rPr>
      </w:r>
    </w:p>
    <w:p>
      <w:pPr>
        <w:pStyle w:val="PlainText"/>
        <w:ind w:start="720" w:end="0"/>
        <w:rPr>
          <w:rFonts w:ascii="Times New Roman" w:hAnsi="Times New Roman" w:cs="Times New Roman"/>
          <w:sz w:val="28"/>
        </w:rPr>
      </w:pPr>
      <w:r>
        <w:rPr>
          <w:rFonts w:cs="Times New Roman" w:ascii="Times New Roman" w:hAnsi="Times New Roman"/>
          <w:sz w:val="28"/>
        </w:rPr>
        <w:t>4. Execution of the monthly and daily trading plans through the identified markets as well as through independent brokers and direct contacts with prospective counter-parties.</w:t>
      </w:r>
    </w:p>
    <w:p>
      <w:pPr>
        <w:pStyle w:val="PlainText"/>
        <w:ind w:start="720" w:end="0"/>
        <w:rPr>
          <w:rFonts w:ascii="Times New Roman" w:hAnsi="Times New Roman" w:cs="Times New Roman"/>
          <w:sz w:val="28"/>
        </w:rPr>
      </w:pPr>
      <w:r>
        <w:rPr>
          <w:rFonts w:cs="Times New Roman" w:ascii="Times New Roman" w:hAnsi="Times New Roman"/>
          <w:sz w:val="28"/>
        </w:rPr>
      </w:r>
    </w:p>
    <w:p>
      <w:pPr>
        <w:pStyle w:val="PlainText"/>
        <w:ind w:start="720" w:end="0"/>
        <w:rPr>
          <w:rFonts w:ascii="Times New Roman" w:hAnsi="Times New Roman" w:cs="Times New Roman"/>
          <w:sz w:val="28"/>
        </w:rPr>
      </w:pPr>
      <w:r>
        <w:rPr>
          <w:rFonts w:cs="Times New Roman" w:ascii="Times New Roman" w:hAnsi="Times New Roman"/>
          <w:sz w:val="28"/>
        </w:rPr>
        <w:t>5.  A controls system to ensure that the trades match the plan.</w:t>
      </w:r>
    </w:p>
    <w:p>
      <w:pPr>
        <w:pStyle w:val="PlainText"/>
        <w:rPr>
          <w:rFonts w:ascii="Times New Roman" w:hAnsi="Times New Roman" w:cs="Times New Roman"/>
          <w:sz w:val="28"/>
        </w:rPr>
      </w:pPr>
      <w:r>
        <w:rPr>
          <w:rFonts w:cs="Times New Roman" w:ascii="Times New Roman" w:hAnsi="Times New Roman"/>
          <w:sz w:val="28"/>
        </w:rPr>
      </w:r>
    </w:p>
    <w:p>
      <w:pPr>
        <w:pStyle w:val="PlainText"/>
        <w:ind w:firstLine="720" w:end="0"/>
        <w:rPr>
          <w:rFonts w:ascii="Times New Roman" w:hAnsi="Times New Roman" w:cs="Times New Roman"/>
          <w:sz w:val="28"/>
        </w:rPr>
      </w:pPr>
      <w:r>
        <w:rPr>
          <w:rFonts w:cs="Times New Roman" w:ascii="Times New Roman" w:hAnsi="Times New Roman"/>
          <w:sz w:val="28"/>
        </w:rPr>
        <w:t xml:space="preserve">It has been SDG&amp;E's experience that the broker market mimics the Request For Proposal (RFP) process used for longer-term purchases.  Broker quotes establish both buy and sell prices at which willing buyers and sellers are prepared to do business for the product being sought at the time the broker is contacted.  Hence, such quotes are particularly useful for shorter-term products where prices may vary considerably on an intra-day basis. </w:t>
      </w:r>
    </w:p>
    <w:p>
      <w:pPr>
        <w:pStyle w:val="PlainText"/>
        <w:rPr>
          <w:rFonts w:ascii="Times New Roman" w:hAnsi="Times New Roman" w:cs="Times New Roman"/>
          <w:sz w:val="28"/>
        </w:rPr>
      </w:pPr>
      <w:r>
        <w:rPr>
          <w:rFonts w:cs="Times New Roman" w:ascii="Times New Roman" w:hAnsi="Times New Roman"/>
          <w:sz w:val="28"/>
        </w:rPr>
      </w:r>
    </w:p>
    <w:p>
      <w:pPr>
        <w:pStyle w:val="PlainText"/>
        <w:ind w:firstLine="720" w:end="0"/>
        <w:rPr>
          <w:rFonts w:ascii="Times New Roman" w:hAnsi="Times New Roman" w:cs="Times New Roman"/>
          <w:sz w:val="28"/>
        </w:rPr>
      </w:pPr>
      <w:r>
        <w:rPr>
          <w:rFonts w:cs="Times New Roman" w:ascii="Times New Roman" w:hAnsi="Times New Roman"/>
          <w:sz w:val="28"/>
        </w:rPr>
        <w:t xml:space="preserve">In the event SDG&amp;E seeks to buy directly from a counter-party, SDG&amp;E will contact at least three sellers prior to making a purchase commitment.  </w:t>
      </w:r>
    </w:p>
    <w:p>
      <w:pPr>
        <w:pStyle w:val="PlainText"/>
        <w:rPr>
          <w:rFonts w:ascii="Times New Roman" w:hAnsi="Times New Roman" w:cs="Times New Roman"/>
          <w:sz w:val="28"/>
        </w:rPr>
      </w:pPr>
      <w:r>
        <w:rPr>
          <w:rFonts w:cs="Times New Roman" w:ascii="Times New Roman" w:hAnsi="Times New Roman"/>
          <w:sz w:val="28"/>
        </w:rPr>
      </w:r>
    </w:p>
    <w:p>
      <w:pPr>
        <w:pStyle w:val="PlainText"/>
        <w:rPr>
          <w:rFonts w:ascii="Times New Roman" w:hAnsi="Times New Roman" w:cs="Times New Roman"/>
          <w:i/>
          <w:i/>
          <w:sz w:val="28"/>
        </w:rPr>
      </w:pPr>
      <w:r>
        <w:rPr>
          <w:rFonts w:cs="Times New Roman" w:ascii="Times New Roman" w:hAnsi="Times New Roman"/>
          <w:i/>
          <w:sz w:val="28"/>
        </w:rPr>
        <w:t>Policy-Driven Resources:</w:t>
      </w:r>
    </w:p>
    <w:p>
      <w:pPr>
        <w:pStyle w:val="PlainText"/>
        <w:rPr>
          <w:rFonts w:ascii="Times New Roman" w:hAnsi="Times New Roman" w:cs="Times New Roman"/>
          <w:i/>
          <w:i/>
          <w:sz w:val="28"/>
        </w:rPr>
      </w:pPr>
      <w:r>
        <w:rPr>
          <w:rFonts w:cs="Times New Roman" w:ascii="Times New Roman" w:hAnsi="Times New Roman"/>
          <w:i/>
          <w:sz w:val="28"/>
        </w:rPr>
      </w:r>
    </w:p>
    <w:p>
      <w:pPr>
        <w:pStyle w:val="PlainText"/>
        <w:ind w:firstLine="720" w:end="0"/>
        <w:rPr>
          <w:rFonts w:ascii="Times New Roman" w:hAnsi="Times New Roman" w:cs="Times New Roman"/>
          <w:sz w:val="28"/>
        </w:rPr>
      </w:pPr>
      <w:r>
        <w:rPr>
          <w:rFonts w:cs="Times New Roman" w:ascii="Times New Roman" w:hAnsi="Times New Roman"/>
          <w:sz w:val="28"/>
        </w:rPr>
        <w:t>The best way to incorporate societal, environmental, fuel-diversity, and similar goals into a procurement plan is to rely on prevailing State and Federal policy as to the role of such resources.  Rather than attempting to analyze and propose the appropriate role for these items, SDG&amp;E’s plan will incorporate them consistent with this guidance from relevant authorities.</w:t>
      </w:r>
    </w:p>
    <w:p>
      <w:pPr>
        <w:pStyle w:val="PlainText"/>
        <w:rPr>
          <w:rFonts w:ascii="Times New Roman" w:hAnsi="Times New Roman" w:cs="Times New Roman"/>
          <w:sz w:val="28"/>
        </w:rPr>
      </w:pPr>
      <w:r>
        <w:rPr>
          <w:rFonts w:cs="Times New Roman" w:ascii="Times New Roman" w:hAnsi="Times New Roman"/>
          <w:sz w:val="28"/>
        </w:rPr>
      </w:r>
    </w:p>
    <w:p>
      <w:pPr>
        <w:pStyle w:val="Heading3"/>
        <w:rPr/>
      </w:pPr>
      <w:bookmarkStart w:id="21" w:name="__RefHeading___Toc523299266"/>
      <w:bookmarkEnd w:id="21"/>
      <w:r>
        <w:rPr/>
        <w:t>5)</w:t>
        <w:tab/>
        <w:t>Plan Flexibility</w:t>
      </w:r>
    </w:p>
    <w:p>
      <w:pPr>
        <w:pStyle w:val="Normal"/>
        <w:rPr/>
      </w:pPr>
      <w:r>
        <w:rPr/>
      </w:r>
    </w:p>
    <w:p>
      <w:pPr>
        <w:pStyle w:val="BodyText2"/>
        <w:ind w:firstLine="720" w:end="0"/>
        <w:rPr/>
      </w:pPr>
      <w:r>
        <w:rPr/>
        <w:t>As described earlier in section B2, the proposed plan envisions a multi-step process for determining the ideal procurement mix in a given year.  It begins with a high level load and resource assessment, then moves to a preliminary match of energy products with typical load shapes, informed by preliminary assumptions about prices.  The next steps involve risk management assessments which help quantify the details of each product’s procurement, including its role in the overall portfolio’s fixed/variable mix, details of procurement lead times, and lengths of contracts.  Finally, when actual procurement takes place and pricing and related terms are known, these prior assessments will be fine-tuned using detailed modeling to determine the best overall commitment strategy.</w:t>
      </w:r>
    </w:p>
    <w:p>
      <w:pPr>
        <w:pStyle w:val="BodyText2"/>
        <w:rPr/>
      </w:pPr>
      <w:r>
        <w:rPr/>
      </w:r>
    </w:p>
    <w:p>
      <w:pPr>
        <w:pStyle w:val="BodyText2"/>
        <w:ind w:firstLine="720" w:end="0"/>
        <w:rPr/>
      </w:pPr>
      <w:r>
        <w:rPr/>
        <w:t xml:space="preserve">In order for these steps to work, the plan as submitted must of necessity remain somewhat general with respect to amounts, timing, and exact commitment details, since these are all fine-tuned after actual procurement is underway and prices are known.   While the preliminary assessments of amounts and timing of each product are likely to be reasonably close to the results of this more detailed analysis using actual prices, the plan needs to provide flexibility to react to this more precise information.  Building in flexibility will help strike a balance between the desire to achieve the certainty and efficiencies inherent in approving a plan only once a year, and then conducting procurement strictly according to that plan, and the need to allow flexibility within the annual plan to adapt to changing circumstances. </w:t>
      </w:r>
    </w:p>
    <w:p>
      <w:pPr>
        <w:pStyle w:val="BodyText2"/>
        <w:rPr/>
      </w:pPr>
      <w:r>
        <w:rPr/>
      </w:r>
    </w:p>
    <w:p>
      <w:pPr>
        <w:pStyle w:val="BodyText2"/>
        <w:ind w:firstLine="720" w:end="0"/>
        <w:rPr/>
      </w:pPr>
      <w:r>
        <w:rPr/>
        <w:t>Both of these issues can be addressed through the following:</w:t>
      </w:r>
    </w:p>
    <w:p>
      <w:pPr>
        <w:pStyle w:val="BodyText2"/>
        <w:rPr/>
      </w:pPr>
      <w:r>
        <w:rPr/>
      </w:r>
    </w:p>
    <w:p>
      <w:pPr>
        <w:pStyle w:val="BodyText2"/>
        <w:rPr>
          <w:u w:val="single"/>
        </w:rPr>
      </w:pPr>
      <w:r>
        <w:rPr>
          <w:u w:val="single"/>
        </w:rPr>
        <w:t>Use of Ranges</w:t>
      </w:r>
    </w:p>
    <w:p>
      <w:pPr>
        <w:pStyle w:val="BodyText2"/>
        <w:rPr>
          <w:u w:val="single"/>
        </w:rPr>
      </w:pPr>
      <w:r>
        <w:rPr>
          <w:u w:val="single"/>
        </w:rPr>
      </w:r>
    </w:p>
    <w:p>
      <w:pPr>
        <w:pStyle w:val="BodyText2"/>
        <w:ind w:firstLine="720" w:end="0"/>
        <w:rPr/>
      </w:pPr>
      <w:r>
        <w:rPr/>
        <w:t>The approved plan will be based on ranges for key elements, allowing SDG&amp;E to maintain full cost recovery while acting within these ranges without additional CPUC involvement .  For example, targets will be proposed for the fixed / variable components of the portfolio, such as</w:t>
        <w:br/>
        <w:t xml:space="preserve">“X% fixed, +/- Y”, or in the commitment lead time standard, such as “commit X% of the total need up to Y years in advance”, or “fixed contracts shall be X years in length, +/- Y years”.  </w:t>
      </w:r>
    </w:p>
    <w:p>
      <w:pPr>
        <w:pStyle w:val="BodyText2"/>
        <w:rPr/>
      </w:pPr>
      <w:r>
        <w:rPr/>
      </w:r>
    </w:p>
    <w:p>
      <w:pPr>
        <w:pStyle w:val="BodyText2"/>
        <w:ind w:firstLine="720" w:end="0"/>
        <w:rPr/>
      </w:pPr>
      <w:r>
        <w:rPr/>
        <w:t>These targets will be set based on the insights gained in the preliminary assessments of products, timing, and procurement methods.  As actual procurement progresses, it is likely that the fine-tuning among these parameters will remain within the ranges approved in the plan.  In the event that circumstances suggest that procurement should be outside these ranges, then the second process described below will be followed:</w:t>
      </w:r>
    </w:p>
    <w:p>
      <w:pPr>
        <w:pStyle w:val="BodyText2"/>
        <w:rPr/>
      </w:pPr>
      <w:r>
        <w:rPr/>
      </w:r>
    </w:p>
    <w:p>
      <w:pPr>
        <w:pStyle w:val="BodyText2"/>
        <w:rPr>
          <w:u w:val="single"/>
        </w:rPr>
      </w:pPr>
      <w:r>
        <w:rPr>
          <w:u w:val="single"/>
        </w:rPr>
        <w:t>Ongoing CPUC Consultation, with Trigger Points</w:t>
      </w:r>
    </w:p>
    <w:p>
      <w:pPr>
        <w:pStyle w:val="BodyText2"/>
        <w:rPr>
          <w:u w:val="single"/>
        </w:rPr>
      </w:pPr>
      <w:r>
        <w:rPr>
          <w:u w:val="single"/>
        </w:rPr>
      </w:r>
    </w:p>
    <w:p>
      <w:pPr>
        <w:pStyle w:val="BodyText2"/>
        <w:ind w:firstLine="720" w:end="0"/>
        <w:rPr/>
      </w:pPr>
      <w:r>
        <w:rPr/>
        <w:t>SDG&amp;E proposes to consult regularly with the CPUC regarding the plan’s key drivers, such as market conditions, customer demand, etc.  To the extent these drivers suggest a change to the plan, this would be identified to the CPUC and approval sought to make the necessary changes before further procurement was undertaken.</w:t>
      </w:r>
    </w:p>
    <w:p>
      <w:pPr>
        <w:pStyle w:val="PlainText"/>
        <w:rPr>
          <w:rFonts w:ascii="Times New Roman" w:hAnsi="Times New Roman" w:cs="Times New Roman"/>
          <w:sz w:val="28"/>
        </w:rPr>
      </w:pPr>
      <w:r>
        <w:rPr>
          <w:rFonts w:cs="Times New Roman" w:ascii="Times New Roman" w:hAnsi="Times New Roman"/>
          <w:sz w:val="28"/>
        </w:rPr>
      </w:r>
    </w:p>
    <w:p>
      <w:pPr>
        <w:pStyle w:val="PlainText"/>
        <w:ind w:firstLine="720" w:end="0"/>
        <w:rPr>
          <w:rFonts w:ascii="Times New Roman" w:hAnsi="Times New Roman" w:cs="Times New Roman"/>
          <w:sz w:val="28"/>
        </w:rPr>
      </w:pPr>
      <w:r>
        <w:rPr>
          <w:rFonts w:cs="Times New Roman" w:ascii="Times New Roman" w:hAnsi="Times New Roman"/>
          <w:sz w:val="28"/>
        </w:rPr>
        <w:t>This ongoing consultation should make the second annual plan process significantly more efficient, since the CPUC will have current information on the status of the prior year’s plan and associated procurement, likely making the second year’s exercise more of an update than a lengthy proceeding.</w:t>
      </w:r>
    </w:p>
    <w:p>
      <w:pPr>
        <w:pStyle w:val="Heading2"/>
        <w:rPr/>
      </w:pPr>
      <w:bookmarkStart w:id="22" w:name="__RefHeading___Toc523299267"/>
      <w:bookmarkEnd w:id="22"/>
      <w:r>
        <w:rPr/>
        <w:t xml:space="preserve">C.  </w:t>
        <w:tab/>
        <w:t>Confidentiality</w:t>
      </w:r>
    </w:p>
    <w:p>
      <w:pPr>
        <w:pStyle w:val="Normal"/>
        <w:rPr/>
      </w:pPr>
      <w:r>
        <w:rPr/>
      </w:r>
    </w:p>
    <w:p>
      <w:pPr>
        <w:pStyle w:val="BodyText2"/>
        <w:ind w:firstLine="720" w:end="0"/>
        <w:rPr/>
      </w:pPr>
      <w:r>
        <w:rPr/>
        <w:t>Clearly, the procurement plan submitted to the CPUC will contain significant confidential information, which if disclosed would disadvantage SDG&amp;E’s subsequent procurement pursuant to the plan.  SDG&amp;E proposes to make as much of the plan’s information as possible public, but believes that at least the following items must remain confidential and only be disclosed to parties which do not engage in transactions or development of electric resources or provide advice or consultation to others:</w:t>
      </w:r>
    </w:p>
    <w:p>
      <w:pPr>
        <w:pStyle w:val="Normal"/>
        <w:rPr>
          <w:sz w:val="28"/>
        </w:rPr>
      </w:pPr>
      <w:r>
        <w:rPr>
          <w:sz w:val="28"/>
        </w:rPr>
      </w:r>
    </w:p>
    <w:p>
      <w:pPr>
        <w:pStyle w:val="PlainText"/>
        <w:ind w:start="720" w:end="0"/>
        <w:rPr>
          <w:rFonts w:ascii="Times New Roman" w:hAnsi="Times New Roman" w:cs="Times New Roman"/>
          <w:sz w:val="28"/>
        </w:rPr>
      </w:pPr>
      <w:r>
        <w:rPr>
          <w:rFonts w:cs="Times New Roman" w:ascii="Times New Roman" w:hAnsi="Times New Roman"/>
          <w:sz w:val="28"/>
        </w:rPr>
        <w:t>--Market assumptions and forecasts</w:t>
      </w:r>
    </w:p>
    <w:p>
      <w:pPr>
        <w:pStyle w:val="PlainText"/>
        <w:ind w:start="720" w:end="0"/>
        <w:rPr>
          <w:rFonts w:ascii="Times New Roman" w:hAnsi="Times New Roman" w:cs="Times New Roman"/>
          <w:sz w:val="28"/>
        </w:rPr>
      </w:pPr>
      <w:r>
        <w:rPr>
          <w:rFonts w:cs="Times New Roman" w:ascii="Times New Roman" w:hAnsi="Times New Roman"/>
          <w:sz w:val="28"/>
        </w:rPr>
        <w:t>--Fixed/variable mix and associated risk management plan</w:t>
      </w:r>
    </w:p>
    <w:p>
      <w:pPr>
        <w:pStyle w:val="PlainText"/>
        <w:ind w:start="720" w:end="0"/>
        <w:rPr>
          <w:rFonts w:ascii="Times New Roman" w:hAnsi="Times New Roman" w:cs="Times New Roman"/>
          <w:sz w:val="28"/>
        </w:rPr>
      </w:pPr>
      <w:r>
        <w:rPr>
          <w:rFonts w:cs="Times New Roman" w:ascii="Times New Roman" w:hAnsi="Times New Roman"/>
          <w:sz w:val="28"/>
        </w:rPr>
        <w:t>--Short term/long term procurement mix</w:t>
      </w:r>
    </w:p>
    <w:p>
      <w:pPr>
        <w:pStyle w:val="PlainText"/>
        <w:ind w:start="720" w:end="0"/>
        <w:rPr>
          <w:rFonts w:ascii="Times New Roman" w:hAnsi="Times New Roman" w:cs="Times New Roman"/>
          <w:sz w:val="28"/>
        </w:rPr>
      </w:pPr>
      <w:r>
        <w:rPr>
          <w:rFonts w:cs="Times New Roman" w:ascii="Times New Roman" w:hAnsi="Times New Roman"/>
          <w:sz w:val="28"/>
        </w:rPr>
        <w:t>--Timing of procurement (frequency, dates)</w:t>
      </w:r>
    </w:p>
    <w:p>
      <w:pPr>
        <w:pStyle w:val="PlainText"/>
        <w:ind w:start="720" w:end="0"/>
        <w:rPr>
          <w:rFonts w:ascii="Times New Roman" w:hAnsi="Times New Roman" w:cs="Times New Roman"/>
          <w:sz w:val="28"/>
        </w:rPr>
      </w:pPr>
      <w:r>
        <w:rPr>
          <w:rFonts w:cs="Times New Roman" w:ascii="Times New Roman" w:hAnsi="Times New Roman"/>
          <w:sz w:val="28"/>
        </w:rPr>
        <w:t>--Amount of product expected to be procured in each RFP</w:t>
      </w:r>
    </w:p>
    <w:p>
      <w:pPr>
        <w:pStyle w:val="PlainText"/>
        <w:ind w:start="720" w:end="0"/>
        <w:rPr>
          <w:rFonts w:ascii="Times New Roman" w:hAnsi="Times New Roman" w:cs="Times New Roman"/>
          <w:sz w:val="28"/>
        </w:rPr>
      </w:pPr>
      <w:r>
        <w:rPr>
          <w:rFonts w:cs="Times New Roman" w:ascii="Times New Roman" w:hAnsi="Times New Roman"/>
          <w:sz w:val="28"/>
        </w:rPr>
        <w:t>--Evaluation results and awards</w:t>
      </w:r>
    </w:p>
    <w:p>
      <w:pPr>
        <w:pStyle w:val="PlainText"/>
        <w:ind w:hanging="180" w:start="900" w:end="0"/>
        <w:rPr>
          <w:rFonts w:ascii="Times New Roman" w:hAnsi="Times New Roman" w:cs="Times New Roman"/>
          <w:sz w:val="28"/>
        </w:rPr>
      </w:pPr>
      <w:r>
        <w:rPr>
          <w:rFonts w:cs="Times New Roman" w:ascii="Times New Roman" w:hAnsi="Times New Roman"/>
          <w:sz w:val="28"/>
        </w:rPr>
        <w:t>--Any price information for existing which has not already been made public through regulatory or other filings.</w:t>
      </w:r>
    </w:p>
    <w:p>
      <w:pPr>
        <w:pStyle w:val="PlainText"/>
        <w:rPr>
          <w:rFonts w:ascii="Times New Roman" w:hAnsi="Times New Roman" w:cs="Times New Roman"/>
          <w:sz w:val="28"/>
        </w:rPr>
      </w:pPr>
      <w:r>
        <w:rPr>
          <w:rFonts w:cs="Times New Roman" w:ascii="Times New Roman" w:hAnsi="Times New Roman"/>
          <w:sz w:val="28"/>
        </w:rPr>
      </w:r>
    </w:p>
    <w:p>
      <w:pPr>
        <w:pStyle w:val="PlainText"/>
        <w:ind w:firstLine="720" w:end="0"/>
        <w:rPr>
          <w:rFonts w:ascii="Times New Roman" w:hAnsi="Times New Roman" w:cs="Times New Roman"/>
          <w:sz w:val="28"/>
        </w:rPr>
      </w:pPr>
      <w:r>
        <w:rPr>
          <w:rFonts w:cs="Times New Roman" w:ascii="Times New Roman" w:hAnsi="Times New Roman"/>
          <w:sz w:val="28"/>
        </w:rPr>
        <w:t>In return, there are elements that can be disclosed, including:</w:t>
      </w:r>
    </w:p>
    <w:p>
      <w:pPr>
        <w:pStyle w:val="PlainText"/>
        <w:rPr>
          <w:rFonts w:ascii="Times New Roman" w:hAnsi="Times New Roman" w:cs="Times New Roman"/>
          <w:sz w:val="28"/>
        </w:rPr>
      </w:pPr>
      <w:r>
        <w:rPr>
          <w:rFonts w:cs="Times New Roman" w:ascii="Times New Roman" w:hAnsi="Times New Roman"/>
          <w:sz w:val="28"/>
        </w:rPr>
      </w:r>
    </w:p>
    <w:p>
      <w:pPr>
        <w:pStyle w:val="PlainText"/>
        <w:ind w:start="720" w:end="0"/>
        <w:rPr>
          <w:rFonts w:ascii="Times New Roman" w:hAnsi="Times New Roman" w:cs="Times New Roman"/>
          <w:sz w:val="28"/>
        </w:rPr>
      </w:pPr>
      <w:r>
        <w:rPr>
          <w:rFonts w:cs="Times New Roman" w:ascii="Times New Roman" w:hAnsi="Times New Roman"/>
          <w:sz w:val="28"/>
        </w:rPr>
        <w:t>--Demand forecast</w:t>
      </w:r>
    </w:p>
    <w:p>
      <w:pPr>
        <w:pStyle w:val="PlainText"/>
        <w:ind w:hanging="180" w:start="900" w:end="0"/>
        <w:rPr>
          <w:rFonts w:ascii="Times New Roman" w:hAnsi="Times New Roman" w:cs="Times New Roman"/>
          <w:sz w:val="28"/>
        </w:rPr>
      </w:pPr>
      <w:r>
        <w:rPr>
          <w:rFonts w:cs="Times New Roman" w:ascii="Times New Roman" w:hAnsi="Times New Roman"/>
          <w:sz w:val="28"/>
        </w:rPr>
        <w:t>--Existing resource quantities (URG, CDWR, California Power Authority</w:t>
      </w:r>
    </w:p>
    <w:p>
      <w:pPr>
        <w:pStyle w:val="PlainText"/>
        <w:ind w:start="720" w:end="0"/>
        <w:rPr>
          <w:rFonts w:ascii="Times New Roman" w:hAnsi="Times New Roman" w:cs="Times New Roman"/>
          <w:sz w:val="28"/>
        </w:rPr>
      </w:pPr>
      <w:r>
        <w:rPr>
          <w:rFonts w:cs="Times New Roman" w:ascii="Times New Roman" w:hAnsi="Times New Roman"/>
          <w:sz w:val="28"/>
        </w:rPr>
        <w:t>--Procurement details (RFP process and requirements)</w:t>
      </w:r>
    </w:p>
    <w:p>
      <w:pPr>
        <w:pStyle w:val="PlainText"/>
        <w:rPr>
          <w:rFonts w:ascii="Times New Roman" w:hAnsi="Times New Roman" w:cs="Times New Roman"/>
          <w:sz w:val="28"/>
        </w:rPr>
      </w:pPr>
      <w:r>
        <w:rPr>
          <w:rFonts w:cs="Times New Roman" w:ascii="Times New Roman" w:hAnsi="Times New Roman"/>
          <w:sz w:val="28"/>
        </w:rPr>
      </w:r>
    </w:p>
    <w:p>
      <w:pPr>
        <w:pStyle w:val="Heading2"/>
        <w:rPr/>
      </w:pPr>
      <w:bookmarkStart w:id="23" w:name="__RefHeading___Toc523299268"/>
      <w:bookmarkEnd w:id="23"/>
      <w:r>
        <w:rPr/>
        <w:t>D.</w:t>
        <w:tab/>
        <w:t>Proposed Timetable</w:t>
      </w:r>
    </w:p>
    <w:p>
      <w:pPr>
        <w:pStyle w:val="Normal"/>
        <w:rPr/>
      </w:pPr>
      <w:r>
        <w:rPr/>
      </w:r>
    </w:p>
    <w:p>
      <w:pPr>
        <w:pStyle w:val="BodyText2"/>
        <w:ind w:firstLine="720" w:end="0"/>
        <w:rPr/>
      </w:pPr>
      <w:r>
        <w:rPr/>
        <w:t>SDG&amp;E proposes to submit a full procurement plan, as described in this filing, within 90 days of an order to SDG&amp;E to return to procurement.  In turn, the CPUC would assess the plan, and either approve it as submitted, or with amendments, within 90 days following submission.  Once the CPUC has approved the plan, SDG&amp;E would commence procurement.</w:t>
      </w:r>
    </w:p>
    <w:p>
      <w:pPr>
        <w:pStyle w:val="Normal"/>
        <w:rPr>
          <w:sz w:val="28"/>
        </w:rPr>
      </w:pPr>
      <w:r>
        <w:rPr>
          <w:sz w:val="28"/>
        </w:rPr>
      </w:r>
    </w:p>
    <w:p>
      <w:pPr>
        <w:pStyle w:val="Normal"/>
        <w:ind w:firstLine="720" w:end="0"/>
        <w:rPr>
          <w:sz w:val="28"/>
        </w:rPr>
      </w:pPr>
      <w:r>
        <w:rPr>
          <w:sz w:val="28"/>
        </w:rPr>
        <w:t>The plan would be submitted for review annually, unless either party determined that an earlier filing was necessary due to changed circumstances.  SDG&amp;E believes that the ongoing consultation process proposed earlier will significantly reduce the chance that a mid-year full plan update would be required.</w:t>
      </w:r>
    </w:p>
    <w:p>
      <w:pPr>
        <w:pStyle w:val="Normal"/>
        <w:ind w:firstLine="720" w:end="0"/>
        <w:rPr>
          <w:sz w:val="28"/>
        </w:rPr>
      </w:pPr>
      <w:r>
        <w:rPr>
          <w:sz w:val="28"/>
        </w:rPr>
      </w:r>
    </w:p>
    <w:p>
      <w:pPr>
        <w:pStyle w:val="Heading2"/>
        <w:rPr/>
      </w:pPr>
      <w:bookmarkStart w:id="24" w:name="__RefHeading___Toc523299269"/>
      <w:bookmarkEnd w:id="24"/>
      <w:r>
        <w:rPr/>
        <w:t>E.</w:t>
        <w:tab/>
        <w:t>Reasonableness Issues</w:t>
      </w:r>
    </w:p>
    <w:p>
      <w:pPr>
        <w:pStyle w:val="Normal"/>
        <w:rPr/>
      </w:pPr>
      <w:r>
        <w:rPr/>
      </w:r>
    </w:p>
    <w:p>
      <w:pPr>
        <w:pStyle w:val="BodyTextIndent2"/>
        <w:rPr/>
      </w:pPr>
      <w:r>
        <w:rPr/>
        <w:t>The procurement process describes here establishes the basis for the reasonableness of SDG&amp;E’s procurement actions. Once the Commission adopts a procurement plan and the accompanying process, procurement performed consistently with the approved plan should be deemed reasonable, entitling the Company to full cost recovery of the costs of carrying out the plan. The only reasonableness consideration the Commission will engage in is to confirm that SDG&amp;E acted consistently with the approved plan.</w:t>
      </w:r>
    </w:p>
    <w:p>
      <w:pPr>
        <w:pStyle w:val="Normal"/>
        <w:rPr/>
      </w:pPr>
      <w:r>
        <w:rPr/>
      </w:r>
    </w:p>
    <w:p>
      <w:pPr>
        <w:pStyle w:val="Heading1"/>
        <w:ind w:hanging="720" w:start="720" w:end="0"/>
        <w:rPr>
          <w:rFonts w:ascii="Times New Roman" w:hAnsi="Times New Roman" w:cs="Times New Roman"/>
        </w:rPr>
      </w:pPr>
      <w:bookmarkStart w:id="25" w:name="__RefHeading___Toc523299270"/>
      <w:bookmarkEnd w:id="25"/>
      <w:r>
        <w:rPr>
          <w:rFonts w:cs="Times New Roman" w:ascii="Times New Roman" w:hAnsi="Times New Roman"/>
        </w:rPr>
        <w:t>IV.</w:t>
        <w:tab/>
        <w:t>Other Options for Meeting Customers’ Net Short Requirements</w:t>
      </w:r>
    </w:p>
    <w:p>
      <w:pPr>
        <w:pStyle w:val="Normal"/>
        <w:rPr>
          <w:rFonts w:ascii="Times New Roman" w:hAnsi="Times New Roman" w:cs="Times New Roman"/>
        </w:rPr>
      </w:pPr>
      <w:r>
        <w:rPr>
          <w:rFonts w:cs="Times New Roman"/>
        </w:rPr>
      </w:r>
    </w:p>
    <w:p>
      <w:pPr>
        <w:pStyle w:val="BodyTextIndent"/>
        <w:rPr/>
      </w:pPr>
      <w:r>
        <w:rPr>
          <w:sz w:val="28"/>
        </w:rPr>
        <w:t>In several decisions in 2000, the Commission observed that it wanted to examine the future role of utility procurement.</w:t>
      </w:r>
      <w:r>
        <w:rPr>
          <w:rStyle w:val="FootnoteCharacters"/>
          <w:rStyle w:val="FootnoteReference"/>
          <w:sz w:val="28"/>
        </w:rPr>
        <w:footnoteReference w:id="9"/>
      </w:r>
      <w:r>
        <w:rPr>
          <w:sz w:val="28"/>
        </w:rPr>
        <w:t xml:space="preserve"> Many considerations arising since then could impact the Commission’s consideration of this issue. One of the most significant of these is the difficult financial condition of the state’s two largest utilities. The MOU envisioned that SDG&amp;E would begin procurement of retail customers’ net short requirements after one of the two large California utilities became creditworthy and able to begin procurement again. This is still possible if Edison is able to avoid bankruptcy and its financial condition improves. However, if that does not occur, and SDG&amp;E alone among the utilities is left to procure in the market, while the State continues to procure for customers of the other utilities, SDG&amp;E could experience the same kinds of difficulties that affected its procurement in January, 2001, when the CDWR began procurement for Edison and PG&amp;E: increasing prices, decreasing supply opportunities, and unreasonable credit requirements. This result would be harmful to SDG&amp;E’s customers. </w:t>
      </w:r>
    </w:p>
    <w:p>
      <w:pPr>
        <w:pStyle w:val="BodyTextIndent"/>
        <w:rPr>
          <w:sz w:val="28"/>
        </w:rPr>
      </w:pPr>
      <w:r>
        <w:rPr>
          <w:sz w:val="28"/>
        </w:rPr>
      </w:r>
    </w:p>
    <w:p>
      <w:pPr>
        <w:pStyle w:val="BodyTextIndent"/>
        <w:rPr>
          <w:sz w:val="28"/>
        </w:rPr>
      </w:pPr>
      <w:r>
        <w:rPr>
          <w:sz w:val="28"/>
        </w:rPr>
        <w:t>The Commission needs to consider the circumstances that could affect procurement, such as the impact of the State continuing to purchase Edison and PG&amp;E’s net short position, before ordering SDG&amp;E to procure its customers’ net short position. In addition, the Commission should consider other options that may provide better results to customers. In this Section, SDG&amp;E presents to the Commission alternative ways of meeting the net short requirements of SDG&amp;E-area retail consumers. SDG&amp;E encourages the Commission to address this question quickly so that the State can prudently plan any necessary transition.</w:t>
      </w:r>
    </w:p>
    <w:p>
      <w:pPr>
        <w:pStyle w:val="Normal"/>
        <w:rPr>
          <w:sz w:val="28"/>
        </w:rPr>
      </w:pPr>
      <w:r>
        <w:rPr>
          <w:sz w:val="28"/>
        </w:rPr>
        <w:tab/>
      </w:r>
    </w:p>
    <w:p>
      <w:pPr>
        <w:pStyle w:val="Heading2"/>
        <w:rPr/>
      </w:pPr>
      <w:bookmarkStart w:id="26" w:name="__RefHeading___Toc523299271"/>
      <w:r>
        <w:rPr/>
        <w:t>A.</w:t>
        <w:tab/>
        <w:t>State Role in Procurement</w:t>
      </w:r>
      <w:bookmarkEnd w:id="26"/>
      <w:r>
        <w:rPr/>
        <w:t xml:space="preserve"> </w:t>
      </w:r>
    </w:p>
    <w:p>
      <w:pPr>
        <w:pStyle w:val="Normal"/>
        <w:rPr/>
      </w:pPr>
      <w:r>
        <w:rPr/>
      </w:r>
    </w:p>
    <w:p>
      <w:pPr>
        <w:pStyle w:val="BodyTextIndent"/>
        <w:rPr>
          <w:sz w:val="28"/>
        </w:rPr>
      </w:pPr>
      <w:r>
        <w:rPr>
          <w:sz w:val="28"/>
        </w:rPr>
        <w:t>The State has confronted head-on the serious consequences facing Californians from a defective electricity market and has taken a leadership role in trying to prevent those consequences. As a result of ABX-1 1, The California Department of Water Resources undertook to purchase the net short positions of each utility, and entered into forward contracts to ensure a reliable supply of power at stabilized prices for years to come. The State also passed ABX-1 6 establishing the California Consumer Power and Conservation Financing Authority as a tool to ensure continued reliability. As the Commission considers the best way of meeting the electricity needs of Californians in the future, it must do so in the context of these institutions and the accomplishments they have and will achieve. A continued strong role of the state in future procurement necessarily must exist for a number of reasons:</w:t>
      </w:r>
    </w:p>
    <w:p>
      <w:pPr>
        <w:pStyle w:val="Normal"/>
        <w:ind w:start="720" w:end="0"/>
        <w:rPr>
          <w:b/>
          <w:sz w:val="28"/>
        </w:rPr>
      </w:pPr>
      <w:r>
        <w:rPr>
          <w:b/>
          <w:sz w:val="28"/>
        </w:rPr>
      </w:r>
    </w:p>
    <w:p>
      <w:pPr>
        <w:pStyle w:val="Heading3"/>
        <w:rPr/>
      </w:pPr>
      <w:bookmarkStart w:id="27" w:name="__RefHeading___Toc523299272"/>
      <w:r>
        <w:rPr/>
        <w:t>1.</w:t>
        <w:tab/>
        <w:t>Reliability and New Resources:</w:t>
      </w:r>
      <w:bookmarkEnd w:id="27"/>
      <w:r>
        <w:rPr/>
        <w:t xml:space="preserve"> </w:t>
      </w:r>
    </w:p>
    <w:p>
      <w:pPr>
        <w:pStyle w:val="Normal"/>
        <w:rPr/>
      </w:pPr>
      <w:r>
        <w:rPr/>
      </w:r>
    </w:p>
    <w:p>
      <w:pPr>
        <w:pStyle w:val="Normal"/>
        <w:ind w:firstLine="720" w:end="0"/>
        <w:rPr/>
      </w:pPr>
      <w:r>
        <w:rPr>
          <w:sz w:val="28"/>
        </w:rPr>
        <w:t>The State has undertaken a prominent role in ensuring a reliable electricity supply. In executing AB x-1 1, the CDWR has made, and continues to make, resource commitments extending well into the future. Furthermore, with the passage earlier this year of SBX-1 6, in which the State established the California Consumer Power and Conservation Financing Authority (Power Authority) the State has taken another significant role in electricity planning and procurement. California’s objective in establishing this institution was “</w:t>
      </w:r>
      <w:r>
        <w:rPr>
          <w:sz w:val="28"/>
          <w:lang w:eastAsia="en-US"/>
        </w:rPr>
        <w:t>to furnish the citizens of California with reliable, affordable electrical power, to ensure sufficient power reserves, to assure stability and rationality in California’s electricity market, to encourage energy efficiency and conservation as well as the use of renewable energy resources, and to protect the public health, welfare, and safety.”</w:t>
      </w:r>
      <w:r>
        <w:rPr>
          <w:rStyle w:val="FootnoteCharacters"/>
          <w:rStyle w:val="FootnoteReference"/>
          <w:sz w:val="28"/>
          <w:lang w:eastAsia="en-US"/>
        </w:rPr>
        <w:footnoteReference w:id="10"/>
      </w:r>
      <w:r>
        <w:rPr>
          <w:sz w:val="28"/>
          <w:lang w:eastAsia="en-US"/>
        </w:rPr>
        <w:t xml:space="preserve"> How the Power Authority carries out this responsibility is integrally related to the State’s determination of its expected loads and resources and how the State believes those loads will be served. Accordingly, the Power Authority cannot carry out its function in isolation from the resource planning and procurement to meet consumers’ net short requirements. The more removed it is from that planning and procurement activity, the less likely the Power Authority will be able to meet its statutory responsibilities.</w:t>
      </w:r>
    </w:p>
    <w:p>
      <w:pPr>
        <w:pStyle w:val="Normal"/>
        <w:ind w:firstLine="720" w:end="0"/>
        <w:rPr>
          <w:sz w:val="28"/>
          <w:lang w:eastAsia="en-US"/>
        </w:rPr>
      </w:pPr>
      <w:r>
        <w:rPr>
          <w:sz w:val="28"/>
          <w:lang w:eastAsia="en-US"/>
        </w:rPr>
      </w:r>
    </w:p>
    <w:p>
      <w:pPr>
        <w:pStyle w:val="Normal"/>
        <w:ind w:firstLine="720" w:end="0"/>
        <w:rPr/>
      </w:pPr>
      <w:r>
        <w:rPr>
          <w:sz w:val="28"/>
          <w:lang w:eastAsia="en-US"/>
        </w:rPr>
        <w:t>State law requires the Power Authority to take into account California’s anticipated electricity needs over the next decade and develop a plan to address issues including reliability of service, grid congestion, and environmental quality. Statute requires the Power Authority to compare the costs of various energy resources and consider the potential for fossil fuel price volatility. The Power Authority is compelled to outline a strategy for cost-effective resource investment.</w:t>
      </w:r>
      <w:r>
        <w:rPr>
          <w:rStyle w:val="FootnoteCharacters"/>
          <w:rStyle w:val="FootnoteReference"/>
          <w:sz w:val="28"/>
          <w:lang w:eastAsia="en-US"/>
        </w:rPr>
        <w:footnoteReference w:id="11"/>
      </w:r>
      <w:r>
        <w:rPr>
          <w:sz w:val="28"/>
          <w:lang w:eastAsia="en-US"/>
        </w:rPr>
        <w:t xml:space="preserve"> This responsibility, combined with the power to make appropriate investments, amounts to resource planning and acquisition by the Power Authority. If the Power Authority is already performing a major piece of the planning and acquisition process, the State will need to address the extent to which there is the potential for conflict or duplication by placing that same responsibility with non-governmental agencies. As an example, SDG&amp;E understands that the Power Authority is looking at the possible investment into peaking power. If the Power Authority is pursuing such an approach on the one hand, while the Commission is separately deciding on the need for procurement to meet consumer net short requirements, the result could be a confused, rather than clarified, resource picture. This illustrates the need for coordinated state oversight and activity over procurement of the net short position.</w:t>
      </w:r>
    </w:p>
    <w:p>
      <w:pPr>
        <w:pStyle w:val="Normal"/>
        <w:ind w:firstLine="720" w:end="0"/>
        <w:rPr>
          <w:sz w:val="28"/>
          <w:lang w:eastAsia="en-US"/>
        </w:rPr>
      </w:pPr>
      <w:r>
        <w:rPr>
          <w:sz w:val="28"/>
          <w:lang w:eastAsia="en-US"/>
        </w:rPr>
      </w:r>
    </w:p>
    <w:p>
      <w:pPr>
        <w:pStyle w:val="Heading3"/>
        <w:rPr/>
      </w:pPr>
      <w:bookmarkStart w:id="28" w:name="__RefHeading___Toc523299273"/>
      <w:r>
        <w:rPr/>
        <w:t>2.</w:t>
        <w:tab/>
        <w:t>CDWR Contracts:</w:t>
      </w:r>
      <w:bookmarkEnd w:id="28"/>
      <w:r>
        <w:rPr/>
        <w:t xml:space="preserve"> </w:t>
      </w:r>
    </w:p>
    <w:p>
      <w:pPr>
        <w:pStyle w:val="Normal"/>
        <w:ind w:firstLine="720" w:end="0"/>
        <w:rPr/>
      </w:pPr>
      <w:r>
        <w:rPr/>
      </w:r>
    </w:p>
    <w:p>
      <w:pPr>
        <w:pStyle w:val="Normal"/>
        <w:ind w:firstLine="720" w:end="0"/>
        <w:rPr/>
      </w:pPr>
      <w:r>
        <w:rPr>
          <w:sz w:val="28"/>
        </w:rPr>
        <w:t>The Department of Water Resources has entered into numerous contracts to serve load in the State over the next several years. Under State law, the State sells the output from these contracts directly to retail customers, and this sale is expected to assist in the issuance of state bonds. By the contracts’ terms most, if not all, of these contracts would not permit automatic assignment to entities with poorer credit than the State’s. Accordingly, these contracts are not readily assignable by the Department except to other State agencies. Moreover, some of these contracts have very flexible delivery locations within the State</w:t>
      </w:r>
      <w:r>
        <w:rPr>
          <w:rStyle w:val="FootnoteCharacters"/>
          <w:rStyle w:val="FootnoteReference"/>
          <w:sz w:val="28"/>
        </w:rPr>
        <w:footnoteReference w:id="12"/>
      </w:r>
      <w:r>
        <w:rPr>
          <w:sz w:val="28"/>
        </w:rPr>
        <w:t xml:space="preserve"> that can be administered most easily by doing so as part of a statewide portfolio. In addition, because the Department has a large and diverse portfolio, it has greater flexibility in managing those assets to the benefit of Californians, than if the portfolio were split into smaller pieces.</w:t>
      </w:r>
      <w:r>
        <w:rPr>
          <w:rStyle w:val="FootnoteCharacters"/>
          <w:rStyle w:val="FootnoteReference"/>
          <w:sz w:val="28"/>
        </w:rPr>
        <w:footnoteReference w:id="13"/>
      </w:r>
      <w:r>
        <w:rPr>
          <w:sz w:val="28"/>
        </w:rPr>
        <w:t xml:space="preserve"> Accordingly, efforts to earmark these resources to in pieces to parts of the state will diminish their overall value and add to inefficiency. Furthermore, because the contracts vary significantly in their value, attempting to allocate the contracts on other than a statewide basis will create relative “winners” and “losers”.</w:t>
      </w:r>
      <w:r>
        <w:rPr>
          <w:rStyle w:val="FootnoteCharacters"/>
          <w:rStyle w:val="FootnoteReference"/>
          <w:sz w:val="28"/>
        </w:rPr>
        <w:footnoteReference w:id="14"/>
      </w:r>
      <w:r>
        <w:rPr>
          <w:sz w:val="28"/>
        </w:rPr>
        <w:t xml:space="preserve"> For these reasons, SDG&amp;E believes that the State will need to continue to administer the CDWR contracts on a statewide basis.</w:t>
      </w:r>
    </w:p>
    <w:p>
      <w:pPr>
        <w:pStyle w:val="Normal"/>
        <w:ind w:firstLine="720" w:end="0"/>
        <w:rPr>
          <w:sz w:val="28"/>
        </w:rPr>
      </w:pPr>
      <w:r>
        <w:rPr>
          <w:sz w:val="28"/>
        </w:rPr>
      </w:r>
    </w:p>
    <w:p>
      <w:pPr>
        <w:pStyle w:val="Heading3"/>
        <w:rPr/>
      </w:pPr>
      <w:bookmarkStart w:id="29" w:name="__RefHeading___Toc523299274"/>
      <w:bookmarkEnd w:id="29"/>
      <w:r>
        <w:rPr/>
        <w:t>3.</w:t>
        <w:tab/>
        <w:t>Optimize Existing Utility-Retained Generation</w:t>
      </w:r>
    </w:p>
    <w:p>
      <w:pPr>
        <w:pStyle w:val="Normal"/>
        <w:rPr/>
      </w:pPr>
      <w:r>
        <w:rPr/>
      </w:r>
    </w:p>
    <w:p>
      <w:pPr>
        <w:pStyle w:val="BodyTextIndent2"/>
        <w:rPr/>
      </w:pPr>
      <w:r>
        <w:rPr/>
        <w:t>For the same reason that a large portfolio of purchase contracts gives the State an advantage in maximizing value to consumers, combining the generating resources of the utilities into a single portfolio can create similar benefits to Californians, as compared with piecemeal management of these assets.</w:t>
      </w:r>
      <w:r>
        <w:rPr>
          <w:rStyle w:val="FootnoteCharacters"/>
          <w:rStyle w:val="FootnoteReference"/>
        </w:rPr>
        <w:footnoteReference w:id="15"/>
      </w:r>
      <w:r>
        <w:rPr/>
        <w:t xml:space="preserve"> California has been concerned recently about the ability of large energy companies to use their assets to the disadvantage of the State. The combination of generating assets under State portfolio management creates the potential for improved efficiency and value for the State – in effect, beating the large suppliers at their own game.</w:t>
      </w:r>
    </w:p>
    <w:p>
      <w:pPr>
        <w:pStyle w:val="BodyTextIndent2"/>
        <w:rPr/>
      </w:pPr>
      <w:r>
        <w:rPr/>
      </w:r>
    </w:p>
    <w:p>
      <w:pPr>
        <w:pStyle w:val="Heading3"/>
        <w:rPr/>
      </w:pPr>
      <w:bookmarkStart w:id="30" w:name="__RefHeading___Toc523299275"/>
      <w:r>
        <w:rPr/>
        <w:t>4.</w:t>
        <w:tab/>
        <w:t>Efficient Administration:</w:t>
      </w:r>
      <w:bookmarkEnd w:id="30"/>
      <w:r>
        <w:rPr/>
        <w:t xml:space="preserve"> </w:t>
      </w:r>
    </w:p>
    <w:p>
      <w:pPr>
        <w:pStyle w:val="BodyTextIndent"/>
        <w:rPr>
          <w:sz w:val="28"/>
        </w:rPr>
      </w:pPr>
      <w:r>
        <w:rPr>
          <w:sz w:val="28"/>
        </w:rPr>
      </w:r>
    </w:p>
    <w:p>
      <w:pPr>
        <w:pStyle w:val="BodyTextIndent"/>
        <w:rPr>
          <w:sz w:val="28"/>
        </w:rPr>
      </w:pPr>
      <w:r>
        <w:rPr>
          <w:sz w:val="28"/>
        </w:rPr>
        <w:t>A key advantage of centralizing the procurement function is to enhance administrative efficiencies of performing those tasks. With electricity acquisition divided among several operations, resources and activities are duplicated and unnecessary costs incurred. The State should seek to avoid unnecessary duplication. This would save money for California consumers.</w:t>
      </w:r>
    </w:p>
    <w:p>
      <w:pPr>
        <w:pStyle w:val="BodyTextIndent"/>
        <w:rPr>
          <w:b/>
          <w:sz w:val="28"/>
        </w:rPr>
      </w:pPr>
      <w:r>
        <w:rPr>
          <w:b/>
          <w:sz w:val="28"/>
        </w:rPr>
      </w:r>
    </w:p>
    <w:p>
      <w:pPr>
        <w:pStyle w:val="Heading3"/>
        <w:rPr/>
      </w:pPr>
      <w:bookmarkStart w:id="31" w:name="__RefHeading___Toc523299276"/>
      <w:r>
        <w:rPr/>
        <w:t>5.</w:t>
        <w:tab/>
        <w:t>Oversight and State Policy Implementation:</w:t>
      </w:r>
      <w:bookmarkEnd w:id="31"/>
      <w:r>
        <w:rPr/>
        <w:t xml:space="preserve"> </w:t>
      </w:r>
    </w:p>
    <w:p>
      <w:pPr>
        <w:pStyle w:val="Normal"/>
        <w:ind w:firstLine="720" w:end="0"/>
        <w:rPr/>
      </w:pPr>
      <w:r>
        <w:rPr/>
      </w:r>
    </w:p>
    <w:p>
      <w:pPr>
        <w:pStyle w:val="BodyTextIndent2"/>
        <w:rPr/>
      </w:pPr>
      <w:r>
        <w:rPr/>
        <w:t>California has routinely sought to accomplish a variety of policy objectives through the resource acquisition process. For example, one of those that has been the subject of much dialogue is the addition of renewable resources. The California Consumer Power and Conservation Financing Authority already has substantial statutory responsibility with respect to implementing this state policy. As it takes into account environmental issues and the risks of fossil fuel price volatility, the Power Authority may decide to undertake to make commitments, for example, to renewable resources to accomplish state policy. If the State combines decisions on resource acquisition with its determination on such policy issues as the optimal level of renewable resources and the acceptable cost to pay for those resources, it may be able to accomplish more easily its policy objectives. To the extent that the State spreads those responsibilities around, it risks attenuating its ability to implement policy consistent with policy objectives. A centralized acquisition entity also requires less oversight to make sure that State policy is properly administered.</w:t>
      </w:r>
    </w:p>
    <w:p>
      <w:pPr>
        <w:pStyle w:val="Normal"/>
        <w:spacing w:lineRule="auto" w:line="360"/>
        <w:ind w:firstLine="720" w:end="0"/>
        <w:rPr>
          <w:b/>
        </w:rPr>
      </w:pPr>
      <w:r>
        <w:rPr>
          <w:b/>
        </w:rPr>
      </w:r>
    </w:p>
    <w:p>
      <w:pPr>
        <w:pStyle w:val="Heading3"/>
        <w:rPr/>
      </w:pPr>
      <w:bookmarkStart w:id="32" w:name="__RefHeading___Toc523299277"/>
      <w:bookmarkEnd w:id="32"/>
      <w:r>
        <w:rPr/>
        <w:t>6.</w:t>
        <w:tab/>
        <w:t>Avoiding Conflicts</w:t>
      </w:r>
    </w:p>
    <w:p>
      <w:pPr>
        <w:pStyle w:val="BodyTextIndent"/>
        <w:rPr>
          <w:sz w:val="28"/>
        </w:rPr>
      </w:pPr>
      <w:r>
        <w:rPr>
          <w:sz w:val="28"/>
        </w:rPr>
      </w:r>
    </w:p>
    <w:p>
      <w:pPr>
        <w:pStyle w:val="BodyTextIndent"/>
        <w:rPr>
          <w:sz w:val="28"/>
        </w:rPr>
      </w:pPr>
      <w:r>
        <w:rPr>
          <w:sz w:val="28"/>
        </w:rPr>
        <w:t>California has already invested substantial responsibility in government agencies to build and manage resource portfolios for the state through the CDWR and the new Consumer Power and Conservation Financing Authority. SDG&amp;E can readily envision providing input into the Power Authority’s process, if the Power Authority desires it. However, the Company is concerned about the Commission placing an obligation on SDG&amp;E to engage in the same resource planning and acquisition exercise that the Power Authority will already be performing. The potential for conflict and confusion is tremendous, and the outcome could be costly to Californians. The Commission should work with policy makers to avoid the potential for conflict.</w:t>
      </w:r>
    </w:p>
    <w:p>
      <w:pPr>
        <w:pStyle w:val="BodyTextIndent"/>
        <w:rPr>
          <w:sz w:val="28"/>
        </w:rPr>
      </w:pPr>
      <w:r>
        <w:rPr>
          <w:sz w:val="28"/>
        </w:rPr>
      </w:r>
      <w:r>
        <w:br w:type="page"/>
      </w:r>
    </w:p>
    <w:p>
      <w:pPr>
        <w:pStyle w:val="Heading2"/>
        <w:rPr/>
      </w:pPr>
      <w:bookmarkStart w:id="33" w:name="__RefHeading___Toc523299278"/>
      <w:bookmarkEnd w:id="33"/>
      <w:r>
        <w:rPr/>
        <w:t>B.</w:t>
        <w:tab/>
        <w:t>Competitive Supply of Net Short Requirements</w:t>
      </w:r>
    </w:p>
    <w:p>
      <w:pPr>
        <w:pStyle w:val="BodyText"/>
        <w:ind w:start="720" w:end="0"/>
        <w:rPr/>
      </w:pPr>
      <w:r>
        <w:rPr/>
      </w:r>
    </w:p>
    <w:p>
      <w:pPr>
        <w:pStyle w:val="BodyText"/>
        <w:ind w:firstLine="720" w:end="0"/>
        <w:rPr>
          <w:i w:val="false"/>
          <w:i w:val="false"/>
        </w:rPr>
      </w:pPr>
      <w:r>
        <w:rPr>
          <w:i w:val="false"/>
        </w:rPr>
        <w:t>When the State embarked on industry restructuring, one purpose was to take advantage of the benefits that competitive markets can provide. Although California’s experience with markets has not been as anticipated, it is still possible that a disciplined application of the market with adequate regulatory oversight can offer advantages to consumers. In fact, some states have undertaken to use the competitive market to meet customers’ net short requirements. For example, in parts of Pennsylvania, the State decided to auction off a piece of the procurement obligation to the competitive market. California may decide that it wants to do the same type of thing. If a portion of the net short is auctioned off in this manner, from a planning standpoint, it should be treated the same as direct access: SDG&amp;E will need adequate notice and information to facilitate its planning for any net short position remaining to be served, and the same use of exit fees and re-entry fees should also apply.</w:t>
      </w:r>
    </w:p>
    <w:p>
      <w:pPr>
        <w:pStyle w:val="BodyText"/>
        <w:ind w:firstLine="720" w:end="0"/>
        <w:rPr>
          <w:i w:val="false"/>
          <w:i w:val="false"/>
        </w:rPr>
      </w:pPr>
      <w:r>
        <w:rPr>
          <w:i w:val="false"/>
        </w:rPr>
      </w:r>
    </w:p>
    <w:p>
      <w:pPr>
        <w:pStyle w:val="Heading2"/>
        <w:rPr/>
      </w:pPr>
      <w:bookmarkStart w:id="34" w:name="__RefHeading___Toc523299279"/>
      <w:bookmarkEnd w:id="34"/>
      <w:r>
        <w:rPr/>
        <w:t>C.</w:t>
        <w:tab/>
        <w:t>Supply By Local Districts</w:t>
      </w:r>
    </w:p>
    <w:p>
      <w:pPr>
        <w:pStyle w:val="Normal"/>
        <w:rPr/>
      </w:pPr>
      <w:r>
        <w:rPr/>
      </w:r>
    </w:p>
    <w:p>
      <w:pPr>
        <w:pStyle w:val="Normal"/>
        <w:ind w:firstLine="720" w:end="0"/>
        <w:rPr>
          <w:sz w:val="28"/>
        </w:rPr>
      </w:pPr>
      <w:r>
        <w:rPr>
          <w:sz w:val="28"/>
        </w:rPr>
        <w:t>The legislature has been considering various bills that would permit local agencies to purchase the net short position of consumers within their jurisdiction. Some local government agencies have expressed interest in the ability to do this. The Commission may want to pursue and encourage such an approach. If it does, then the same kind of planning notice and information need to be supplied to SDG&amp;E, and the same exit and re-entry fees should also apply since this type of service essentially resembles direct access service.</w:t>
      </w:r>
    </w:p>
    <w:p>
      <w:pPr>
        <w:pStyle w:val="Normal"/>
        <w:rPr>
          <w:sz w:val="28"/>
        </w:rPr>
      </w:pPr>
      <w:r>
        <w:rPr>
          <w:sz w:val="28"/>
        </w:rPr>
      </w:r>
    </w:p>
    <w:p>
      <w:pPr>
        <w:pStyle w:val="Heading2"/>
        <w:rPr/>
      </w:pPr>
      <w:bookmarkStart w:id="35" w:name="__RefHeading___Toc523299280"/>
      <w:r>
        <w:rPr/>
        <w:t>D.</w:t>
        <w:tab/>
        <w:t>The Utility Role in Procurement May Be Limited</w:t>
      </w:r>
      <w:bookmarkEnd w:id="35"/>
      <w:r>
        <w:rPr/>
        <w:t xml:space="preserve"> </w:t>
      </w:r>
    </w:p>
    <w:p>
      <w:pPr>
        <w:pStyle w:val="BodyTextIndent"/>
        <w:rPr/>
      </w:pPr>
      <w:r>
        <w:rPr/>
      </w:r>
    </w:p>
    <w:p>
      <w:pPr>
        <w:pStyle w:val="BodyTextIndent"/>
        <w:rPr>
          <w:sz w:val="28"/>
        </w:rPr>
      </w:pPr>
      <w:r>
        <w:rPr>
          <w:sz w:val="28"/>
        </w:rPr>
        <w:t>For the next several years, SDG&amp;E’s role in resource procurement will be relatively small, and will grow slowly because of the substantial forward position SDG&amp;E’s customers already have with the CDWR. The Power Authority’s role in planning and investment in electricity resources appears to diminish that even further. The State could consider two options with respect to existing assets. First, SDG&amp;E could continue to administer its ownership interest in San Onofre and in its purchase contracts, including management of those assets as part of a fairly limited portfolio. Alternatively, the State could manage those assets along with the CDWR contracts in a large single portfolio. As discussed above, combining utility retained generation into a single portfolio is likely to enhance flexibility and the ability to maximize value from the portfolio.</w:t>
      </w:r>
    </w:p>
    <w:p>
      <w:pPr>
        <w:pStyle w:val="BodyTextIndent"/>
        <w:rPr>
          <w:sz w:val="28"/>
        </w:rPr>
      </w:pPr>
      <w:r>
        <w:rPr>
          <w:sz w:val="28"/>
        </w:rPr>
      </w:r>
    </w:p>
    <w:p>
      <w:pPr>
        <w:pStyle w:val="Heading1"/>
        <w:ind w:hanging="0" w:start="0"/>
        <w:rPr>
          <w:rFonts w:ascii="Times New Roman" w:hAnsi="Times New Roman" w:cs="Times New Roman"/>
          <w:b w:val="false"/>
        </w:rPr>
      </w:pPr>
      <w:bookmarkStart w:id="36" w:name="__RefHeading___Toc523299281"/>
      <w:bookmarkEnd w:id="36"/>
      <w:r>
        <w:rPr>
          <w:rFonts w:cs="Times New Roman" w:ascii="Times New Roman" w:hAnsi="Times New Roman"/>
        </w:rPr>
        <w:t>V.</w:t>
        <w:tab/>
        <w:t>Conclusion</w:t>
      </w:r>
    </w:p>
    <w:p>
      <w:pPr>
        <w:pStyle w:val="Normal"/>
        <w:rPr>
          <w:rFonts w:ascii="Times New Roman" w:hAnsi="Times New Roman" w:cs="Times New Roman"/>
          <w:b/>
        </w:rPr>
      </w:pPr>
      <w:r>
        <w:rPr>
          <w:rFonts w:cs="Times New Roman"/>
          <w:b/>
        </w:rPr>
      </w:r>
    </w:p>
    <w:p>
      <w:pPr>
        <w:pStyle w:val="Normal"/>
        <w:ind w:firstLine="720" w:end="0"/>
        <w:rPr>
          <w:sz w:val="28"/>
        </w:rPr>
      </w:pPr>
      <w:r>
        <w:rPr>
          <w:sz w:val="28"/>
        </w:rPr>
        <w:t>By this filing, SDG&amp;E initiates the consideration of important resource planning and procurement issues that will affect SDG&amp;E’s retail consumers. To advance the process along in a timely manner, SDG&amp;E requests that the Commission take the following action by the target schedule of October 25, 2001 set forth in the Assigned Commissioner’s Ruling dated August 2, 2001:</w:t>
      </w:r>
    </w:p>
    <w:p>
      <w:pPr>
        <w:pStyle w:val="Normal"/>
        <w:ind w:firstLine="720" w:end="0"/>
        <w:rPr>
          <w:sz w:val="28"/>
        </w:rPr>
      </w:pPr>
      <w:r>
        <w:rPr>
          <w:sz w:val="28"/>
        </w:rPr>
      </w:r>
    </w:p>
    <w:p>
      <w:pPr>
        <w:pStyle w:val="Normal"/>
        <w:numPr>
          <w:ilvl w:val="0"/>
          <w:numId w:val="10"/>
        </w:numPr>
        <w:tabs>
          <w:tab w:val="left" w:pos="720" w:leader="none"/>
        </w:tabs>
        <w:ind w:hanging="720" w:start="720" w:end="0"/>
        <w:rPr>
          <w:sz w:val="28"/>
        </w:rPr>
      </w:pPr>
      <w:r>
        <w:rPr>
          <w:sz w:val="28"/>
        </w:rPr>
        <w:t>Approve SDG&amp;E’s proposed resource planning and procurement process as set forth in this filing. (Section III)</w:t>
      </w:r>
    </w:p>
    <w:p>
      <w:pPr>
        <w:pStyle w:val="Normal"/>
        <w:rPr>
          <w:sz w:val="28"/>
        </w:rPr>
      </w:pPr>
      <w:r>
        <w:rPr>
          <w:sz w:val="28"/>
        </w:rPr>
      </w:r>
    </w:p>
    <w:p>
      <w:pPr>
        <w:pStyle w:val="Normal"/>
        <w:numPr>
          <w:ilvl w:val="0"/>
          <w:numId w:val="2"/>
        </w:numPr>
        <w:tabs>
          <w:tab w:val="left" w:pos="720" w:leader="none"/>
        </w:tabs>
        <w:ind w:hanging="720" w:start="720" w:end="0"/>
        <w:rPr>
          <w:sz w:val="28"/>
        </w:rPr>
      </w:pPr>
      <w:r>
        <w:rPr>
          <w:sz w:val="28"/>
        </w:rPr>
        <w:t>Approve SDG&amp;E’s proposed Procurement Cost Adjustment Mechanism (PCAM) as set forth in this filing. (Section II)</w:t>
      </w:r>
    </w:p>
    <w:p>
      <w:pPr>
        <w:pStyle w:val="Normal"/>
        <w:ind w:firstLine="720" w:end="0"/>
        <w:rPr>
          <w:sz w:val="28"/>
        </w:rPr>
      </w:pPr>
      <w:r>
        <w:rPr>
          <w:sz w:val="28"/>
        </w:rPr>
      </w:r>
    </w:p>
    <w:p>
      <w:pPr>
        <w:pStyle w:val="Normal"/>
        <w:numPr>
          <w:ilvl w:val="0"/>
          <w:numId w:val="11"/>
        </w:numPr>
        <w:tabs>
          <w:tab w:val="left" w:pos="720" w:leader="none"/>
        </w:tabs>
        <w:ind w:hanging="720" w:start="720" w:end="0"/>
        <w:rPr>
          <w:sz w:val="28"/>
        </w:rPr>
      </w:pPr>
      <w:r>
        <w:rPr>
          <w:sz w:val="28"/>
        </w:rPr>
        <w:t>Initiate a process to confirm the allocation of CDWR energy being sold to SDG&amp;E’s customers based on the customers’ need for the types of products the CDWR has available. (Section II)</w:t>
      </w:r>
    </w:p>
    <w:p>
      <w:pPr>
        <w:pStyle w:val="Normal"/>
        <w:rPr>
          <w:sz w:val="28"/>
        </w:rPr>
      </w:pPr>
      <w:r>
        <w:rPr>
          <w:sz w:val="28"/>
        </w:rPr>
      </w:r>
    </w:p>
    <w:p>
      <w:pPr>
        <w:pStyle w:val="Normal"/>
        <w:numPr>
          <w:ilvl w:val="0"/>
          <w:numId w:val="11"/>
        </w:numPr>
        <w:tabs>
          <w:tab w:val="left" w:pos="720" w:leader="none"/>
        </w:tabs>
        <w:ind w:hanging="720" w:start="720" w:end="0"/>
        <w:rPr>
          <w:sz w:val="28"/>
        </w:rPr>
      </w:pPr>
      <w:r>
        <w:rPr>
          <w:sz w:val="28"/>
        </w:rPr>
        <w:t>Approve the Coordination of direct access with the planning process as set forth in this filing. (Section I.E.2.)</w:t>
      </w:r>
    </w:p>
    <w:p>
      <w:pPr>
        <w:pStyle w:val="Normal"/>
        <w:rPr>
          <w:sz w:val="28"/>
        </w:rPr>
      </w:pPr>
      <w:r>
        <w:rPr>
          <w:sz w:val="28"/>
        </w:rPr>
      </w:r>
    </w:p>
    <w:p>
      <w:pPr>
        <w:pStyle w:val="Normal"/>
        <w:numPr>
          <w:ilvl w:val="0"/>
          <w:numId w:val="11"/>
        </w:numPr>
        <w:tabs>
          <w:tab w:val="left" w:pos="720" w:leader="none"/>
        </w:tabs>
        <w:ind w:hanging="720" w:start="720" w:end="0"/>
        <w:rPr>
          <w:sz w:val="28"/>
        </w:rPr>
      </w:pPr>
      <w:r>
        <w:rPr>
          <w:sz w:val="28"/>
        </w:rPr>
        <w:t>Initiate development of a process for coordination of utility planning and procurement with State planning and procurement. (Section IV)</w:t>
      </w:r>
    </w:p>
    <w:p>
      <w:pPr>
        <w:pStyle w:val="Normal"/>
        <w:rPr>
          <w:sz w:val="28"/>
        </w:rPr>
      </w:pPr>
      <w:r>
        <w:rPr>
          <w:sz w:val="28"/>
        </w:rPr>
      </w:r>
    </w:p>
    <w:p>
      <w:pPr>
        <w:sectPr>
          <w:headerReference w:type="default" r:id="rId6"/>
          <w:footerReference w:type="default" r:id="rId7"/>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pStyle w:val="Normal"/>
        <w:numPr>
          <w:ilvl w:val="0"/>
          <w:numId w:val="11"/>
        </w:numPr>
        <w:tabs>
          <w:tab w:val="left" w:pos="720" w:leader="none"/>
        </w:tabs>
        <w:ind w:hanging="720" w:start="720" w:end="0"/>
        <w:rPr>
          <w:sz w:val="28"/>
        </w:rPr>
      </w:pPr>
      <w:r>
        <w:rPr>
          <w:sz w:val="28"/>
        </w:rPr>
        <w:t>Address alternatives to utility procurement, taking into account current circumstances affecting the other utilities and the role of the State in this function. (Section IV)</w:t>
      </w:r>
    </w:p>
    <w:p>
      <w:pPr>
        <w:pStyle w:val="Normal"/>
        <w:jc w:val="center"/>
        <w:rPr>
          <w:sz w:val="32"/>
        </w:rPr>
      </w:pPr>
      <w:r>
        <w:rPr>
          <w:sz w:val="32"/>
        </w:rPr>
        <w:t>Table of Contents</w:t>
      </w:r>
    </w:p>
    <w:p>
      <w:pPr>
        <w:pStyle w:val="Normal"/>
        <w:jc w:val="end"/>
        <w:rPr>
          <w:sz w:val="32"/>
          <w:u w:val="single"/>
        </w:rPr>
      </w:pPr>
      <w:r>
        <w:rPr>
          <w:sz w:val="32"/>
          <w:u w:val="single"/>
        </w:rPr>
        <w:t>Page</w:t>
      </w:r>
    </w:p>
    <w:p>
      <w:pPr>
        <w:pStyle w:val="Normal"/>
        <w:rPr>
          <w:sz w:val="28"/>
          <w:u w:val="single"/>
        </w:rPr>
      </w:pPr>
      <w:r>
        <w:rPr>
          <w:sz w:val="28"/>
          <w:u w:val="single"/>
        </w:rPr>
      </w:r>
    </w:p>
    <w:p>
      <w:pPr>
        <w:pStyle w:val="TOC1"/>
        <w:tabs>
          <w:tab w:val="clear" w:pos="720"/>
          <w:tab w:val="left" w:pos="400" w:leader="none"/>
          <w:tab w:val="right" w:pos="8630" w:leader="dot"/>
        </w:tabs>
        <w:rPr>
          <w:sz w:val="28"/>
        </w:rPr>
      </w:pPr>
      <w:r>
        <w:rPr>
          <w:sz w:val="28"/>
        </w:rPr>
        <w:t>Executive Summary</w:t>
      </w:r>
      <w:r>
        <w:rPr>
          <w:sz w:val="28"/>
          <w:lang w:val="en-CA"/>
        </w:rPr>
        <w:tab/>
        <w:t>iii</w:t>
        <w:br/>
        <w:br/>
      </w:r>
    </w:p>
    <w:sdt>
      <w:sdtPr>
        <w:docPartObj>
          <w:docPartGallery w:val="Table of Contents"/>
          <w:docPartUnique w:val="true"/>
        </w:docPartObj>
      </w:sdtPr>
      <w:sdtContent>
        <w:p>
          <w:pPr>
            <w:pStyle w:val="TOC1"/>
            <w:tabs>
              <w:tab w:val="clear" w:pos="720"/>
              <w:tab w:val="left" w:pos="400" w:leader="none"/>
              <w:tab w:val="right" w:pos="8630" w:leader="dot"/>
            </w:tabs>
            <w:rPr/>
          </w:pPr>
          <w:r>
            <w:fldChar w:fldCharType="begin"/>
          </w:r>
          <w:r>
            <w:rPr>
              <w:sz w:val="28"/>
              <w:lang w:val="en-CA"/>
            </w:rPr>
            <w:instrText xml:space="preserve"> TOC \o "1-3" </w:instrText>
          </w:r>
          <w:r>
            <w:rPr>
              <w:sz w:val="28"/>
              <w:lang w:val="en-CA"/>
            </w:rPr>
            <w:fldChar w:fldCharType="separate"/>
          </w:r>
          <w:r>
            <w:rPr>
              <w:sz w:val="28"/>
              <w:lang w:val="en-CA"/>
            </w:rPr>
            <w:t>I.</w:t>
            <w:tab/>
            <w:t>Introduction</w:t>
            <w:tab/>
          </w:r>
          <w:hyperlink w:anchor="__RefHeading___Toc523299243">
            <w:r>
              <w:rPr>
                <w:rStyle w:val="IndexLink"/>
                <w:sz w:val="28"/>
                <w:lang w:val="en-CA"/>
              </w:rPr>
              <w:t>1</w:t>
            </w:r>
          </w:hyperlink>
          <w:r>
            <w:rPr>
              <w:sz w:val="28"/>
              <w:lang w:val="en-CA"/>
            </w:rPr>
            <w:br/>
          </w:r>
        </w:p>
        <w:p>
          <w:pPr>
            <w:pStyle w:val="TOC2"/>
            <w:rPr/>
          </w:pPr>
          <w:r>
            <w:rPr/>
            <w:t>A.</w:t>
            <w:tab/>
            <w:t>Transition from California Department of Water Resources Procurement</w:t>
            <w:tab/>
          </w:r>
          <w:hyperlink w:anchor="__RefHeading___Toc523299244">
            <w:r>
              <w:rPr>
                <w:rStyle w:val="IndexLink"/>
              </w:rPr>
              <w:t>1</w:t>
            </w:r>
          </w:hyperlink>
        </w:p>
        <w:p>
          <w:pPr>
            <w:pStyle w:val="TOC2"/>
            <w:rPr/>
          </w:pPr>
          <w:r>
            <w:rPr/>
            <w:t>B.</w:t>
            <w:tab/>
            <w:t>Commission Action Requested</w:t>
            <w:tab/>
          </w:r>
          <w:hyperlink w:anchor="__RefHeading___Toc523299245">
            <w:r>
              <w:rPr>
                <w:rStyle w:val="IndexLink"/>
              </w:rPr>
              <w:t>2</w:t>
            </w:r>
          </w:hyperlink>
        </w:p>
        <w:p>
          <w:pPr>
            <w:pStyle w:val="TOC2"/>
            <w:rPr/>
          </w:pPr>
          <w:r>
            <w:rPr/>
            <w:t>C.</w:t>
            <w:tab/>
            <w:t>The Memorandum of Understanding</w:t>
            <w:tab/>
          </w:r>
          <w:hyperlink w:anchor="__RefHeading___Toc523299246">
            <w:r>
              <w:rPr>
                <w:rStyle w:val="IndexLink"/>
              </w:rPr>
              <w:t>3</w:t>
            </w:r>
          </w:hyperlink>
          <w:r>
            <w:rPr/>
            <w:br/>
          </w:r>
        </w:p>
        <w:p>
          <w:pPr>
            <w:pStyle w:val="TOC3"/>
            <w:rPr/>
          </w:pPr>
          <w:r>
            <w:rPr/>
            <w:t>1.</w:t>
            <w:tab/>
            <w:t>“Net Short”</w:t>
            <w:tab/>
          </w:r>
          <w:hyperlink w:anchor="__RefHeading___Toc523299247">
            <w:r>
              <w:rPr>
                <w:rStyle w:val="IndexLink"/>
              </w:rPr>
              <w:t>3</w:t>
            </w:r>
          </w:hyperlink>
        </w:p>
        <w:p>
          <w:pPr>
            <w:pStyle w:val="TOC3"/>
            <w:rPr/>
          </w:pPr>
          <w:r>
            <w:rPr/>
            <w:t>2.</w:t>
            <w:tab/>
            <w:t>Planning for Future Procurement</w:t>
            <w:tab/>
          </w:r>
          <w:hyperlink w:anchor="__RefHeading___Toc523299248">
            <w:r>
              <w:rPr>
                <w:rStyle w:val="IndexLink"/>
              </w:rPr>
              <w:t>3</w:t>
            </w:r>
          </w:hyperlink>
        </w:p>
        <w:p>
          <w:pPr>
            <w:pStyle w:val="TOC3"/>
            <w:rPr/>
          </w:pPr>
          <w:r>
            <w:rPr/>
            <w:t>3.</w:t>
            <w:tab/>
            <w:t>Procurement Cost Recovery Mechanism</w:t>
            <w:tab/>
          </w:r>
          <w:hyperlink w:anchor="__RefHeading___Toc523299249">
            <w:r>
              <w:rPr>
                <w:rStyle w:val="IndexLink"/>
              </w:rPr>
              <w:t>5</w:t>
            </w:r>
          </w:hyperlink>
          <w:r>
            <w:rPr/>
            <w:br/>
          </w:r>
        </w:p>
        <w:p>
          <w:pPr>
            <w:pStyle w:val="TOC1"/>
            <w:tabs>
              <w:tab w:val="clear" w:pos="720"/>
              <w:tab w:val="left" w:pos="400" w:leader="none"/>
              <w:tab w:val="right" w:pos="8630" w:leader="dot"/>
            </w:tabs>
            <w:rPr/>
          </w:pPr>
          <w:r>
            <w:rPr>
              <w:sz w:val="28"/>
              <w:lang w:val="en-CA"/>
            </w:rPr>
            <w:t>D.</w:t>
            <w:tab/>
            <w:t>Goals of a Procurement Policy:</w:t>
            <w:tab/>
          </w:r>
          <w:hyperlink w:anchor="__RefHeading___Toc523299250">
            <w:r>
              <w:rPr>
                <w:rStyle w:val="IndexLink"/>
                <w:sz w:val="28"/>
                <w:lang w:val="en-CA"/>
              </w:rPr>
              <w:t>5</w:t>
            </w:r>
          </w:hyperlink>
          <w:r>
            <w:rPr>
              <w:sz w:val="28"/>
              <w:lang w:val="en-CA"/>
            </w:rPr>
            <w:br/>
          </w:r>
        </w:p>
        <w:p>
          <w:pPr>
            <w:pStyle w:val="TOC1"/>
            <w:tabs>
              <w:tab w:val="clear" w:pos="720"/>
              <w:tab w:val="left" w:pos="400" w:leader="none"/>
              <w:tab w:val="right" w:pos="8630" w:leader="dot"/>
            </w:tabs>
            <w:rPr/>
          </w:pPr>
          <w:r>
            <w:rPr>
              <w:sz w:val="28"/>
              <w:lang w:val="en-CA"/>
            </w:rPr>
            <w:t>E.</w:t>
            <w:tab/>
            <w:t>Effects of Existing and Anticipated Commitments</w:t>
            <w:tab/>
          </w:r>
          <w:hyperlink w:anchor="__RefHeading___Toc523299251">
            <w:r>
              <w:rPr>
                <w:rStyle w:val="IndexLink"/>
                <w:sz w:val="28"/>
                <w:lang w:val="en-CA"/>
              </w:rPr>
              <w:t>6</w:t>
            </w:r>
          </w:hyperlink>
          <w:r>
            <w:rPr>
              <w:sz w:val="28"/>
              <w:lang w:val="en-CA"/>
            </w:rPr>
            <w:br/>
          </w:r>
        </w:p>
        <w:p>
          <w:pPr>
            <w:pStyle w:val="TOC3"/>
            <w:rPr/>
          </w:pPr>
          <w:r>
            <w:rPr/>
            <w:t>1.</w:t>
            <w:tab/>
            <w:t>CDWR Commitments:</w:t>
            <w:tab/>
          </w:r>
          <w:hyperlink w:anchor="__RefHeading___Toc523299252">
            <w:r>
              <w:rPr>
                <w:rStyle w:val="IndexLink"/>
              </w:rPr>
              <w:t>7</w:t>
            </w:r>
          </w:hyperlink>
        </w:p>
        <w:p>
          <w:pPr>
            <w:pStyle w:val="TOC3"/>
            <w:rPr/>
          </w:pPr>
          <w:r>
            <w:rPr/>
            <w:t>2.</w:t>
            <w:tab/>
            <w:t>Direct Access</w:t>
            <w:tab/>
          </w:r>
          <w:hyperlink w:anchor="__RefHeading___Toc523299253">
            <w:r>
              <w:rPr>
                <w:rStyle w:val="IndexLink"/>
              </w:rPr>
              <w:t>7</w:t>
            </w:r>
          </w:hyperlink>
        </w:p>
        <w:p>
          <w:pPr>
            <w:pStyle w:val="TOC3"/>
            <w:rPr/>
          </w:pPr>
          <w:r>
            <w:rPr/>
            <w:t>3.</w:t>
            <w:tab/>
            <w:t>Utility-Retained Generation</w:t>
            <w:tab/>
          </w:r>
          <w:hyperlink w:anchor="__RefHeading___Toc523299254">
            <w:r>
              <w:rPr>
                <w:rStyle w:val="IndexLink"/>
              </w:rPr>
              <w:t>9</w:t>
            </w:r>
          </w:hyperlink>
        </w:p>
        <w:p>
          <w:pPr>
            <w:pStyle w:val="TOC3"/>
            <w:rPr/>
          </w:pPr>
          <w:r>
            <w:rPr/>
            <w:t>4.</w:t>
            <w:tab/>
            <w:t>California Power Authority Commitments</w:t>
            <w:tab/>
          </w:r>
          <w:hyperlink w:anchor="__RefHeading___Toc523299255">
            <w:r>
              <w:rPr>
                <w:rStyle w:val="IndexLink"/>
              </w:rPr>
              <w:t>9</w:t>
            </w:r>
          </w:hyperlink>
          <w:r>
            <w:rPr/>
            <w:br/>
          </w:r>
        </w:p>
        <w:p>
          <w:pPr>
            <w:pStyle w:val="TOC1"/>
            <w:tabs>
              <w:tab w:val="clear" w:pos="720"/>
              <w:tab w:val="left" w:pos="400" w:leader="none"/>
              <w:tab w:val="right" w:pos="8630" w:leader="dot"/>
            </w:tabs>
            <w:rPr/>
          </w:pPr>
          <w:r>
            <w:rPr>
              <w:sz w:val="28"/>
              <w:lang w:val="en-CA"/>
            </w:rPr>
            <w:t>II.</w:t>
            <w:tab/>
            <w:t>Procurement Cost Adjustment Mechanism (PCAM)</w:t>
            <w:tab/>
          </w:r>
          <w:hyperlink w:anchor="__RefHeading___Toc523299256">
            <w:r>
              <w:rPr>
                <w:rStyle w:val="IndexLink"/>
                <w:sz w:val="28"/>
                <w:lang w:val="en-CA"/>
              </w:rPr>
              <w:t>10</w:t>
            </w:r>
          </w:hyperlink>
          <w:r>
            <w:rPr>
              <w:sz w:val="28"/>
              <w:lang w:val="en-CA"/>
            </w:rPr>
            <w:br/>
          </w:r>
        </w:p>
        <w:p>
          <w:pPr>
            <w:pStyle w:val="TOC1"/>
            <w:tabs>
              <w:tab w:val="clear" w:pos="720"/>
              <w:tab w:val="left" w:pos="600" w:leader="none"/>
              <w:tab w:val="right" w:pos="8630" w:leader="dot"/>
            </w:tabs>
            <w:rPr/>
          </w:pPr>
          <w:r>
            <w:rPr>
              <w:sz w:val="28"/>
              <w:lang w:val="en-CA"/>
            </w:rPr>
            <w:t>III.</w:t>
            <w:tab/>
            <w:t>SDG&amp;E’s Recommended Plan-Based Approach</w:t>
            <w:tab/>
          </w:r>
          <w:hyperlink w:anchor="__RefHeading___Toc523299257">
            <w:r>
              <w:rPr>
                <w:rStyle w:val="IndexLink"/>
                <w:sz w:val="28"/>
                <w:lang w:val="en-CA"/>
              </w:rPr>
              <w:t>11</w:t>
            </w:r>
          </w:hyperlink>
          <w:r>
            <w:rPr>
              <w:sz w:val="28"/>
              <w:lang w:val="en-CA"/>
            </w:rPr>
            <w:br/>
          </w:r>
        </w:p>
        <w:p>
          <w:pPr>
            <w:pStyle w:val="TOC2"/>
            <w:rPr/>
          </w:pPr>
          <w:r>
            <w:rPr/>
            <w:t xml:space="preserve">A.  </w:t>
            <w:tab/>
            <w:t>Overview of Plan-Based Approach:</w:t>
            <w:tab/>
          </w:r>
          <w:hyperlink w:anchor="__RefHeading___Toc523299258">
            <w:r>
              <w:rPr>
                <w:rStyle w:val="IndexLink"/>
              </w:rPr>
              <w:t>11</w:t>
            </w:r>
          </w:hyperlink>
        </w:p>
        <w:p>
          <w:pPr>
            <w:pStyle w:val="TOC2"/>
            <w:rPr/>
          </w:pPr>
          <w:r>
            <w:rPr/>
          </w:r>
        </w:p>
        <w:p>
          <w:pPr>
            <w:pStyle w:val="TOC2"/>
            <w:rPr/>
          </w:pPr>
          <w:r>
            <w:rPr/>
            <w:t>B.</w:t>
            <w:tab/>
            <w:t>Plan Elements and Development Methodologies</w:t>
            <w:tab/>
          </w:r>
          <w:hyperlink w:anchor="__RefHeading___Toc523299261">
            <w:r>
              <w:rPr>
                <w:rStyle w:val="IndexLink"/>
              </w:rPr>
              <w:t>13</w:t>
            </w:r>
          </w:hyperlink>
        </w:p>
        <w:p>
          <w:pPr>
            <w:pStyle w:val="TOC2"/>
            <w:rPr/>
          </w:pPr>
          <w:r>
            <w:rPr/>
          </w:r>
        </w:p>
        <w:p>
          <w:pPr>
            <w:pStyle w:val="TOC3"/>
            <w:rPr/>
          </w:pPr>
          <w:r>
            <w:rPr/>
            <w:t>1)</w:t>
            <w:tab/>
            <w:t>Existing Loads and Resources</w:t>
            <w:tab/>
          </w:r>
          <w:hyperlink w:anchor="__RefHeading___Toc523299262">
            <w:r>
              <w:rPr>
                <w:rStyle w:val="IndexLink"/>
              </w:rPr>
              <w:t>13</w:t>
            </w:r>
          </w:hyperlink>
        </w:p>
        <w:p>
          <w:pPr>
            <w:pStyle w:val="TOC3"/>
            <w:rPr/>
          </w:pPr>
          <w:r>
            <w:rPr/>
            <w:t>2)</w:t>
            <w:tab/>
            <w:t>Preliminary Assessment of Amount and Type of Resources to be Procured</w:t>
            <w:tab/>
          </w:r>
          <w:hyperlink w:anchor="__RefHeading___Toc523299263">
            <w:r>
              <w:rPr>
                <w:rStyle w:val="IndexLink"/>
              </w:rPr>
              <w:t>15</w:t>
            </w:r>
          </w:hyperlink>
        </w:p>
        <w:p>
          <w:pPr>
            <w:pStyle w:val="TOC3"/>
            <w:rPr/>
          </w:pPr>
          <w:r>
            <w:rPr/>
            <w:t>3)</w:t>
            <w:tab/>
            <w:t>Risk Management Assessment</w:t>
            <w:tab/>
          </w:r>
          <w:hyperlink w:anchor="__RefHeading___Toc523299264">
            <w:r>
              <w:rPr>
                <w:rStyle w:val="IndexLink"/>
              </w:rPr>
              <w:t>19</w:t>
            </w:r>
          </w:hyperlink>
        </w:p>
        <w:p>
          <w:pPr>
            <w:pStyle w:val="TOC3"/>
            <w:rPr/>
          </w:pPr>
          <w:r>
            <w:rPr/>
            <w:t>4)</w:t>
            <w:tab/>
            <w:t>Procurement Methodology to be Followed</w:t>
            <w:tab/>
          </w:r>
          <w:hyperlink w:anchor="__RefHeading___Toc523299265">
            <w:r>
              <w:rPr>
                <w:rStyle w:val="IndexLink"/>
              </w:rPr>
              <w:t>20</w:t>
            </w:r>
          </w:hyperlink>
        </w:p>
        <w:p>
          <w:pPr>
            <w:pStyle w:val="TOC3"/>
            <w:rPr/>
          </w:pPr>
          <w:r>
            <w:rPr/>
            <w:t>5)</w:t>
            <w:tab/>
            <w:t>Plan Flexibility</w:t>
            <w:tab/>
          </w:r>
          <w:hyperlink w:anchor="__RefHeading___Toc523299266">
            <w:r>
              <w:rPr>
                <w:rStyle w:val="IndexLink"/>
              </w:rPr>
              <w:t>28</w:t>
            </w:r>
          </w:hyperlink>
          <w:r>
            <w:rPr/>
            <w:br/>
          </w:r>
        </w:p>
        <w:p>
          <w:pPr>
            <w:pStyle w:val="TOC2"/>
            <w:rPr/>
          </w:pPr>
          <w:r>
            <w:rPr/>
            <w:t xml:space="preserve">C.  </w:t>
            <w:tab/>
            <w:t>Confidentiality</w:t>
            <w:tab/>
          </w:r>
          <w:hyperlink w:anchor="__RefHeading___Toc523299267">
            <w:r>
              <w:rPr>
                <w:rStyle w:val="IndexLink"/>
              </w:rPr>
              <w:t>30</w:t>
            </w:r>
          </w:hyperlink>
          <w:r>
            <w:rPr/>
            <w:br/>
          </w:r>
        </w:p>
        <w:p>
          <w:pPr>
            <w:pStyle w:val="TOC2"/>
            <w:rPr/>
          </w:pPr>
          <w:r>
            <w:rPr/>
            <w:t>D.</w:t>
            <w:tab/>
            <w:t>Proposed Timetable</w:t>
            <w:tab/>
          </w:r>
          <w:hyperlink w:anchor="__RefHeading___Toc523299268">
            <w:r>
              <w:rPr>
                <w:rStyle w:val="IndexLink"/>
              </w:rPr>
              <w:t>30</w:t>
            </w:r>
          </w:hyperlink>
          <w:r>
            <w:rPr/>
            <w:br/>
          </w:r>
        </w:p>
        <w:p>
          <w:pPr>
            <w:pStyle w:val="TOC2"/>
            <w:rPr/>
          </w:pPr>
          <w:r>
            <w:rPr/>
            <w:t>E.</w:t>
            <w:tab/>
            <w:t>Reasonableness Issues</w:t>
            <w:tab/>
          </w:r>
          <w:hyperlink w:anchor="__RefHeading___Toc523299269">
            <w:r>
              <w:rPr>
                <w:rStyle w:val="IndexLink"/>
              </w:rPr>
              <w:t>31</w:t>
            </w:r>
          </w:hyperlink>
          <w:r>
            <w:rPr/>
            <w:br/>
          </w:r>
        </w:p>
        <w:p>
          <w:pPr>
            <w:pStyle w:val="TOC1"/>
            <w:tabs>
              <w:tab w:val="clear" w:pos="720"/>
              <w:tab w:val="left" w:pos="600" w:leader="none"/>
              <w:tab w:val="right" w:pos="8630" w:leader="dot"/>
            </w:tabs>
            <w:rPr/>
          </w:pPr>
          <w:r>
            <w:rPr>
              <w:sz w:val="28"/>
              <w:lang w:val="en-CA"/>
            </w:rPr>
            <w:t>IV.</w:t>
            <w:tab/>
            <w:t>Other Options for Meeting Customers’ Net Short Requirements</w:t>
            <w:tab/>
          </w:r>
          <w:hyperlink w:anchor="__RefHeading___Toc523299270">
            <w:r>
              <w:rPr>
                <w:rStyle w:val="IndexLink"/>
                <w:sz w:val="28"/>
                <w:lang w:val="en-CA"/>
              </w:rPr>
              <w:t>31</w:t>
            </w:r>
          </w:hyperlink>
          <w:r>
            <w:rPr>
              <w:sz w:val="28"/>
              <w:lang w:val="en-CA"/>
            </w:rPr>
            <w:br/>
          </w:r>
        </w:p>
        <w:p>
          <w:pPr>
            <w:pStyle w:val="TOC2"/>
            <w:rPr/>
          </w:pPr>
          <w:r>
            <w:rPr/>
            <w:t>A.</w:t>
            <w:tab/>
            <w:t>State Role in Procurement</w:t>
            <w:tab/>
          </w:r>
          <w:hyperlink w:anchor="__RefHeading___Toc523299271">
            <w:r>
              <w:rPr>
                <w:rStyle w:val="IndexLink"/>
              </w:rPr>
              <w:t>32</w:t>
            </w:r>
          </w:hyperlink>
          <w:r>
            <w:rPr/>
            <w:br/>
          </w:r>
        </w:p>
        <w:p>
          <w:pPr>
            <w:pStyle w:val="TOC3"/>
            <w:rPr/>
          </w:pPr>
          <w:r>
            <w:rPr/>
            <w:t>1.</w:t>
            <w:tab/>
            <w:t>Reliability and New Resources:</w:t>
            <w:tab/>
          </w:r>
          <w:hyperlink w:anchor="__RefHeading___Toc523299272">
            <w:r>
              <w:rPr>
                <w:rStyle w:val="IndexLink"/>
              </w:rPr>
              <w:t>32</w:t>
            </w:r>
          </w:hyperlink>
        </w:p>
        <w:p>
          <w:pPr>
            <w:pStyle w:val="TOC3"/>
            <w:rPr/>
          </w:pPr>
          <w:r>
            <w:rPr/>
            <w:t>2.</w:t>
            <w:tab/>
            <w:t>CDWR Contracts:</w:t>
            <w:tab/>
          </w:r>
          <w:hyperlink w:anchor="__RefHeading___Toc523299273">
            <w:r>
              <w:rPr>
                <w:rStyle w:val="IndexLink"/>
              </w:rPr>
              <w:t>33</w:t>
            </w:r>
          </w:hyperlink>
        </w:p>
        <w:p>
          <w:pPr>
            <w:pStyle w:val="TOC3"/>
            <w:rPr/>
          </w:pPr>
          <w:r>
            <w:rPr/>
            <w:t>3.</w:t>
            <w:tab/>
            <w:t>Optimize Existing Utility-Retained Generation</w:t>
            <w:tab/>
          </w:r>
          <w:hyperlink w:anchor="__RefHeading___Toc523299274">
            <w:r>
              <w:rPr>
                <w:rStyle w:val="IndexLink"/>
              </w:rPr>
              <w:t>34</w:t>
            </w:r>
          </w:hyperlink>
        </w:p>
        <w:p>
          <w:pPr>
            <w:pStyle w:val="TOC3"/>
            <w:rPr/>
          </w:pPr>
          <w:r>
            <w:rPr/>
            <w:t>4.</w:t>
            <w:tab/>
            <w:t>Efficient Administration:</w:t>
            <w:tab/>
          </w:r>
          <w:hyperlink w:anchor="__RefHeading___Toc523299275">
            <w:r>
              <w:rPr>
                <w:rStyle w:val="IndexLink"/>
              </w:rPr>
              <w:t>34</w:t>
            </w:r>
          </w:hyperlink>
        </w:p>
        <w:p>
          <w:pPr>
            <w:pStyle w:val="TOC3"/>
            <w:rPr/>
          </w:pPr>
          <w:r>
            <w:rPr/>
            <w:t>5.</w:t>
            <w:tab/>
            <w:t>Oversight and State Policy Implementation:</w:t>
            <w:tab/>
          </w:r>
          <w:hyperlink w:anchor="__RefHeading___Toc523299276">
            <w:r>
              <w:rPr>
                <w:rStyle w:val="IndexLink"/>
              </w:rPr>
              <w:t>35</w:t>
            </w:r>
          </w:hyperlink>
        </w:p>
        <w:p>
          <w:pPr>
            <w:pStyle w:val="TOC3"/>
            <w:rPr/>
          </w:pPr>
          <w:r>
            <w:rPr/>
            <w:t>6.</w:t>
            <w:tab/>
            <w:t>Avoiding Conflicts</w:t>
            <w:tab/>
          </w:r>
          <w:hyperlink w:anchor="__RefHeading___Toc523299277">
            <w:r>
              <w:rPr>
                <w:rStyle w:val="IndexLink"/>
              </w:rPr>
              <w:t>35</w:t>
            </w:r>
          </w:hyperlink>
          <w:r>
            <w:rPr/>
            <w:br/>
          </w:r>
        </w:p>
        <w:p>
          <w:pPr>
            <w:pStyle w:val="TOC2"/>
            <w:rPr/>
          </w:pPr>
          <w:r>
            <w:rPr/>
            <w:t>B.</w:t>
            <w:tab/>
            <w:t>Competitive Supply of Net Short Requirements</w:t>
            <w:tab/>
          </w:r>
          <w:hyperlink w:anchor="__RefHeading___Toc523299278">
            <w:r>
              <w:rPr>
                <w:rStyle w:val="IndexLink"/>
              </w:rPr>
              <w:t>36</w:t>
            </w:r>
          </w:hyperlink>
          <w:r>
            <w:rPr/>
            <w:br/>
          </w:r>
        </w:p>
        <w:p>
          <w:pPr>
            <w:pStyle w:val="TOC2"/>
            <w:rPr/>
          </w:pPr>
          <w:r>
            <w:rPr/>
            <w:t>C.</w:t>
            <w:tab/>
            <w:t>Supply By Local Districts</w:t>
            <w:tab/>
          </w:r>
          <w:hyperlink w:anchor="__RefHeading___Toc523299279">
            <w:r>
              <w:rPr>
                <w:rStyle w:val="IndexLink"/>
              </w:rPr>
              <w:t>36</w:t>
            </w:r>
          </w:hyperlink>
          <w:r>
            <w:rPr/>
            <w:br/>
          </w:r>
        </w:p>
        <w:p>
          <w:pPr>
            <w:pStyle w:val="TOC2"/>
            <w:rPr/>
          </w:pPr>
          <w:r>
            <w:rPr/>
            <w:t>D.</w:t>
            <w:tab/>
            <w:t>The Utility Role in Procurement May Be Limited</w:t>
            <w:tab/>
          </w:r>
          <w:hyperlink w:anchor="__RefHeading___Toc523299280">
            <w:r>
              <w:rPr>
                <w:rStyle w:val="IndexLink"/>
              </w:rPr>
              <w:t>36</w:t>
            </w:r>
          </w:hyperlink>
          <w:r>
            <w:rPr/>
            <w:br/>
          </w:r>
        </w:p>
        <w:p>
          <w:pPr>
            <w:pStyle w:val="TOC1"/>
            <w:tabs>
              <w:tab w:val="clear" w:pos="720"/>
              <w:tab w:val="left" w:pos="400" w:leader="none"/>
              <w:tab w:val="right" w:pos="8630" w:leader="dot"/>
            </w:tabs>
            <w:rPr>
              <w:sz w:val="28"/>
              <w:lang w:val="en-CA"/>
            </w:rPr>
          </w:pPr>
          <w:r>
            <w:rPr>
              <w:sz w:val="28"/>
              <w:lang w:val="en-CA"/>
            </w:rPr>
            <w:t>V.</w:t>
            <w:tab/>
            <w:t>Conclusion</w:t>
            <w:tab/>
          </w:r>
          <w:hyperlink w:anchor="__RefHeading___Toc523299281">
            <w:r>
              <w:rPr>
                <w:rStyle w:val="IndexLink"/>
                <w:sz w:val="28"/>
                <w:lang w:val="en-CA"/>
              </w:rPr>
              <w:t>37</w:t>
            </w:r>
          </w:hyperlink>
          <w:r>
            <w:rPr>
              <w:rStyle w:val="IndexLink"/>
              <w:sz w:val="28"/>
              <w:lang w:val="en-CA"/>
            </w:rPr>
            <w:fldChar w:fldCharType="end"/>
          </w:r>
        </w:p>
      </w:sdtContent>
    </w:sdt>
    <w:p>
      <w:pPr>
        <w:pStyle w:val="Normal"/>
        <w:jc w:val="center"/>
        <w:rPr>
          <w:sz w:val="32"/>
          <w:lang w:val="en-CA"/>
        </w:rPr>
      </w:pPr>
      <w:r>
        <w:rPr>
          <w:sz w:val="32"/>
          <w:lang w:val="en-CA"/>
        </w:rPr>
      </w:r>
    </w:p>
    <w:sectPr>
      <w:headerReference w:type="default" r:id="rId8"/>
      <w:headerReference w:type="first" r:id="rId9"/>
      <w:footerReference w:type="default" r:id="rId10"/>
      <w:footerReference w:type="first" r:id="rId11"/>
      <w:footnotePr>
        <w:numFmt w:val="decimal"/>
      </w:footnotePr>
      <w:type w:val="nextPage"/>
      <w:pgSz w:w="12240" w:h="15840"/>
      <w:pgMar w:left="1800" w:right="1800" w:gutter="0" w:header="720" w:top="1440" w:footer="72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Marlett">
    <w:charset w:val="02"/>
    <w:family w:val="auto"/>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1120" cy="146685"/>
              <wp:effectExtent l="0" t="0" r="0" b="0"/>
              <wp:wrapSquare wrapText="bothSides"/>
              <wp:docPr id="8" name="Frame4"/>
              <a:graphic xmlns:a="http://schemas.openxmlformats.org/drawingml/2006/main">
                <a:graphicData uri="http://schemas.microsoft.com/office/word/2010/wordprocessingShape">
                  <wps:wsp>
                    <wps:cNvSpPr txBox="1"/>
                    <wps:spPr>
                      <a:xfrm>
                        <a:off x="0" y="0"/>
                        <a:ext cx="71120"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6pt;height:11.55pt;mso-wrap-distance-left:0pt;mso-wrap-distance-right:0pt;mso-wrap-distance-top:0pt;mso-wrap-distance-bottom:0pt;margin-top:0.05pt;mso-position-vertical-relative:text;margin-left:21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Commission has adopted a procedural schedule for addressing implementation of Section 9 by the Assigned Commissioner’s Ruling, dated August 2, 2001.</w:t>
      </w:r>
    </w:p>
  </w:footnote>
  <w:footnote w:id="3">
    <w:p>
      <w:pPr>
        <w:pStyle w:val="FootnoteText"/>
        <w:rPr/>
      </w:pPr>
      <w:r>
        <w:rPr>
          <w:rStyle w:val="FootnoteCharacters"/>
        </w:rPr>
        <w:footnoteRef/>
      </w:r>
      <w:r>
        <w:rPr/>
        <w:t xml:space="preserve"> </w:t>
      </w:r>
      <w:r>
        <w:rPr/>
        <w:t xml:space="preserve">See, for example, Decision 00-06-034, mimeo at 87 (Finding of Fact 1); D. 00-09-075, mimeo at 6. Although the Commission may not resolve with finality this question in response to this Filing, SDG&amp;E expects that the Commission will ultimately weigh and resolve that issue. </w:t>
      </w:r>
    </w:p>
  </w:footnote>
  <w:footnote w:id="4">
    <w:p>
      <w:pPr>
        <w:pStyle w:val="FootnoteText"/>
        <w:rPr/>
      </w:pPr>
      <w:r>
        <w:rPr>
          <w:rStyle w:val="FootnoteCharacters"/>
        </w:rPr>
        <w:footnoteRef/>
      </w:r>
      <w:r>
        <w:rPr/>
        <w:t xml:space="preserve"> </w:t>
      </w:r>
      <w:r>
        <w:rPr/>
        <w:t>Another prerequisite to developing such a plan is to have a clear understanding on how customer choice opportunities will be permitted to occur in order to reflect accurately the amount of customer load being served by third party providers. SDG&amp;E supports a planning cycle that provides for an open subscription period in advance of developing a procurement plan so that customer commitments to other suppliers can be transparently taken into account. This is discussed further later in this filing.</w:t>
      </w:r>
    </w:p>
  </w:footnote>
  <w:footnote w:id="5">
    <w:p>
      <w:pPr>
        <w:pStyle w:val="FootnoteText"/>
        <w:rPr/>
      </w:pPr>
      <w:r>
        <w:rPr>
          <w:rStyle w:val="FootnoteCharacters"/>
        </w:rPr>
        <w:footnoteRef/>
      </w:r>
      <w:r>
        <w:rPr/>
        <w:t xml:space="preserve"> </w:t>
      </w:r>
      <w:r>
        <w:rPr/>
        <w:t>These contracts are for delivery of a specified MW quantity for 24 hour per day for seven days per week.</w:t>
      </w:r>
    </w:p>
  </w:footnote>
  <w:footnote w:id="6">
    <w:p>
      <w:pPr>
        <w:pStyle w:val="FootnoteText"/>
        <w:rPr/>
      </w:pPr>
      <w:r>
        <w:rPr>
          <w:rStyle w:val="FootnoteCharacters"/>
        </w:rPr>
        <w:footnoteRef/>
      </w:r>
      <w:r>
        <w:rPr/>
        <w:t xml:space="preserve"> </w:t>
      </w:r>
      <w:r>
        <w:rPr/>
        <w:t>These contracts are for delivery of a specified MW quantity during 16 on peak hours (hour ending 0700 to hour ending 2200) for 6 days per week (Monday through Saturday, excluding 6 NERC holidays)</w:t>
      </w:r>
    </w:p>
  </w:footnote>
  <w:footnote w:id="7">
    <w:p>
      <w:pPr>
        <w:pStyle w:val="FootnoteText"/>
        <w:rPr/>
      </w:pPr>
      <w:r>
        <w:rPr>
          <w:rStyle w:val="FootnoteCharacters"/>
        </w:rPr>
        <w:footnoteRef/>
      </w:r>
      <w:r>
        <w:rPr/>
        <w:t xml:space="preserve"> </w:t>
      </w:r>
      <w:r>
        <w:rPr/>
        <w:t xml:space="preserve">The custom SDG&amp;E profile modifies the standard 6x16 contact in the following manner: 1) hour 07 delivery is eliminated, 2) hour 08 delivery is shifted to hour 23, and 3) 50% of hour 09 delivery is shifted to hour 24. </w:t>
      </w:r>
    </w:p>
  </w:footnote>
  <w:footnote w:id="8">
    <w:p>
      <w:pPr>
        <w:pStyle w:val="FootnoteText"/>
        <w:rPr/>
      </w:pPr>
      <w:r>
        <w:rPr>
          <w:rStyle w:val="FootnoteCharacters"/>
        </w:rPr>
        <w:footnoteRef/>
      </w:r>
      <w:r>
        <w:rPr/>
        <w:t xml:space="preserve"> </w:t>
      </w:r>
      <w:r>
        <w:rPr>
          <w:sz w:val="24"/>
        </w:rPr>
        <w:t>In order to make efficient use of the ISO's real-time market, it will be necessary for the CPUC to revisit CPUC Decision 01-01-061 which currently requires each California Investor Owned Utility (IOU) to offer surplus power, at cost, to the other two IOUs prior to marketing this power to other parties, including, presumably, the ISO.  The current requirement is both inefficient--in that it does not allow the IOUs to maximize the value of their surplus power--and impractical--in that there is often insufficient time to attempt to make contractual and physical arrangements with the other two IOUs prior to operation of the ISO's real-time market.</w:t>
      </w:r>
    </w:p>
  </w:footnote>
  <w:footnote w:id="9">
    <w:p>
      <w:pPr>
        <w:pStyle w:val="FootnoteText"/>
        <w:rPr/>
      </w:pPr>
      <w:r>
        <w:rPr>
          <w:rStyle w:val="FootnoteCharacters"/>
        </w:rPr>
        <w:footnoteRef/>
      </w:r>
      <w:r>
        <w:rPr/>
        <w:t xml:space="preserve"> </w:t>
      </w:r>
      <w:r>
        <w:rPr/>
        <w:t>See footnote 1 above</w:t>
      </w:r>
    </w:p>
  </w:footnote>
  <w:footnote w:id="10">
    <w:p>
      <w:pPr>
        <w:pStyle w:val="FootnoteText"/>
        <w:rPr/>
      </w:pPr>
      <w:r>
        <w:rPr>
          <w:rStyle w:val="FootnoteCharacters"/>
        </w:rPr>
        <w:footnoteRef/>
      </w:r>
      <w:r>
        <w:rPr/>
        <w:t xml:space="preserve"> </w:t>
      </w:r>
      <w:r>
        <w:rPr/>
        <w:t>Public Utilities Code Section 3300</w:t>
      </w:r>
    </w:p>
  </w:footnote>
  <w:footnote w:id="11">
    <w:p>
      <w:pPr>
        <w:pStyle w:val="FootnoteText"/>
        <w:rPr/>
      </w:pPr>
      <w:r>
        <w:rPr>
          <w:rStyle w:val="FootnoteCharacters"/>
        </w:rPr>
        <w:footnoteRef/>
      </w:r>
      <w:r>
        <w:rPr/>
        <w:t xml:space="preserve"> </w:t>
      </w:r>
      <w:r>
        <w:rPr/>
        <w:t>Public Utilities Code Section 3369 (b-d)</w:t>
      </w:r>
    </w:p>
  </w:footnote>
  <w:footnote w:id="12">
    <w:p>
      <w:pPr>
        <w:pStyle w:val="FootnoteText"/>
        <w:rPr/>
      </w:pPr>
      <w:r>
        <w:rPr>
          <w:rStyle w:val="FootnoteCharacters"/>
        </w:rPr>
        <w:footnoteRef/>
      </w:r>
      <w:r>
        <w:rPr/>
        <w:t xml:space="preserve"> </w:t>
      </w:r>
      <w:r>
        <w:rPr/>
        <w:t>See, e.g., CDWR contract with Coral Power.</w:t>
      </w:r>
    </w:p>
  </w:footnote>
  <w:footnote w:id="13">
    <w:p>
      <w:pPr>
        <w:pStyle w:val="FootnoteText"/>
        <w:rPr/>
      </w:pPr>
      <w:r>
        <w:rPr>
          <w:rStyle w:val="FootnoteCharacters"/>
        </w:rPr>
        <w:footnoteRef/>
      </w:r>
      <w:r>
        <w:rPr/>
        <w:t xml:space="preserve"> </w:t>
      </w:r>
      <w:r>
        <w:rPr/>
        <w:t>The amount of procurement needed to fill current net short positions in the State is likely to  be fairly low for several years. According to the CDWR website, for 2004, the Department has filled anywhere from 73-100% of the State’s projected net short, without taking into account the five new contracts the Department has recently announced.</w:t>
      </w:r>
      <w:r>
        <w:rPr>
          <w:rStyle w:val="FootnoteCharacters"/>
        </w:rPr>
        <w:t>?</w:t>
      </w:r>
      <w:r>
        <w:rPr/>
        <w:t xml:space="preserve"> That leaves few resources left for acquisition, particularly if the State decides that San Diego consumers should not be contracted 100% long. Indeed, it is likely that the Department, or its successor, may have surplus resources during some hours of the year and will need to seek to market those resources. Thus, the State will want to manage this supply portfolio very carefully and take advantage of every opportunity to squeeze value from it.</w:t>
      </w:r>
    </w:p>
  </w:footnote>
  <w:footnote w:id="14">
    <w:p>
      <w:pPr>
        <w:pStyle w:val="FootnoteText"/>
        <w:rPr/>
      </w:pPr>
      <w:r>
        <w:rPr>
          <w:rStyle w:val="FootnoteCharacters"/>
        </w:rPr>
        <w:footnoteRef/>
      </w:r>
      <w:r>
        <w:rPr/>
        <w:t xml:space="preserve"> </w:t>
      </w:r>
      <w:r>
        <w:rPr/>
        <w:t>One way to address this potential would be for the State to auction the contracts off. SDG&amp;E would be interested in discussing this further.</w:t>
      </w:r>
    </w:p>
  </w:footnote>
  <w:footnote w:id="15">
    <w:p>
      <w:pPr>
        <w:pStyle w:val="FootnoteText"/>
        <w:rPr/>
      </w:pPr>
      <w:r>
        <w:rPr>
          <w:rStyle w:val="FootnoteCharacters"/>
        </w:rPr>
        <w:footnoteRef/>
      </w:r>
      <w:r>
        <w:rPr/>
        <w:t xml:space="preserve"> </w:t>
      </w:r>
      <w:r>
        <w:rPr/>
        <w:t>For example, California could apply the ancillary service benefits of hydro for statewide gain, rather than simply selling that asset to the ISO.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16"/>
      </w:rPr>
    </w:lvl>
  </w:abstractNum>
  <w:abstractNum w:abstractNumId="3">
    <w:lvl w:ilvl="0">
      <w:start w:val="2"/>
      <w:numFmt w:val="upperRoman"/>
      <w:lvlText w:val="%1."/>
      <w:lvlJc w:val="start"/>
      <w:pPr>
        <w:tabs>
          <w:tab w:val="num" w:pos="720"/>
        </w:tabs>
        <w:ind w:start="720" w:hanging="720"/>
      </w:pPr>
      <w:r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bullet"/>
      <w:lvlText w:val=""/>
      <w:lvlJc w:val="start"/>
      <w:pPr>
        <w:tabs>
          <w:tab w:val="num" w:pos="360"/>
        </w:tabs>
        <w:ind w:start="360" w:hanging="360"/>
      </w:pPr>
      <w:rPr>
        <w:rFonts w:ascii="Wingdings" w:hAnsi="Wingdings" w:cs="Wingdings" w:hint="default"/>
        <w:sz w:val="16"/>
      </w:rPr>
    </w:lvl>
  </w:abstractNum>
  <w:abstractNum w:abstractNumId="6">
    <w:lvl w:ilvl="0">
      <w:start w:val="1"/>
      <w:numFmt w:val="bullet"/>
      <w:lvlText w:val=""/>
      <w:lvlJc w:val="start"/>
      <w:pPr>
        <w:tabs>
          <w:tab w:val="num" w:pos="360"/>
        </w:tabs>
        <w:ind w:start="360" w:hanging="360"/>
      </w:pPr>
      <w:rPr>
        <w:rFonts w:ascii="Wingdings" w:hAnsi="Wingdings" w:cs="Wingdings" w:hint="default"/>
        <w:sz w:val="16"/>
      </w:rPr>
    </w:lvl>
  </w:abstractNum>
  <w:abstractNum w:abstractNumId="7">
    <w:lvl w:ilvl="0">
      <w:start w:val="1"/>
      <w:numFmt w:val="bullet"/>
      <w:lvlText w:val=""/>
      <w:lvlJc w:val="start"/>
      <w:pPr>
        <w:tabs>
          <w:tab w:val="num" w:pos="360"/>
        </w:tabs>
        <w:ind w:start="360" w:hanging="360"/>
      </w:pPr>
      <w:rPr>
        <w:rFonts w:ascii="Wingdings" w:hAnsi="Wingdings" w:cs="Wingdings" w:hint="default"/>
        <w:sz w:val="16"/>
      </w:rPr>
    </w:lvl>
  </w:abstractNum>
  <w:abstractNum w:abstractNumId="8">
    <w:lvl w:ilvl="0">
      <w:start w:val="1"/>
      <w:numFmt w:val="decimal"/>
      <w:lvlText w:val="(%1)"/>
      <w:lvlJc w:val="start"/>
      <w:pPr>
        <w:tabs>
          <w:tab w:val="num" w:pos="1080"/>
        </w:tabs>
        <w:ind w:start="1080" w:hanging="360"/>
      </w:pPr>
      <w:rPr/>
    </w:lvl>
  </w:abstractNum>
  <w:abstractNum w:abstractNumId="9">
    <w:lvl w:ilvl="0">
      <w:start w:val="1"/>
      <w:numFmt w:val="bullet"/>
      <w:lvlText w:val=""/>
      <w:lvlJc w:val="start"/>
      <w:pPr>
        <w:tabs>
          <w:tab w:val="num" w:pos="360"/>
        </w:tabs>
        <w:ind w:start="360" w:hanging="360"/>
      </w:pPr>
      <w:rPr>
        <w:rFonts w:ascii="Wingdings" w:hAnsi="Wingdings" w:cs="Wingdings" w:hint="default"/>
        <w:sz w:val="16"/>
      </w:rPr>
    </w:lvl>
  </w:abstractNum>
  <w:abstractNum w:abstractNumId="10">
    <w:lvl w:ilvl="0">
      <w:start w:val="1"/>
      <w:numFmt w:val="bullet"/>
      <w:lvlText w:val=""/>
      <w:lvlJc w:val="start"/>
      <w:pPr>
        <w:tabs>
          <w:tab w:val="num" w:pos="360"/>
        </w:tabs>
        <w:ind w:start="360" w:hanging="360"/>
      </w:pPr>
      <w:rPr>
        <w:rFonts w:ascii="Wingdings" w:hAnsi="Wingdings" w:cs="Wingdings" w:hint="default"/>
        <w:sz w:val="16"/>
      </w:rPr>
    </w:lvl>
  </w:abstractNum>
  <w:abstractNum w:abstractNumId="11">
    <w:lvl w:ilvl="0">
      <w:start w:val="1"/>
      <w:numFmt w:val="bullet"/>
      <w:lvlText w:val=""/>
      <w:lvlJc w:val="start"/>
      <w:pPr>
        <w:tabs>
          <w:tab w:val="num" w:pos="360"/>
        </w:tabs>
        <w:ind w:start="360" w:hanging="360"/>
      </w:pPr>
      <w:rPr>
        <w:rFonts w:ascii="Wingdings" w:hAnsi="Wingdings" w:cs="Wingdings" w:hint="default"/>
        <w:sz w:val="16"/>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ind w:hanging="720" w:start="720" w:end="0"/>
      <w:outlineLvl w:val="1"/>
    </w:pPr>
    <w:rPr>
      <w:b/>
      <w:sz w:val="28"/>
    </w:rPr>
  </w:style>
  <w:style w:type="paragraph" w:styleId="Heading3">
    <w:name w:val="heading 3"/>
    <w:basedOn w:val="Normal"/>
    <w:next w:val="Normal"/>
    <w:qFormat/>
    <w:pPr>
      <w:keepNext w:val="true"/>
      <w:numPr>
        <w:ilvl w:val="2"/>
        <w:numId w:val="1"/>
      </w:numPr>
      <w:ind w:hanging="720" w:start="1440" w:end="0"/>
      <w:outlineLvl w:val="2"/>
    </w:pPr>
    <w:rPr>
      <w:b/>
      <w:i/>
      <w:sz w:val="28"/>
    </w:rPr>
  </w:style>
  <w:style w:type="paragraph" w:styleId="Heading4">
    <w:name w:val="heading 4"/>
    <w:basedOn w:val="Normal"/>
    <w:next w:val="Normal"/>
    <w:qFormat/>
    <w:pPr>
      <w:keepNext w:val="true"/>
      <w:numPr>
        <w:ilvl w:val="3"/>
        <w:numId w:val="1"/>
      </w:numPr>
      <w:ind w:firstLine="720" w:start="0" w:end="0"/>
      <w:jc w:val="center"/>
      <w:outlineLvl w:val="3"/>
    </w:pPr>
    <w:rPr>
      <w:sz w:val="28"/>
    </w:rPr>
  </w:style>
  <w:style w:type="paragraph" w:styleId="Heading5">
    <w:name w:val="heading 5"/>
    <w:basedOn w:val="Normal"/>
    <w:next w:val="Normal"/>
    <w:qFormat/>
    <w:pPr>
      <w:keepNext w:val="true"/>
      <w:numPr>
        <w:ilvl w:val="4"/>
        <w:numId w:val="1"/>
      </w:numPr>
      <w:outlineLvl w:val="4"/>
    </w:pPr>
    <w:rPr>
      <w:b/>
      <w:i/>
      <w:sz w:val="32"/>
    </w:rPr>
  </w:style>
  <w:style w:type="character" w:styleId="WW8Num1z0">
    <w:name w:val="WW8Num1z0"/>
    <w:qFormat/>
    <w:rPr>
      <w:rFonts w:ascii="Wingdings" w:hAnsi="Wingdings" w:cs="Wingdings"/>
      <w:sz w:val="16"/>
    </w:rPr>
  </w:style>
  <w:style w:type="character" w:styleId="WW8Num2z0">
    <w:name w:val="WW8Num2z0"/>
    <w:qFormat/>
    <w:rPr>
      <w:b/>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rFonts w:ascii="Wingdings" w:hAnsi="Wingdings" w:cs="Wingdings"/>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color w:val="auto"/>
    </w:rPr>
  </w:style>
  <w:style w:type="character" w:styleId="WW8Num13z0">
    <w:name w:val="WW8Num13z0"/>
    <w:qFormat/>
    <w:rPr>
      <w:rFonts w:ascii="Wingdings" w:hAnsi="Wingdings" w:cs="Wingdings"/>
      <w:sz w:val="16"/>
    </w:rPr>
  </w:style>
  <w:style w:type="character" w:styleId="WW8Num14z0">
    <w:name w:val="WW8Num14z0"/>
    <w:qFormat/>
    <w:rPr/>
  </w:style>
  <w:style w:type="character" w:styleId="WW8Num15z0">
    <w:name w:val="WW8Num15z0"/>
    <w:qFormat/>
    <w:rPr/>
  </w:style>
  <w:style w:type="character" w:styleId="WW8Num16z0">
    <w:name w:val="WW8Num16z0"/>
    <w:qFormat/>
    <w:rPr>
      <w:u w:val="none"/>
    </w:rPr>
  </w:style>
  <w:style w:type="character" w:styleId="WW8Num17z0">
    <w:name w:val="WW8Num17z0"/>
    <w:qFormat/>
    <w:rPr>
      <w:rFonts w:ascii="Marlett" w:hAnsi="Marlett" w:cs="Impact"/>
      <w:sz w:val="16"/>
    </w:rPr>
  </w:style>
  <w:style w:type="character" w:styleId="WW8Num18z0">
    <w:name w:val="WW8Num18z0"/>
    <w:qFormat/>
    <w:rPr>
      <w:rFonts w:ascii="Wingdings" w:hAnsi="Wingdings" w:cs="Wingdings"/>
      <w:sz w:val="16"/>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sz w:val="16"/>
    </w:rPr>
  </w:style>
  <w:style w:type="character" w:styleId="WW8Num21z0">
    <w:name w:val="WW8Num21z0"/>
    <w:qFormat/>
    <w:rPr>
      <w:rFonts w:ascii="Wingdings" w:hAnsi="Wingdings" w:cs="Wingdings"/>
      <w:sz w:val="16"/>
    </w:rPr>
  </w:style>
  <w:style w:type="character" w:styleId="WW8Num22z0">
    <w:name w:val="WW8Num22z0"/>
    <w:qFormat/>
    <w:rPr>
      <w:rFonts w:ascii="Wingdings" w:hAnsi="Wingdings" w:cs="Wingdings"/>
      <w:sz w:val="16"/>
    </w:rPr>
  </w:style>
  <w:style w:type="character" w:styleId="WW8Num23z0">
    <w:name w:val="WW8Num23z0"/>
    <w:qFormat/>
    <w:rPr>
      <w:rFonts w:ascii="Wingdings" w:hAnsi="Wingdings" w:cs="Wingdings"/>
      <w:sz w:val="16"/>
    </w:rPr>
  </w:style>
  <w:style w:type="character" w:styleId="WW8Num24z0">
    <w:name w:val="WW8Num24z0"/>
    <w:qFormat/>
    <w:rPr>
      <w:rFonts w:ascii="Wingdings" w:hAnsi="Wingdings" w:cs="Wingdings"/>
      <w:sz w:val="16"/>
    </w:rPr>
  </w:style>
  <w:style w:type="character" w:styleId="WW8Num25z0">
    <w:name w:val="WW8Num25z0"/>
    <w:qFormat/>
    <w:rPr>
      <w:rFonts w:ascii="Wingdings" w:hAnsi="Wingdings" w:cs="Wingdings"/>
      <w:sz w:val="16"/>
    </w:rPr>
  </w:style>
  <w:style w:type="character" w:styleId="WW8Num26z0">
    <w:name w:val="WW8Num26z0"/>
    <w:qFormat/>
    <w:rPr>
      <w:rFonts w:ascii="Wingdings" w:hAnsi="Wingdings" w:cs="Wingdings"/>
      <w:sz w:val="16"/>
    </w:rPr>
  </w:style>
  <w:style w:type="character" w:styleId="WW8Num27z0">
    <w:name w:val="WW8Num27z0"/>
    <w:qFormat/>
    <w:rPr/>
  </w:style>
  <w:style w:type="character" w:styleId="WW8Num28z0">
    <w:name w:val="WW8Num28z0"/>
    <w:qFormat/>
    <w:rPr/>
  </w:style>
  <w:style w:type="character" w:styleId="WW8Num29z0">
    <w:name w:val="WW8Num29z0"/>
    <w:qFormat/>
    <w:rPr>
      <w:rFonts w:ascii="Wingdings" w:hAnsi="Wingdings" w:cs="Wingdings"/>
      <w:sz w:val="16"/>
    </w:rPr>
  </w:style>
  <w:style w:type="character" w:styleId="WW8Num30z0">
    <w:name w:val="WW8Num30z0"/>
    <w:qFormat/>
    <w:rPr/>
  </w:style>
  <w:style w:type="character" w:styleId="WW8Num31z0">
    <w:name w:val="WW8Num31z0"/>
    <w:qFormat/>
    <w:rPr>
      <w:rFonts w:ascii="Wingdings" w:hAnsi="Wingdings" w:cs="Wingdings"/>
      <w:sz w:val="16"/>
    </w:rPr>
  </w:style>
  <w:style w:type="character" w:styleId="WW8Num32z0">
    <w:name w:val="WW8Num32z0"/>
    <w:qFormat/>
    <w:rPr>
      <w:rFonts w:ascii="Wingdings" w:hAnsi="Wingdings" w:cs="Wingdings"/>
      <w:sz w:val="16"/>
    </w:rPr>
  </w:style>
  <w:style w:type="character" w:styleId="WW8Num33z0">
    <w:name w:val="WW8Num33z0"/>
    <w:qFormat/>
    <w:rPr>
      <w:rFonts w:ascii="Wingdings" w:hAnsi="Wingdings" w:cs="Wingdings"/>
      <w:sz w:val="16"/>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rPr>
      <w:color w:val="000080"/>
      <w:u w:val="single"/>
    </w:rPr>
  </w:style>
  <w:style w:type="character" w:styleId="FootnoteReference">
    <w:name w:val="footnote reference"/>
    <w:rPr>
      <w:vertAlign w:val="superscript"/>
    </w:rPr>
  </w:style>
  <w:style w:type="character" w:styleId="IndexLink">
    <w:name w:val="Index Link"/>
    <w:qForma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8"/>
    </w:rPr>
  </w:style>
  <w:style w:type="paragraph" w:styleId="PlainText">
    <w:name w:val="Plain Text"/>
    <w:basedOn w:val="Normal"/>
    <w:qFormat/>
    <w:pPr/>
    <w:rPr>
      <w:rFonts w:ascii="Courier New" w:hAnsi="Courier New" w:cs="Courier New"/>
    </w:rPr>
  </w:style>
  <w:style w:type="paragraph" w:styleId="FootnoteText">
    <w:name w:val="footnote text"/>
    <w:basedOn w:val="Normal"/>
    <w:pPr/>
    <w:rPr/>
  </w:style>
  <w:style w:type="paragraph" w:styleId="BodyTextIndent">
    <w:name w:val="Body Text Indent"/>
    <w:basedOn w:val="Normal"/>
    <w:pPr>
      <w:ind w:firstLine="720" w:start="0" w:end="0"/>
    </w:pPr>
    <w:rPr>
      <w:sz w:val="24"/>
    </w:rPr>
  </w:style>
  <w:style w:type="paragraph" w:styleId="BodyTextIndent2">
    <w:name w:val="Body Text Indent 2"/>
    <w:basedOn w:val="Normal"/>
    <w:qFormat/>
    <w:pPr>
      <w:ind w:firstLine="720" w:start="0" w:end="0"/>
    </w:pPr>
    <w:rPr>
      <w:sz w:val="28"/>
    </w:rPr>
  </w:style>
  <w:style w:type="paragraph" w:styleId="DocumentMap">
    <w:name w:val="Document Map"/>
    <w:basedOn w:val="Normal"/>
    <w:qFormat/>
    <w:pPr>
      <w:shd w:fill="000080" w:val="clear"/>
    </w:pPr>
    <w:rPr>
      <w:rFonts w:ascii="Tahoma" w:hAnsi="Tahoma" w:cs="Tahoma"/>
    </w:rPr>
  </w:style>
  <w:style w:type="paragraph" w:styleId="BodyText3">
    <w:name w:val="Body Text 3"/>
    <w:basedOn w:val="Normal"/>
    <w:qFormat/>
    <w:pPr/>
    <w:rPr>
      <w:sz w:val="24"/>
    </w:rPr>
  </w:style>
  <w:style w:type="paragraph" w:styleId="BodyTextIndent3">
    <w:name w:val="Body Text Indent 3"/>
    <w:basedOn w:val="Normal"/>
    <w:qFormat/>
    <w:pPr>
      <w:ind w:firstLine="720" w:start="0" w:end="0"/>
      <w:jc w:val="center"/>
    </w:pPr>
    <w:rPr>
      <w:sz w:val="28"/>
    </w:rPr>
  </w:style>
  <w:style w:type="paragraph" w:styleId="TOC1">
    <w:name w:val="toc 1"/>
    <w:basedOn w:val="Normal"/>
    <w:next w:val="Normal"/>
    <w:pPr/>
    <w:rPr/>
  </w:style>
  <w:style w:type="paragraph" w:styleId="TOC2">
    <w:name w:val="toc 2"/>
    <w:basedOn w:val="Normal"/>
    <w:next w:val="Normal"/>
    <w:pPr>
      <w:tabs>
        <w:tab w:val="left" w:pos="720" w:leader="none"/>
        <w:tab w:val="right" w:pos="8630" w:leader="dot"/>
      </w:tabs>
      <w:ind w:hanging="720" w:start="720" w:end="0"/>
    </w:pPr>
    <w:rPr>
      <w:sz w:val="28"/>
      <w:lang w:val="en-CA"/>
    </w:rPr>
  </w:style>
  <w:style w:type="paragraph" w:styleId="TOC3">
    <w:name w:val="toc 3"/>
    <w:basedOn w:val="Normal"/>
    <w:next w:val="Normal"/>
    <w:pPr>
      <w:tabs>
        <w:tab w:val="left" w:pos="720" w:leader="none"/>
        <w:tab w:val="right" w:pos="8630" w:leader="dot"/>
      </w:tabs>
      <w:ind w:hanging="320" w:start="720" w:end="0"/>
    </w:pPr>
    <w:rPr>
      <w:sz w:val="28"/>
      <w:lang w:val="en-CA"/>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2001-08-24T14:54:00Z</dcterms:created>
  <dc:creator/>
  <dc:description/>
  <dc:language>en-CA</dc:language>
  <cp:lastModifiedBy>SEMPRA</cp:lastModifiedBy>
  <cp:lastPrinted>2001-08-24T15:26:00Z</cp:lastPrinted>
  <dcterms:modified xsi:type="dcterms:W3CDTF">2001-08-24T21:18:00Z</dcterms:modified>
  <cp:revision>16</cp:revision>
  <dc:subject/>
  <dc:title/>
</cp:coreProperties>
</file>