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Normal"/>
        <w:suppressAutoHyphens w:val="true"/>
        <w:rPr>
          <w:rFonts w:ascii="Times New Roman" w:hAnsi="Times New Roman" w:cs="Times New Roman"/>
          <w:sz w:val="24"/>
        </w:rPr>
      </w:pPr>
      <w:r>
        <w:rPr>
          <w:rFonts w:cs="Times New Roman"/>
          <w:sz w:val="24"/>
        </w:rPr>
      </w:r>
    </w:p>
    <w:p>
      <w:pPr>
        <w:pStyle w:val="Normal"/>
        <w:suppressAutoHyphens w:val="true"/>
        <w:rPr>
          <w:b/>
        </w:rPr>
      </w:pPr>
      <w:r>
        <w:rPr>
          <w:b/>
        </w:rPr>
      </w:r>
    </w:p>
    <w:tbl>
      <w:tblPr>
        <w:tblW w:w="9666" w:type="dxa"/>
        <w:jc w:val="start"/>
        <w:tblInd w:w="0" w:type="dxa"/>
        <w:tblLayout w:type="fixed"/>
        <w:tblCellMar>
          <w:top w:w="0" w:type="dxa"/>
          <w:start w:w="108" w:type="dxa"/>
          <w:bottom w:w="0" w:type="dxa"/>
          <w:end w:w="108" w:type="dxa"/>
        </w:tblCellMar>
      </w:tblPr>
      <w:tblGrid>
        <w:gridCol w:w="5958"/>
        <w:gridCol w:w="270"/>
        <w:gridCol w:w="3330"/>
        <w:gridCol w:w="108"/>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Rulemaking on the Commission's Proposed Policies Governing Restructuring California's Electric Services Industry and Reforming Regulation.</w:t>
            </w:r>
          </w:p>
          <w:p>
            <w:pPr>
              <w:pStyle w:val="Normal"/>
              <w:rPr/>
            </w:pPr>
            <w:r>
              <w:rPr/>
            </w:r>
          </w:p>
        </w:tc>
        <w:tc>
          <w:tcPr>
            <w:tcW w:w="3600" w:type="dxa"/>
            <w:gridSpan w:val="2"/>
            <w:tcBorders/>
          </w:tcPr>
          <w:p>
            <w:pPr>
              <w:pStyle w:val="Normal"/>
              <w:snapToGrid w:val="false"/>
              <w:jc w:val="center"/>
              <w:rPr/>
            </w:pPr>
            <w:r>
              <w:rPr/>
            </w:r>
          </w:p>
          <w:p>
            <w:pPr>
              <w:pStyle w:val="Normal"/>
              <w:tabs>
                <w:tab w:val="clear" w:pos="720"/>
                <w:tab w:val="left" w:pos="522" w:leader="none"/>
              </w:tabs>
              <w:jc w:val="center"/>
              <w:rPr/>
            </w:pPr>
            <w:r>
              <w:rPr/>
              <w:t>Rulemaking 94-04-031</w:t>
            </w:r>
          </w:p>
          <w:p>
            <w:pPr>
              <w:pStyle w:val="Normal"/>
              <w:jc w:val="center"/>
              <w:rPr/>
            </w:pPr>
            <w:r>
              <w:rPr/>
              <w:t>(Filed April 20, 1994)</w:t>
            </w:r>
          </w:p>
        </w:tc>
        <w:tc>
          <w:tcPr>
            <w:tcW w:w="108" w:type="dxa"/>
            <w:tcBorders/>
            <w:tcMar>
              <w:start w:w="0" w:type="dxa"/>
              <w:end w:w="0" w:type="dxa"/>
            </w:tcMar>
          </w:tcPr>
          <w:p>
            <w:pPr>
              <w:pStyle w:val="Normal"/>
              <w:snapToGrid w:val="false"/>
              <w:rPr/>
            </w:pPr>
            <w:r>
              <w:rPr/>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Investigation on the Commission's Proposed Policies Governing Restructuring California's Electric Services Industry and Reforming Regulation.</w:t>
            </w:r>
          </w:p>
          <w:p>
            <w:pPr>
              <w:pStyle w:val="Normal"/>
              <w:rPr/>
            </w:pPr>
            <w:r>
              <w:rPr/>
            </w:r>
          </w:p>
        </w:tc>
        <w:tc>
          <w:tcPr>
            <w:tcW w:w="3600" w:type="dxa"/>
            <w:gridSpan w:val="2"/>
            <w:tcBorders/>
          </w:tcPr>
          <w:p>
            <w:pPr>
              <w:pStyle w:val="Normal"/>
              <w:snapToGrid w:val="false"/>
              <w:jc w:val="center"/>
              <w:rPr/>
            </w:pPr>
            <w:r>
              <w:rPr/>
            </w:r>
          </w:p>
          <w:p>
            <w:pPr>
              <w:pStyle w:val="Normal"/>
              <w:tabs>
                <w:tab w:val="clear" w:pos="720"/>
                <w:tab w:val="left" w:pos="522" w:leader="none"/>
              </w:tabs>
              <w:jc w:val="center"/>
              <w:rPr/>
            </w:pPr>
            <w:r>
              <w:rPr/>
              <w:t>Investigation 94-04-032</w:t>
            </w:r>
          </w:p>
          <w:p>
            <w:pPr>
              <w:pStyle w:val="Normal"/>
              <w:jc w:val="center"/>
              <w:rPr/>
            </w:pPr>
            <w:r>
              <w:rPr/>
              <w:t>(Filed April 20, 1994)</w:t>
            </w:r>
          </w:p>
        </w:tc>
        <w:tc>
          <w:tcPr>
            <w:tcW w:w="108" w:type="dxa"/>
            <w:tcBorders/>
            <w:tcMar>
              <w:start w:w="0" w:type="dxa"/>
              <w:end w:w="0" w:type="dxa"/>
            </w:tcMar>
          </w:tcPr>
          <w:p>
            <w:pPr>
              <w:pStyle w:val="Normal"/>
              <w:snapToGrid w:val="false"/>
              <w:rPr/>
            </w:pPr>
            <w:r>
              <w:rPr/>
            </w:r>
          </w:p>
        </w:tc>
      </w:tr>
      <w:tr>
        <w:trPr/>
        <w:tc>
          <w:tcPr>
            <w:tcW w:w="5958" w:type="dxa"/>
            <w:tcBorders>
              <w:bottom w:val="single" w:sz="6" w:space="0" w:color="000000"/>
              <w:end w:val="single" w:sz="6" w:space="0" w:color="000000"/>
            </w:tcBorders>
          </w:tcPr>
          <w:p>
            <w:pPr>
              <w:pStyle w:val="Normal"/>
              <w:ind w:end="-270"/>
              <w:rPr/>
            </w:pPr>
            <w:r>
              <w:rPr/>
              <w:t>Application of San Diego Gas &amp; Electric</w:t>
            </w:r>
          </w:p>
          <w:p>
            <w:pPr>
              <w:pStyle w:val="Normal"/>
              <w:ind w:end="-270"/>
              <w:rPr/>
            </w:pPr>
            <w:r>
              <w:rPr/>
              <w:t>Company (U 902-E) for an Order Implementing</w:t>
            </w:r>
          </w:p>
          <w:p>
            <w:pPr>
              <w:pStyle w:val="Normal"/>
              <w:ind w:end="-270"/>
              <w:rPr/>
            </w:pPr>
            <w:r>
              <w:rPr/>
              <w:t>Assembly Bill 265.</w:t>
            </w:r>
          </w:p>
          <w:p>
            <w:pPr>
              <w:pStyle w:val="Normal"/>
              <w:suppressAutoHyphens w:val="true"/>
              <w:ind w:end="-274"/>
              <w:rPr/>
            </w:pPr>
            <w:r>
              <w:rPr/>
            </w:r>
          </w:p>
        </w:tc>
        <w:tc>
          <w:tcPr>
            <w:tcW w:w="270" w:type="dxa"/>
            <w:tcBorders>
              <w:start w:val="single" w:sz="6" w:space="0" w:color="000000"/>
            </w:tcBorders>
          </w:tcPr>
          <w:p>
            <w:pPr>
              <w:pStyle w:val="Normal"/>
              <w:tabs>
                <w:tab w:val="clear" w:pos="720"/>
                <w:tab w:val="left" w:pos="5850" w:leader="none"/>
              </w:tabs>
              <w:snapToGrid w:val="false"/>
              <w:ind w:end="-270"/>
              <w:rPr/>
            </w:pPr>
            <w:r>
              <w:rPr/>
            </w:r>
          </w:p>
        </w:tc>
        <w:tc>
          <w:tcPr>
            <w:tcW w:w="3438" w:type="dxa"/>
            <w:gridSpan w:val="2"/>
            <w:tcBorders/>
          </w:tcPr>
          <w:p>
            <w:pPr>
              <w:pStyle w:val="Normal"/>
              <w:tabs>
                <w:tab w:val="clear" w:pos="720"/>
                <w:tab w:val="left" w:pos="-6318" w:leader="none"/>
                <w:tab w:val="left" w:pos="252" w:leader="none"/>
                <w:tab w:val="left" w:pos="5850" w:leader="none"/>
              </w:tabs>
              <w:snapToGrid w:val="false"/>
              <w:ind w:end="-270"/>
              <w:rPr/>
            </w:pPr>
            <w:r>
              <w:rPr/>
            </w:r>
          </w:p>
          <w:p>
            <w:pPr>
              <w:pStyle w:val="Normal"/>
              <w:tabs>
                <w:tab w:val="clear" w:pos="720"/>
                <w:tab w:val="left" w:pos="-6318" w:leader="none"/>
                <w:tab w:val="left" w:pos="252" w:leader="none"/>
                <w:tab w:val="left" w:pos="5850" w:leader="none"/>
              </w:tabs>
              <w:ind w:end="-270"/>
              <w:rPr/>
            </w:pPr>
            <w:r>
              <w:rPr/>
              <w:tab/>
              <w:t>Application No. 00-10-045</w:t>
            </w:r>
          </w:p>
          <w:p>
            <w:pPr>
              <w:pStyle w:val="Normal"/>
              <w:tabs>
                <w:tab w:val="clear" w:pos="720"/>
                <w:tab w:val="left" w:pos="-6318" w:leader="none"/>
                <w:tab w:val="left" w:pos="252" w:leader="none"/>
                <w:tab w:val="left" w:pos="5850" w:leader="none"/>
              </w:tabs>
              <w:ind w:end="-270"/>
              <w:rPr/>
            </w:pPr>
            <w:r>
              <w:rPr/>
              <w:tab/>
              <w:t>(Filed October 24, 2000)</w:t>
            </w:r>
          </w:p>
        </w:tc>
      </w:tr>
      <w:tr>
        <w:trPr/>
        <w:tc>
          <w:tcPr>
            <w:tcW w:w="5958" w:type="dxa"/>
            <w:tcBorders>
              <w:bottom w:val="single" w:sz="6" w:space="0" w:color="000000"/>
              <w:end w:val="single" w:sz="6" w:space="0" w:color="000000"/>
            </w:tcBorders>
          </w:tcPr>
          <w:p>
            <w:pPr>
              <w:pStyle w:val="Normal"/>
              <w:ind w:end="-270"/>
              <w:rPr/>
            </w:pPr>
            <w:r>
              <w:rPr/>
              <w:t xml:space="preserve">Application of San Diego Gas &amp; Electric </w:t>
            </w:r>
          </w:p>
          <w:p>
            <w:pPr>
              <w:pStyle w:val="Normal"/>
              <w:ind w:end="-270"/>
              <w:rPr/>
            </w:pPr>
            <w:r>
              <w:rPr/>
              <w:t>Company (U 902-E) for Authority to Implement</w:t>
            </w:r>
          </w:p>
          <w:p>
            <w:pPr>
              <w:pStyle w:val="Normal"/>
              <w:ind w:end="-270"/>
              <w:rPr/>
            </w:pPr>
            <w:r>
              <w:rPr/>
              <w:t xml:space="preserve">an Electric Rate Surcharge to Manage the Balance </w:t>
            </w:r>
          </w:p>
          <w:p>
            <w:pPr>
              <w:pStyle w:val="Normal"/>
              <w:ind w:end="-270"/>
              <w:rPr/>
            </w:pPr>
            <w:r>
              <w:rPr/>
              <w:t xml:space="preserve">in the Energy Rate Ceiling Revenue Shortfall </w:t>
            </w:r>
          </w:p>
          <w:p>
            <w:pPr>
              <w:pStyle w:val="Normal"/>
              <w:ind w:end="-270"/>
              <w:rPr/>
            </w:pPr>
            <w:r>
              <w:rPr/>
              <w:t>Account.</w:t>
            </w:r>
          </w:p>
          <w:p>
            <w:pPr>
              <w:pStyle w:val="Normal"/>
              <w:suppressAutoHyphens w:val="true"/>
              <w:ind w:end="-274"/>
              <w:rPr/>
            </w:pPr>
            <w:r>
              <w:rPr/>
            </w:r>
          </w:p>
        </w:tc>
        <w:tc>
          <w:tcPr>
            <w:tcW w:w="270" w:type="dxa"/>
            <w:tcBorders>
              <w:start w:val="single" w:sz="6" w:space="0" w:color="000000"/>
            </w:tcBorders>
          </w:tcPr>
          <w:p>
            <w:pPr>
              <w:pStyle w:val="Normal"/>
              <w:snapToGrid w:val="false"/>
              <w:ind w:end="-270"/>
              <w:rPr/>
            </w:pPr>
            <w:r>
              <w:rPr/>
            </w:r>
          </w:p>
        </w:tc>
        <w:tc>
          <w:tcPr>
            <w:tcW w:w="3438" w:type="dxa"/>
            <w:gridSpan w:val="2"/>
            <w:tcBorders/>
          </w:tcPr>
          <w:p>
            <w:pPr>
              <w:pStyle w:val="Normal"/>
              <w:tabs>
                <w:tab w:val="clear" w:pos="720"/>
                <w:tab w:val="left" w:pos="-6318" w:leader="none"/>
                <w:tab w:val="left" w:pos="252" w:leader="none"/>
              </w:tabs>
              <w:snapToGrid w:val="false"/>
              <w:ind w:end="-270"/>
              <w:rPr/>
            </w:pPr>
            <w:r>
              <w:rPr/>
            </w:r>
          </w:p>
          <w:p>
            <w:pPr>
              <w:pStyle w:val="Normal"/>
              <w:tabs>
                <w:tab w:val="clear" w:pos="720"/>
                <w:tab w:val="left" w:pos="-6318" w:leader="none"/>
                <w:tab w:val="left" w:pos="252" w:leader="none"/>
              </w:tabs>
              <w:ind w:end="-270"/>
              <w:rPr/>
            </w:pPr>
            <w:r>
              <w:rPr/>
              <w:tab/>
              <w:t>Application No. 01-01-044</w:t>
            </w:r>
          </w:p>
          <w:p>
            <w:pPr>
              <w:pStyle w:val="Normal"/>
              <w:tabs>
                <w:tab w:val="clear" w:pos="720"/>
                <w:tab w:val="left" w:pos="-6318" w:leader="none"/>
                <w:tab w:val="left" w:pos="252" w:leader="none"/>
              </w:tabs>
              <w:ind w:end="-270"/>
              <w:rPr/>
            </w:pPr>
            <w:r>
              <w:rPr/>
              <w:t xml:space="preserve">   </w:t>
            </w:r>
            <w:r>
              <w:rPr/>
              <w:tab/>
              <w:t>(Filed January 24, 2001)</w:t>
            </w:r>
          </w:p>
        </w:tc>
      </w:tr>
    </w:tbl>
    <w:p>
      <w:pPr>
        <w:pStyle w:val="Normal"/>
        <w:suppressAutoHyphens w:val="true"/>
        <w:rPr>
          <w:b/>
        </w:rPr>
      </w:pPr>
      <w:r>
        <w:rPr>
          <w:b/>
        </w:rPr>
      </w:r>
    </w:p>
    <w:p>
      <w:pPr>
        <w:pStyle w:val="Header"/>
        <w:tabs>
          <w:tab w:val="clear" w:pos="4320"/>
          <w:tab w:val="clear" w:pos="8640"/>
        </w:tabs>
        <w:rPr>
          <w:b/>
        </w:rPr>
      </w:pPr>
      <w:r>
        <w:rPr>
          <w:b/>
        </w:rPr>
      </w:r>
    </w:p>
    <w:p>
      <w:pPr>
        <w:pStyle w:val="Heading1"/>
        <w:spacing w:lineRule="auto" w:line="240"/>
        <w:ind w:hanging="0" w:start="0"/>
        <w:rPr/>
      </w:pPr>
      <w:r>
        <w:rPr/>
        <w:t>MOTION OF SAN DIEGO GAS &amp; ELECTRIC COMPANY (U 902-E) FOR ADOPTION OF AN ELECTRIC PROCUREMENT COST RECOVERY MECHANISM AND FOR ORDER SHORTENING TIME</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Normal"/>
        <w:ind w:start="4752" w:end="0"/>
        <w:rPr>
          <w:b/>
        </w:rPr>
      </w:pPr>
      <w:r>
        <w:rPr>
          <w:b/>
        </w:rPr>
        <w:t>Keith W. Melville</w:t>
      </w:r>
    </w:p>
    <w:p>
      <w:pPr>
        <w:pStyle w:val="Normal"/>
        <w:ind w:start="4752" w:end="0"/>
        <w:rPr>
          <w:b/>
        </w:rPr>
      </w:pPr>
      <w:r>
        <w:rPr>
          <w:b/>
        </w:rPr>
        <w:t>Glen J. Sullivan</w:t>
      </w:r>
    </w:p>
    <w:p>
      <w:pPr>
        <w:pStyle w:val="Normal"/>
        <w:ind w:start="4752" w:end="0"/>
        <w:rPr>
          <w:b/>
        </w:rPr>
      </w:pPr>
      <w:r>
        <w:rPr>
          <w:b/>
        </w:rPr>
        <w:t>101 Ash Street</w:t>
      </w:r>
    </w:p>
    <w:p>
      <w:pPr>
        <w:pStyle w:val="Normal"/>
        <w:tabs>
          <w:tab w:val="clear" w:pos="720"/>
          <w:tab w:val="left" w:pos="4320" w:leader="none"/>
        </w:tabs>
        <w:ind w:start="4770" w:end="0"/>
        <w:rPr>
          <w:b/>
        </w:rPr>
      </w:pPr>
      <w:r>
        <w:rPr>
          <w:b/>
        </w:rPr>
        <w:t xml:space="preserve">San Diego, California 92101-3017 </w:t>
      </w:r>
    </w:p>
    <w:p>
      <w:pPr>
        <w:pStyle w:val="Normal"/>
        <w:tabs>
          <w:tab w:val="clear" w:pos="720"/>
          <w:tab w:val="left" w:pos="4320" w:leader="none"/>
        </w:tabs>
        <w:ind w:start="4770" w:end="0"/>
        <w:rPr>
          <w:b/>
        </w:rPr>
      </w:pPr>
      <w:r>
        <w:rPr>
          <w:b/>
        </w:rPr>
        <w:t>Telephone:  (619) 699-5039</w:t>
      </w:r>
    </w:p>
    <w:p>
      <w:pPr>
        <w:pStyle w:val="Normal"/>
        <w:ind w:start="4770" w:end="0"/>
        <w:rPr>
          <w:b/>
        </w:rPr>
      </w:pPr>
      <w:r>
        <w:rPr>
          <w:b/>
        </w:rPr>
        <w:t>Facsimile:   (619) 699-5027</w:t>
      </w:r>
    </w:p>
    <w:p>
      <w:pPr>
        <w:pStyle w:val="Normal"/>
        <w:ind w:start="4752" w:end="0"/>
        <w:rPr>
          <w:b/>
        </w:rPr>
      </w:pPr>
      <w:r>
        <w:rPr>
          <w:b/>
        </w:rPr>
      </w:r>
    </w:p>
    <w:p>
      <w:pPr>
        <w:pStyle w:val="Normal"/>
        <w:ind w:start="4752" w:end="0"/>
        <w:rPr>
          <w:b/>
        </w:rPr>
      </w:pPr>
      <w:r>
        <w:rPr>
          <w:b/>
        </w:rPr>
        <w:t>Attorneys for</w:t>
      </w:r>
    </w:p>
    <w:p>
      <w:pPr>
        <w:pStyle w:val="Normal"/>
        <w:ind w:start="4752" w:end="0"/>
        <w:rPr>
          <w:b/>
        </w:rPr>
      </w:pPr>
      <w:r>
        <w:rPr>
          <w:b/>
        </w:rPr>
        <w:t>San Diego Gas &amp; Electric Company</w:t>
      </w:r>
    </w:p>
    <w:p>
      <w:pPr>
        <w:pStyle w:val="titlebar"/>
        <w:rPr>
          <w:b w:val="false"/>
        </w:rPr>
      </w:pPr>
      <w:r>
        <w:rPr>
          <w:b w:val="false"/>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0" w:fmt="decimal"/>
          <w:formProt w:val="false"/>
          <w:titlePg/>
          <w:textDirection w:val="lrTb"/>
          <w:docGrid w:type="default" w:linePitch="360" w:charSpace="0"/>
        </w:sectPr>
        <w:pStyle w:val="titlebar"/>
        <w:jc w:val="start"/>
        <w:rPr>
          <w:rFonts w:ascii="Times New Roman" w:hAnsi="Times New Roman" w:cs="Times New Roman"/>
          <w:sz w:val="24"/>
        </w:rPr>
      </w:pPr>
      <w:r>
        <w:rPr>
          <w:rFonts w:cs="Times New Roman" w:ascii="Times New Roman" w:hAnsi="Times New Roman"/>
          <w:sz w:val="24"/>
        </w:rPr>
        <w:t>August 24, 2001</w:t>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Normal"/>
        <w:suppressAutoHyphens w:val="true"/>
        <w:rPr>
          <w:rFonts w:ascii="Times New Roman" w:hAnsi="Times New Roman" w:cs="Times New Roman"/>
          <w:sz w:val="24"/>
        </w:rPr>
      </w:pPr>
      <w:r>
        <w:rPr>
          <w:rFonts w:cs="Times New Roman"/>
          <w:sz w:val="24"/>
        </w:rPr>
      </w:r>
    </w:p>
    <w:p>
      <w:pPr>
        <w:pStyle w:val="Normal"/>
        <w:suppressAutoHyphens w:val="true"/>
        <w:rPr/>
      </w:pPr>
      <w:r>
        <w:rPr/>
      </w:r>
    </w:p>
    <w:tbl>
      <w:tblPr>
        <w:tblW w:w="9666" w:type="dxa"/>
        <w:jc w:val="start"/>
        <w:tblInd w:w="0" w:type="dxa"/>
        <w:tblLayout w:type="fixed"/>
        <w:tblCellMar>
          <w:top w:w="0" w:type="dxa"/>
          <w:start w:w="108" w:type="dxa"/>
          <w:bottom w:w="0" w:type="dxa"/>
          <w:end w:w="108" w:type="dxa"/>
        </w:tblCellMar>
      </w:tblPr>
      <w:tblGrid>
        <w:gridCol w:w="5958"/>
        <w:gridCol w:w="270"/>
        <w:gridCol w:w="3330"/>
        <w:gridCol w:w="108"/>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Rulemaking on the Commission's Proposed Policies Governing Restructuring California's Electric Services Industry and Reforming Regulation.</w:t>
            </w:r>
          </w:p>
          <w:p>
            <w:pPr>
              <w:pStyle w:val="Normal"/>
              <w:rPr/>
            </w:pPr>
            <w:r>
              <w:rPr/>
            </w:r>
          </w:p>
        </w:tc>
        <w:tc>
          <w:tcPr>
            <w:tcW w:w="3600" w:type="dxa"/>
            <w:gridSpan w:val="2"/>
            <w:tcBorders/>
          </w:tcPr>
          <w:p>
            <w:pPr>
              <w:pStyle w:val="Normal"/>
              <w:snapToGrid w:val="false"/>
              <w:jc w:val="center"/>
              <w:rPr/>
            </w:pPr>
            <w:r>
              <w:rPr/>
            </w:r>
          </w:p>
          <w:p>
            <w:pPr>
              <w:pStyle w:val="Normal"/>
              <w:jc w:val="center"/>
              <w:rPr/>
            </w:pPr>
            <w:r>
              <w:rPr/>
              <w:t>Rulemaking 94-04-031</w:t>
            </w:r>
          </w:p>
          <w:p>
            <w:pPr>
              <w:pStyle w:val="Normal"/>
              <w:tabs>
                <w:tab w:val="clear" w:pos="720"/>
                <w:tab w:val="left" w:pos="522" w:leader="none"/>
              </w:tabs>
              <w:rPr/>
            </w:pPr>
            <w:r>
              <w:rPr/>
              <w:tab/>
              <w:t>(Filed April 20, 1994)</w:t>
            </w:r>
          </w:p>
        </w:tc>
        <w:tc>
          <w:tcPr>
            <w:tcW w:w="108" w:type="dxa"/>
            <w:tcBorders/>
            <w:tcMar>
              <w:start w:w="0" w:type="dxa"/>
              <w:end w:w="0" w:type="dxa"/>
            </w:tcMar>
          </w:tcPr>
          <w:p>
            <w:pPr>
              <w:pStyle w:val="Normal"/>
              <w:snapToGrid w:val="false"/>
              <w:rPr/>
            </w:pPr>
            <w:r>
              <w:rPr/>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Investigation on the Commission's Proposed Policies Governing Restructuring California's Electric Services Industry and Reforming Regulation.</w:t>
            </w:r>
          </w:p>
          <w:p>
            <w:pPr>
              <w:pStyle w:val="Normal"/>
              <w:rPr/>
            </w:pPr>
            <w:r>
              <w:rPr/>
            </w:r>
          </w:p>
        </w:tc>
        <w:tc>
          <w:tcPr>
            <w:tcW w:w="3600" w:type="dxa"/>
            <w:gridSpan w:val="2"/>
            <w:tcBorders/>
          </w:tcPr>
          <w:p>
            <w:pPr>
              <w:pStyle w:val="Normal"/>
              <w:snapToGrid w:val="false"/>
              <w:jc w:val="center"/>
              <w:rPr/>
            </w:pPr>
            <w:r>
              <w:rPr/>
            </w:r>
          </w:p>
          <w:p>
            <w:pPr>
              <w:pStyle w:val="Normal"/>
              <w:tabs>
                <w:tab w:val="clear" w:pos="720"/>
                <w:tab w:val="left" w:pos="522" w:leader="none"/>
              </w:tabs>
              <w:jc w:val="center"/>
              <w:rPr/>
            </w:pPr>
            <w:r>
              <w:rPr/>
              <w:t>Investigation 94-04-032</w:t>
            </w:r>
          </w:p>
          <w:p>
            <w:pPr>
              <w:pStyle w:val="Normal"/>
              <w:tabs>
                <w:tab w:val="clear" w:pos="720"/>
                <w:tab w:val="left" w:pos="522" w:leader="none"/>
              </w:tabs>
              <w:rPr/>
            </w:pPr>
            <w:r>
              <w:rPr/>
              <w:tab/>
              <w:t>(Filed April 20, 1994)</w:t>
            </w:r>
          </w:p>
        </w:tc>
        <w:tc>
          <w:tcPr>
            <w:tcW w:w="108" w:type="dxa"/>
            <w:tcBorders/>
            <w:tcMar>
              <w:start w:w="0" w:type="dxa"/>
              <w:end w:w="0" w:type="dxa"/>
            </w:tcMar>
          </w:tcPr>
          <w:p>
            <w:pPr>
              <w:pStyle w:val="Normal"/>
              <w:snapToGrid w:val="false"/>
              <w:rPr/>
            </w:pPr>
            <w:r>
              <w:rPr/>
            </w:r>
          </w:p>
        </w:tc>
      </w:tr>
      <w:tr>
        <w:trPr/>
        <w:tc>
          <w:tcPr>
            <w:tcW w:w="5958" w:type="dxa"/>
            <w:tcBorders>
              <w:bottom w:val="single" w:sz="6" w:space="0" w:color="000000"/>
              <w:end w:val="single" w:sz="6" w:space="0" w:color="000000"/>
            </w:tcBorders>
          </w:tcPr>
          <w:p>
            <w:pPr>
              <w:pStyle w:val="Normal"/>
              <w:ind w:end="-270"/>
              <w:rPr/>
            </w:pPr>
            <w:r>
              <w:rPr/>
              <w:t>Application of San Diego Gas &amp; Electric</w:t>
            </w:r>
          </w:p>
          <w:p>
            <w:pPr>
              <w:pStyle w:val="Normal"/>
              <w:ind w:end="-270"/>
              <w:rPr/>
            </w:pPr>
            <w:r>
              <w:rPr/>
              <w:t>Company (U 902-E) for an Order Implementing</w:t>
            </w:r>
          </w:p>
          <w:p>
            <w:pPr>
              <w:pStyle w:val="Normal"/>
              <w:ind w:end="-270"/>
              <w:rPr/>
            </w:pPr>
            <w:r>
              <w:rPr/>
              <w:t>Assembly Bill 265.</w:t>
            </w:r>
          </w:p>
          <w:p>
            <w:pPr>
              <w:pStyle w:val="Normal"/>
              <w:suppressAutoHyphens w:val="true"/>
              <w:ind w:end="-274"/>
              <w:rPr/>
            </w:pPr>
            <w:r>
              <w:rPr/>
            </w:r>
          </w:p>
        </w:tc>
        <w:tc>
          <w:tcPr>
            <w:tcW w:w="270" w:type="dxa"/>
            <w:tcBorders>
              <w:start w:val="single" w:sz="6" w:space="0" w:color="000000"/>
            </w:tcBorders>
          </w:tcPr>
          <w:p>
            <w:pPr>
              <w:pStyle w:val="Normal"/>
              <w:tabs>
                <w:tab w:val="clear" w:pos="720"/>
                <w:tab w:val="left" w:pos="5850" w:leader="none"/>
              </w:tabs>
              <w:snapToGrid w:val="false"/>
              <w:ind w:end="-270"/>
              <w:rPr/>
            </w:pPr>
            <w:r>
              <w:rPr/>
            </w:r>
          </w:p>
        </w:tc>
        <w:tc>
          <w:tcPr>
            <w:tcW w:w="3438" w:type="dxa"/>
            <w:gridSpan w:val="2"/>
            <w:tcBorders/>
          </w:tcPr>
          <w:p>
            <w:pPr>
              <w:pStyle w:val="Normal"/>
              <w:tabs>
                <w:tab w:val="clear" w:pos="720"/>
                <w:tab w:val="left" w:pos="5850" w:leader="none"/>
              </w:tabs>
              <w:snapToGrid w:val="false"/>
              <w:ind w:end="-270"/>
              <w:rPr/>
            </w:pPr>
            <w:r>
              <w:rPr/>
            </w:r>
          </w:p>
          <w:p>
            <w:pPr>
              <w:pStyle w:val="Normal"/>
              <w:tabs>
                <w:tab w:val="clear" w:pos="720"/>
                <w:tab w:val="left" w:pos="252" w:leader="none"/>
                <w:tab w:val="left" w:pos="5850" w:leader="none"/>
              </w:tabs>
              <w:ind w:end="-270"/>
              <w:rPr/>
            </w:pPr>
            <w:r>
              <w:rPr/>
              <w:tab/>
              <w:t>Application No. 00-10-045</w:t>
            </w:r>
          </w:p>
          <w:p>
            <w:pPr>
              <w:pStyle w:val="Normal"/>
              <w:tabs>
                <w:tab w:val="clear" w:pos="720"/>
                <w:tab w:val="left" w:pos="252" w:leader="none"/>
                <w:tab w:val="left" w:pos="5850" w:leader="none"/>
              </w:tabs>
              <w:ind w:end="-270"/>
              <w:rPr/>
            </w:pPr>
            <w:r>
              <w:rPr/>
              <w:t xml:space="preserve">   </w:t>
            </w:r>
            <w:r>
              <w:rPr/>
              <w:tab/>
              <w:t>(Filed October 24, 2000)</w:t>
            </w:r>
          </w:p>
        </w:tc>
      </w:tr>
      <w:tr>
        <w:trPr/>
        <w:tc>
          <w:tcPr>
            <w:tcW w:w="5958" w:type="dxa"/>
            <w:tcBorders>
              <w:bottom w:val="single" w:sz="6" w:space="0" w:color="000000"/>
              <w:end w:val="single" w:sz="6" w:space="0" w:color="000000"/>
            </w:tcBorders>
          </w:tcPr>
          <w:p>
            <w:pPr>
              <w:pStyle w:val="Normal"/>
              <w:ind w:end="-270"/>
              <w:rPr/>
            </w:pPr>
            <w:r>
              <w:rPr/>
              <w:t xml:space="preserve">Application of San Diego Gas &amp; Electric </w:t>
            </w:r>
          </w:p>
          <w:p>
            <w:pPr>
              <w:pStyle w:val="Normal"/>
              <w:ind w:end="-270"/>
              <w:rPr/>
            </w:pPr>
            <w:r>
              <w:rPr/>
              <w:t>Company (U 902-E) for Authority to Implement</w:t>
            </w:r>
          </w:p>
          <w:p>
            <w:pPr>
              <w:pStyle w:val="Normal"/>
              <w:ind w:end="-270"/>
              <w:rPr/>
            </w:pPr>
            <w:r>
              <w:rPr/>
              <w:t xml:space="preserve">an Electric Rate Surcharge to Manage the Balance </w:t>
            </w:r>
          </w:p>
          <w:p>
            <w:pPr>
              <w:pStyle w:val="Normal"/>
              <w:ind w:end="-270"/>
              <w:rPr/>
            </w:pPr>
            <w:r>
              <w:rPr/>
              <w:t xml:space="preserve">in the Energy Rate Ceiling Revenue Shortfall </w:t>
            </w:r>
          </w:p>
          <w:p>
            <w:pPr>
              <w:pStyle w:val="Normal"/>
              <w:ind w:end="-270"/>
              <w:rPr/>
            </w:pPr>
            <w:r>
              <w:rPr/>
              <w:t>Account.</w:t>
            </w:r>
          </w:p>
          <w:p>
            <w:pPr>
              <w:pStyle w:val="Normal"/>
              <w:suppressAutoHyphens w:val="true"/>
              <w:ind w:end="-274"/>
              <w:rPr/>
            </w:pPr>
            <w:r>
              <w:rPr/>
            </w:r>
          </w:p>
        </w:tc>
        <w:tc>
          <w:tcPr>
            <w:tcW w:w="270" w:type="dxa"/>
            <w:tcBorders>
              <w:start w:val="single" w:sz="6" w:space="0" w:color="000000"/>
            </w:tcBorders>
          </w:tcPr>
          <w:p>
            <w:pPr>
              <w:pStyle w:val="Normal"/>
              <w:snapToGrid w:val="false"/>
              <w:ind w:end="-270"/>
              <w:rPr/>
            </w:pPr>
            <w:r>
              <w:rPr/>
            </w:r>
          </w:p>
        </w:tc>
        <w:tc>
          <w:tcPr>
            <w:tcW w:w="3438" w:type="dxa"/>
            <w:gridSpan w:val="2"/>
            <w:tcBorders/>
          </w:tcPr>
          <w:p>
            <w:pPr>
              <w:pStyle w:val="Normal"/>
              <w:snapToGrid w:val="false"/>
              <w:ind w:end="-270"/>
              <w:rPr/>
            </w:pPr>
            <w:r>
              <w:rPr/>
            </w:r>
          </w:p>
          <w:p>
            <w:pPr>
              <w:pStyle w:val="Normal"/>
              <w:tabs>
                <w:tab w:val="clear" w:pos="720"/>
                <w:tab w:val="left" w:pos="252" w:leader="none"/>
              </w:tabs>
              <w:ind w:end="-270"/>
              <w:rPr/>
            </w:pPr>
            <w:r>
              <w:rPr/>
              <w:tab/>
              <w:t>Application No. 01-01-044</w:t>
            </w:r>
          </w:p>
          <w:p>
            <w:pPr>
              <w:pStyle w:val="Normal"/>
              <w:tabs>
                <w:tab w:val="clear" w:pos="720"/>
                <w:tab w:val="left" w:pos="252" w:leader="none"/>
              </w:tabs>
              <w:ind w:end="-270"/>
              <w:rPr/>
            </w:pPr>
            <w:r>
              <w:rPr/>
              <w:t xml:space="preserve">   </w:t>
            </w:r>
            <w:r>
              <w:rPr/>
              <w:tab/>
              <w:t>(Filed January 24, 2001)</w:t>
            </w:r>
          </w:p>
        </w:tc>
      </w:tr>
    </w:tbl>
    <w:p>
      <w:pPr>
        <w:pStyle w:val="Header"/>
        <w:tabs>
          <w:tab w:val="clear" w:pos="4320"/>
          <w:tab w:val="clear" w:pos="8640"/>
        </w:tabs>
        <w:rPr/>
      </w:pPr>
      <w:r>
        <w:rPr/>
      </w:r>
    </w:p>
    <w:p>
      <w:pPr>
        <w:pStyle w:val="Heading1"/>
        <w:spacing w:lineRule="auto" w:line="240"/>
        <w:ind w:hanging="0" w:start="0"/>
        <w:rPr/>
      </w:pPr>
      <w:r>
        <w:rPr/>
        <w:t>MOTION OF SAN DIEGO GAS &amp; ELECTRIC COMPANY (U 902-E) FOR ADOPTION OF AN ELECTRIC PROCUREMENT COST RECOVERY MECHANISM AND FOR ORDER SHORTENING TIME</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I.</w:t>
      </w:r>
    </w:p>
    <w:p>
      <w:pPr>
        <w:pStyle w:val="Normal"/>
        <w:jc w:val="center"/>
        <w:rPr>
          <w:b/>
        </w:rPr>
      </w:pPr>
      <w:r>
        <w:rPr>
          <w:b/>
        </w:rPr>
        <w:t>INTRODUCTION</w:t>
      </w:r>
    </w:p>
    <w:p>
      <w:pPr>
        <w:pStyle w:val="Normal"/>
        <w:jc w:val="center"/>
        <w:rPr>
          <w:b/>
        </w:rPr>
      </w:pPr>
      <w:r>
        <w:rPr>
          <w:b/>
        </w:rPr>
      </w:r>
    </w:p>
    <w:p>
      <w:pPr>
        <w:pStyle w:val="BodyTextIndent2"/>
        <w:rPr/>
      </w:pPr>
      <w:r>
        <w:rPr/>
        <w:t xml:space="preserve">On June 18, 2001, the State of California (through the California Department of Water Resources or “DWR”), San Diego Gas &amp; Electric Company (“SDG&amp;E”) and, as to certain provisions, Sempra Energy signed a Memorandum of Understanding (the “DWR/SDG&amp;E MOU”) the primary purpose of which was to ensure the continued provision by SDG&amp;E of affordable and reliable electricity to its customers.  The DWR/SDG&amp;E MOU, as one of its objectives, proposed a plan for eliminating certain deferred electric commodity costs incurred by residential and small commercial customers of SDG&amp;E (also known as AB 265 customers).  The plan requires a series of actions by the California Public Utilities Commission (“Commission” or “CPUC”) referred to as “CPUC Implementing Decisions.”   </w:t>
      </w:r>
    </w:p>
    <w:p>
      <w:pPr>
        <w:pStyle w:val="Normal"/>
        <w:spacing w:lineRule="auto" w:line="360"/>
        <w:ind w:firstLine="720" w:end="0"/>
        <w:rPr/>
      </w:pPr>
      <w:r>
        <w:rPr/>
        <w:t>On July 16, 2001 SDG&amp;E filed with the Commission the “Motion of San Diego Gas &amp; Electric Company for Implementation of Memorandum of Understanding with the State of California”, which requested implementation of certain matters identified in the DWR/SDG&amp;E Memorandum of Understanding through the issuance of ten CPUC Implementing Decisions.</w:t>
      </w:r>
    </w:p>
    <w:p>
      <w:pPr>
        <w:pStyle w:val="BodyText2"/>
        <w:rPr/>
      </w:pPr>
      <w:r>
        <w:rPr/>
        <w:t>On August 2, 2001, Assigned Commissioner Wood issued the “Assigned Commissioner’s Ruling Regarding San Diego Gas &amp; Electric Company’s Motion for Implementation of its Memorandum of Understanding with the State of California” (hereafter referred to as “August 2</w:t>
      </w:r>
      <w:r>
        <w:rPr>
          <w:vertAlign w:val="superscript"/>
        </w:rPr>
        <w:t>nd</w:t>
      </w:r>
      <w:r>
        <w:rPr/>
        <w:t xml:space="preserve"> ACR”).  The August 2</w:t>
      </w:r>
      <w:r>
        <w:rPr>
          <w:vertAlign w:val="superscript"/>
        </w:rPr>
        <w:t>nd</w:t>
      </w:r>
      <w:r>
        <w:rPr/>
        <w:t xml:space="preserve"> ACR discussed and set “target dates” for the CPUC Implementing Decisions, and in particular recognized that SDG&amp;E had committed to file its proposed procurement cost recovery mechanism by August 24</w:t>
      </w:r>
      <w:r>
        <w:rPr>
          <w:vertAlign w:val="superscript"/>
        </w:rPr>
        <w:t>th</w:t>
      </w:r>
      <w:r>
        <w:rPr/>
        <w:t xml:space="preserve">. </w:t>
      </w:r>
    </w:p>
    <w:p>
      <w:pPr>
        <w:pStyle w:val="BodyText2"/>
        <w:rPr/>
      </w:pPr>
      <w:r>
        <w:rPr/>
        <w:t>In describing the need for adoption of a procurement cost recovery mechanism, the DWR/SDG&amp;E MOU at p. 17, states:</w:t>
      </w:r>
    </w:p>
    <w:p>
      <w:pPr>
        <w:pStyle w:val="BodyText2"/>
        <w:spacing w:lineRule="auto" w:line="240"/>
        <w:ind w:hanging="0" w:start="720" w:end="720"/>
        <w:rPr>
          <w:color w:val="000000"/>
        </w:rPr>
      </w:pPr>
      <w:r>
        <w:rPr>
          <w:color w:val="000000"/>
        </w:rPr>
        <w:t>Given the magnitude of the net short, the practical ability of Utility to resume such procurement responsibility after the Procurement Resumption Date will depend in substantial part upon continuation of Utility's creditworthiness and its ability to recover such procurement costs in rates on a timely basis.  Accordingly, the CPUC Implementing Decisions will include confirmation of Utility's entitlement to recover its reasonable procurement costs on a timely basis and establish procedures (which may include one or more balancing accounts and trigger mechanisms) designed to ensure that any undercollection or overcollection of procurement costs will be reconciled in a timely manner and any undercollection will be able to be financed (in the capital or credit markets) on reasonable terms consistent with Utility continuing to be an investment grade credit, and mechanisms to mitigate the potential risks of retrospective reasonableness review of procurement practices, including the development of a framework and criteria for procurement practices (the "Procurement Cost Recovery Mechanism").  The Procurement Cost Recovery Mechanism shall also provide that any contracts, if any, that CDWR assigns or subcontracts to Utility shall be deemed reasonable per se.</w:t>
      </w:r>
    </w:p>
    <w:p>
      <w:pPr>
        <w:pStyle w:val="BodyText2"/>
        <w:rPr>
          <w:color w:val="000000"/>
        </w:rPr>
      </w:pPr>
      <w:r>
        <w:rPr>
          <w:color w:val="000000"/>
        </w:rPr>
      </w:r>
    </w:p>
    <w:p>
      <w:pPr>
        <w:pStyle w:val="BodyText2"/>
        <w:rPr/>
      </w:pPr>
      <w:r>
        <w:rPr/>
        <w:t xml:space="preserve">As the DWR/SDG&amp;E MOU recognizes, </w:t>
      </w:r>
      <w:r>
        <w:rPr>
          <w:color w:val="000000"/>
        </w:rPr>
        <w:t xml:space="preserve">the ability of SDG&amp;E to resume electric procurement responsibilities depends upon both SDG&amp;E’s creditworthiness and its ability to recover the procurement costs it incurs in rates on a timely basis while mitigating or eliminating the uncertainties caused by retrospective reasonableness reviews.  SDG&amp;E's </w:t>
      </w:r>
      <w:r>
        <w:rPr/>
        <w:t>Proposals and Recommendations Governing Procurement of the Net Short Energy Requirements for SDG&amp;E’s Customers is being served on all parties in R.94-04-031/I.94-04-032, A.00-10-045/A.01-01-044 and A.00-10-028, A.00-11-038, and A.00-11-056.</w:t>
      </w:r>
    </w:p>
    <w:p>
      <w:pPr>
        <w:pStyle w:val="zCaption"/>
        <w:widowControl/>
        <w:spacing w:lineRule="auto" w:line="360"/>
        <w:ind w:firstLine="720" w:end="0"/>
        <w:rPr>
          <w:rFonts w:ascii="Times New Roman" w:hAnsi="Times New Roman" w:cs="Times New Roman"/>
        </w:rPr>
      </w:pPr>
      <w:r>
        <w:rPr>
          <w:rFonts w:cs="Times New Roman" w:ascii="Times New Roman" w:hAnsi="Times New Roman"/>
        </w:rPr>
        <w:t>Adoption of the proposed procurement cost recovery mechanism will be an important step toward moving California out of its energy crisis and should put SDG&amp;E in a position whereby it can, under the terms of the DWR/SDG&amp;E MOU, resume electric procurement responsibility for its customers.</w:t>
      </w:r>
    </w:p>
    <w:p>
      <w:pPr>
        <w:pStyle w:val="BodyTextIndent2"/>
        <w:rPr/>
      </w:pPr>
      <w:r>
        <w:rPr/>
        <w:t xml:space="preserve"> </w:t>
      </w:r>
    </w:p>
    <w:p>
      <w:pPr>
        <w:pStyle w:val="BodyText2"/>
        <w:ind w:hanging="0" w:end="0"/>
        <w:jc w:val="center"/>
        <w:rPr>
          <w:b/>
        </w:rPr>
      </w:pPr>
      <w:r>
        <w:rPr>
          <w:b/>
        </w:rPr>
        <w:t>II.</w:t>
      </w:r>
    </w:p>
    <w:p>
      <w:pPr>
        <w:pStyle w:val="BodyText2"/>
        <w:spacing w:lineRule="auto" w:line="240"/>
        <w:ind w:hanging="0" w:end="0"/>
        <w:jc w:val="center"/>
        <w:rPr>
          <w:b/>
        </w:rPr>
      </w:pPr>
      <w:r>
        <w:rPr>
          <w:b/>
        </w:rPr>
        <w:t xml:space="preserve">THE COMMISSION SHOULD SHORTEN THE COMMENT PERIOD ON THE  PROCUREMENT </w:t>
        <w:br/>
        <w:t>COST RECOVERY MECHANISM</w:t>
      </w:r>
    </w:p>
    <w:p>
      <w:pPr>
        <w:pStyle w:val="BodyText2"/>
        <w:spacing w:lineRule="auto" w:line="240"/>
        <w:ind w:hanging="0" w:end="0"/>
        <w:jc w:val="center"/>
        <w:rPr>
          <w:b/>
        </w:rPr>
      </w:pPr>
      <w:r>
        <w:rPr>
          <w:b/>
        </w:rPr>
      </w:r>
    </w:p>
    <w:p>
      <w:pPr>
        <w:pStyle w:val="BodyText2"/>
        <w:rPr>
          <w:b/>
        </w:rPr>
      </w:pPr>
      <w:r>
        <w:rPr>
          <w:b/>
        </w:rPr>
      </w:r>
    </w:p>
    <w:p>
      <w:pPr>
        <w:pStyle w:val="BodyText2"/>
        <w:rPr/>
      </w:pPr>
      <w:r>
        <w:rPr/>
        <w:t>The August 2</w:t>
      </w:r>
      <w:r>
        <w:rPr>
          <w:vertAlign w:val="superscript"/>
        </w:rPr>
        <w:t>nd</w:t>
      </w:r>
      <w:r>
        <w:rPr/>
        <w:t xml:space="preserve"> ACR set a “target date” of October 25, 2001 for the procurement cost recovery mechanism.  As noted at page 6 of the August 2</w:t>
      </w:r>
      <w:r>
        <w:rPr>
          <w:vertAlign w:val="superscript"/>
        </w:rPr>
        <w:t>nd</w:t>
      </w:r>
      <w:r>
        <w:rPr/>
        <w:t xml:space="preserve"> ACR, October 25 thus represents the “target dates by when items addressing each of the implementing decisions should be placed on the Commission’s agenda.”  Given that there are approximately 60 days between the filing of SDG&amp;E’s proposal and the target date for having the implementing decision on the agenda, it is appropriate to expedite the comment process.  </w:t>
      </w:r>
    </w:p>
    <w:p>
      <w:pPr>
        <w:pStyle w:val="BodyText2"/>
        <w:rPr/>
      </w:pPr>
      <w:r>
        <w:rPr/>
        <w:t>SDG&amp;E July 16, 2001 motion</w:t>
      </w:r>
      <w:r>
        <w:rPr>
          <w:rStyle w:val="FootnoteCharacters"/>
          <w:rStyle w:val="FootnoteReference"/>
        </w:rPr>
        <w:footnoteReference w:id="2"/>
      </w:r>
      <w:r>
        <w:rPr/>
        <w:t xml:space="preserve"> set forth a proposed time table in which 15 days were to </w:t>
      </w:r>
      <w:r>
        <w:br w:type="page"/>
      </w:r>
    </w:p>
    <w:p>
      <w:pPr>
        <w:pStyle w:val="BodyText2"/>
        <w:ind w:hanging="0" w:end="0"/>
        <w:rPr/>
      </w:pPr>
      <w:r>
        <w:rPr/>
        <w:t>be allowed for parties to respond to the August 24</w:t>
      </w:r>
      <w:r>
        <w:rPr>
          <w:vertAlign w:val="superscript"/>
        </w:rPr>
        <w:t>th</w:t>
      </w:r>
      <w:r>
        <w:rPr/>
        <w:t xml:space="preserve"> proposal, then SDG&amp;E would have 10 days to file reply comments.  SDG&amp;E notes that the August 2</w:t>
      </w:r>
      <w:r>
        <w:rPr>
          <w:vertAlign w:val="superscript"/>
        </w:rPr>
        <w:t>nd</w:t>
      </w:r>
      <w:r>
        <w:rPr/>
        <w:t xml:space="preserve"> ACR does not explicitly adopt this schedule.  However, this schedule will allow a reasonable opportunity to meet the target date of October 25</w:t>
      </w:r>
      <w:r>
        <w:rPr>
          <w:vertAlign w:val="superscript"/>
        </w:rPr>
        <w:t>th</w:t>
      </w:r>
      <w:r>
        <w:rPr/>
        <w:t xml:space="preserve">. </w:t>
      </w:r>
    </w:p>
    <w:p>
      <w:pPr>
        <w:pStyle w:val="BodyText2"/>
        <w:rPr/>
      </w:pPr>
      <w:r>
        <w:rPr/>
        <w:t>Therefore, pursuant to subdivision (i) of Rule 45 of the Commission’s Rules of Practice and Procedure SDG&amp;E moves the Commission for an order shortening time so that responses to SDG&amp;E’s proposal are due in 15 days, with SDG&amp;E’s reply due 10 days after.</w:t>
      </w:r>
    </w:p>
    <w:p>
      <w:pPr>
        <w:pStyle w:val="BodyText2"/>
        <w:ind w:hanging="0" w:end="0"/>
        <w:jc w:val="center"/>
        <w:rPr>
          <w:b/>
        </w:rPr>
      </w:pPr>
      <w:r>
        <w:rPr>
          <w:b/>
        </w:rPr>
      </w:r>
    </w:p>
    <w:p>
      <w:pPr>
        <w:pStyle w:val="BodyText2"/>
        <w:ind w:hanging="0" w:end="0"/>
        <w:jc w:val="center"/>
        <w:rPr>
          <w:b/>
        </w:rPr>
      </w:pPr>
      <w:r>
        <w:rPr>
          <w:b/>
        </w:rPr>
        <w:t>III.</w:t>
      </w:r>
    </w:p>
    <w:p>
      <w:pPr>
        <w:pStyle w:val="BodyText2"/>
        <w:ind w:hanging="0" w:end="0"/>
        <w:jc w:val="center"/>
        <w:rPr>
          <w:b/>
        </w:rPr>
      </w:pPr>
      <w:r>
        <w:rPr>
          <w:b/>
        </w:rPr>
        <w:t>CONCLUSION</w:t>
      </w:r>
    </w:p>
    <w:p>
      <w:pPr>
        <w:pStyle w:val="zCaption"/>
        <w:widowControl/>
        <w:spacing w:lineRule="auto" w:line="360"/>
        <w:ind w:firstLine="720" w:end="0"/>
        <w:rPr>
          <w:rFonts w:ascii="Times New Roman" w:hAnsi="Times New Roman" w:cs="Times New Roman"/>
        </w:rPr>
      </w:pPr>
      <w:r>
        <w:rPr>
          <w:rFonts w:cs="Times New Roman" w:ascii="Times New Roman" w:hAnsi="Times New Roman"/>
        </w:rPr>
        <w:t>Based upon the foregoing, and consistent with the DWR/SDG&amp;E MOU, SDG&amp;E requests:</w:t>
      </w:r>
    </w:p>
    <w:p>
      <w:pPr>
        <w:pStyle w:val="Normal"/>
        <w:numPr>
          <w:ilvl w:val="0"/>
          <w:numId w:val="2"/>
        </w:numPr>
        <w:spacing w:lineRule="auto" w:line="360"/>
        <w:rPr/>
      </w:pPr>
      <w:r>
        <w:rPr/>
        <w:t>That the assigned ALJ or the Assigned Commissioner issue a ruling immediately shortening the time for comments and reply comments as set forth above; and</w:t>
      </w:r>
    </w:p>
    <w:p>
      <w:pPr>
        <w:pStyle w:val="Normal"/>
        <w:numPr>
          <w:ilvl w:val="0"/>
          <w:numId w:val="2"/>
        </w:numPr>
        <w:spacing w:lineRule="auto" w:line="360"/>
        <w:rPr/>
      </w:pPr>
      <w:r>
        <w:rPr/>
        <w:t xml:space="preserve">That after due consideration of SDG&amp;E’s proposal and parties comments the Commission adopt a procurement cost recovery mechanism for SDG&amp;E that accomplishes the objectives described in the DWR/SDG&amp;E MOU.  </w:t>
      </w:r>
    </w:p>
    <w:p>
      <w:pPr>
        <w:pStyle w:val="Normal"/>
        <w:spacing w:lineRule="auto" w:line="360"/>
        <w:ind w:start="720" w:end="0"/>
        <w:rPr/>
      </w:pPr>
      <w:r>
        <w:rPr/>
      </w:r>
    </w:p>
    <w:p>
      <w:pPr>
        <w:pStyle w:val="BodyText2"/>
        <w:rPr/>
      </w:pPr>
      <w:r>
        <w:rPr/>
        <w:tab/>
        <w:tab/>
        <w:tab/>
        <w:tab/>
        <w:tab/>
        <w:t>Respectfully Submitted:</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rPr>
                <w:b/>
              </w:rPr>
            </w:pPr>
            <w:r>
              <w:rPr>
                <w:b/>
              </w:rPr>
            </w:r>
          </w:p>
        </w:tc>
        <w:tc>
          <w:tcPr>
            <w:tcW w:w="5238" w:type="dxa"/>
            <w:tcBorders/>
          </w:tcPr>
          <w:p>
            <w:pPr>
              <w:pStyle w:val="Normal"/>
              <w:snapToGrid w:val="false"/>
              <w:rPr>
                <w:b/>
              </w:rPr>
            </w:pPr>
            <w:r>
              <w:rPr>
                <w:b/>
              </w:rPr>
            </w:r>
          </w:p>
          <w:p>
            <w:pPr>
              <w:pStyle w:val="Normal"/>
              <w:rPr/>
            </w:pPr>
            <w:r>
              <w:rPr/>
            </w:r>
          </w:p>
          <w:p>
            <w:pPr>
              <w:pStyle w:val="Normal"/>
              <w:tabs>
                <w:tab w:val="clear" w:pos="720"/>
                <w:tab w:val="left" w:pos="702" w:leader="none"/>
                <w:tab w:val="left" w:pos="4320" w:leader="none"/>
              </w:tabs>
              <w:rPr/>
            </w:pPr>
            <w:r>
              <w:rPr/>
              <w:t>By:</w:t>
              <w:tab/>
              <w:t xml:space="preserve">___________________________________ </w:t>
            </w:r>
          </w:p>
          <w:p>
            <w:pPr>
              <w:pStyle w:val="Normal"/>
              <w:tabs>
                <w:tab w:val="clear" w:pos="720"/>
                <w:tab w:val="left" w:pos="4320" w:leader="none"/>
              </w:tabs>
              <w:ind w:start="702" w:end="0"/>
              <w:rPr/>
            </w:pPr>
            <w:r>
              <w:rPr/>
              <w:t>Keith W. Melville</w:t>
              <w:br/>
              <w:t>Glen J. Sullivan</w:t>
            </w:r>
          </w:p>
          <w:p>
            <w:pPr>
              <w:pStyle w:val="Normal"/>
              <w:tabs>
                <w:tab w:val="clear" w:pos="720"/>
                <w:tab w:val="left" w:pos="4320" w:leader="none"/>
              </w:tabs>
              <w:ind w:start="702" w:end="0"/>
              <w:rPr/>
            </w:pPr>
            <w:r>
              <w:rPr/>
              <w:t>101 Ash Street</w:t>
            </w:r>
          </w:p>
          <w:p>
            <w:pPr>
              <w:pStyle w:val="Normal"/>
              <w:tabs>
                <w:tab w:val="clear" w:pos="720"/>
                <w:tab w:val="left" w:pos="4320" w:leader="none"/>
              </w:tabs>
              <w:ind w:start="702" w:end="0"/>
              <w:rPr/>
            </w:pPr>
            <w:r>
              <w:rPr/>
              <w:t xml:space="preserve">San Diego, California 92101-3017 </w:t>
            </w:r>
          </w:p>
          <w:p>
            <w:pPr>
              <w:pStyle w:val="Normal"/>
              <w:tabs>
                <w:tab w:val="clear" w:pos="720"/>
                <w:tab w:val="left" w:pos="4320" w:leader="none"/>
              </w:tabs>
              <w:ind w:start="702" w:end="0"/>
              <w:rPr/>
            </w:pPr>
            <w:r>
              <w:rPr/>
              <w:t>Telephone:  (619) 699-5039</w:t>
            </w:r>
          </w:p>
          <w:p>
            <w:pPr>
              <w:pStyle w:val="Normal"/>
              <w:ind w:start="702" w:end="0"/>
              <w:rPr/>
            </w:pPr>
            <w:r>
              <w:rPr/>
              <w:t>Facsimile:   (619) 699-5027</w:t>
            </w:r>
          </w:p>
          <w:p>
            <w:pPr>
              <w:pStyle w:val="Normal"/>
              <w:rPr/>
            </w:pPr>
            <w:r>
              <w:rPr/>
            </w:r>
          </w:p>
        </w:tc>
      </w:tr>
      <w:tr>
        <w:trPr/>
        <w:tc>
          <w:tcPr>
            <w:tcW w:w="4338" w:type="dxa"/>
            <w:tcBorders/>
          </w:tcPr>
          <w:p>
            <w:pPr>
              <w:pStyle w:val="Normal"/>
              <w:snapToGrid w:val="false"/>
              <w:rPr>
                <w:b/>
              </w:rPr>
            </w:pPr>
            <w:r>
              <w:rPr>
                <w:b/>
              </w:rPr>
            </w:r>
          </w:p>
        </w:tc>
        <w:tc>
          <w:tcPr>
            <w:tcW w:w="5238" w:type="dxa"/>
            <w:tcBorders/>
          </w:tcPr>
          <w:p>
            <w:pPr>
              <w:pStyle w:val="Normal"/>
              <w:snapToGrid w:val="false"/>
              <w:rPr>
                <w:b/>
              </w:rPr>
            </w:pPr>
            <w:r>
              <w:rPr>
                <w:b/>
              </w:rPr>
            </w:r>
          </w:p>
        </w:tc>
      </w:tr>
    </w:tbl>
    <w:p>
      <w:pPr>
        <w:pStyle w:val="Normal"/>
        <w:ind w:start="5040" w:end="0"/>
        <w:rPr/>
      </w:pPr>
      <w:r>
        <w:rPr/>
        <w:t>Attorneys for</w:t>
      </w:r>
    </w:p>
    <w:p>
      <w:pPr>
        <w:pStyle w:val="Normal"/>
        <w:rPr/>
      </w:pPr>
      <w:r>
        <w:rPr/>
        <w:t>August 24, 2001</w:t>
        <w:tab/>
        <w:tab/>
        <w:tab/>
        <w:tab/>
        <w:tab/>
        <w:t>San Diego Gas &amp; Electric Company</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charset w:val="00" w:characterSet="windows-1252"/>
    <w:family w:val="roman"/>
    <w:pitch w:val="variable"/>
  </w:font>
  <w:font w:name="NewCenturySchlb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59436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095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943600" cy="442595"/>
              <wp:effectExtent l="0" t="0" r="0" b="0"/>
              <wp:wrapSquare wrapText="bothSides"/>
              <wp:docPr id="2" name="Frame2"/>
              <a:graphic xmlns:a="http://schemas.openxmlformats.org/drawingml/2006/main">
                <a:graphicData uri="http://schemas.microsoft.com/office/word/2010/wordprocessingShape">
                  <wps:wsp>
                    <wps:cNvSpPr txBox="1"/>
                    <wps:spPr>
                      <a:xfrm>
                        <a:off x="0" y="0"/>
                        <a:ext cx="5943600" cy="44259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34.8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jc w:val="start"/>
        <w:rPr/>
      </w:pPr>
      <w:r>
        <w:rPr>
          <w:rStyle w:val="FootnoteCharacters"/>
        </w:rPr>
        <w:footnoteRef/>
      </w:r>
      <w:r>
        <w:rPr/>
        <w:t xml:space="preserve"> </w:t>
      </w:r>
      <w:r>
        <w:rPr>
          <w:b w:val="false"/>
          <w:sz w:val="20"/>
        </w:rPr>
        <w:t>Motion of San Diego Gas &amp; Electric Company (U 902-E) for a Procedural Schedule to Adopt an Electric Procurement Cost Recovery Mechanism, filed July 16, 2001 in R.94-04-031/I.94-04-032.  This Motion was also served on interested parties as Attachment 8 to the “Motion of San Diego Gas &amp; Electric Company for Implementation of Memorandum of Understanding with the State of California, filed July 16, 2001 in A.00-10-045 and A.01-01-044.</w:t>
      </w:r>
    </w:p>
    <w:p>
      <w:pPr>
        <w:pStyle w:val="BodyText"/>
        <w:jc w:val="start"/>
        <w:rPr>
          <w:b w:val="false"/>
          <w:sz w:val="20"/>
        </w:rPr>
      </w:pPr>
      <w:r>
        <w:rPr>
          <w:b w:val="false"/>
          <w:sz w:val="20"/>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rPr>
  </w:style>
  <w:style w:type="character" w:styleId="DefaultParagraphFont">
    <w:name w:val="Default Paragraph Font"/>
    <w:qFormat/>
    <w:rPr/>
  </w:style>
  <w:style w:type="character" w:styleId="Strong">
    <w:name w:val="Strong"/>
    <w:basedOn w:val="DefaultParagraphFont"/>
    <w:qFormat/>
    <w:rPr>
      <w:b/>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Arial" w:hAnsi="Helvetica;Arial" w:cs="Helvetica;Arial"/>
      <w:b/>
      <w:sz w:val="26"/>
    </w:rPr>
  </w:style>
  <w:style w:type="paragraph" w:styleId="standard">
    <w:name w:val="standard"/>
    <w:basedOn w:val="Normal"/>
    <w:qFormat/>
    <w:pPr>
      <w:spacing w:lineRule="auto" w:line="360"/>
      <w:ind w:firstLine="720" w:start="0" w:end="0"/>
    </w:pPr>
    <w:rPr>
      <w:rFonts w:ascii="Palatino" w:hAnsi="Palatino" w:cs="Palatino"/>
      <w:sz w:val="26"/>
    </w:rPr>
  </w:style>
  <w:style w:type="paragraph" w:styleId="FootnoteText">
    <w:name w:val="footnote text"/>
    <w:basedOn w:val="Normal"/>
    <w:pPr>
      <w:spacing w:lineRule="auto" w:line="36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360"/>
    </w:pPr>
    <w:rPr/>
  </w:style>
  <w:style w:type="paragraph" w:styleId="Footer">
    <w:name w:val="footer"/>
    <w:basedOn w:val="Normal"/>
    <w:pPr>
      <w:tabs>
        <w:tab w:val="clear" w:pos="720"/>
        <w:tab w:val="center" w:pos="4320" w:leader="none"/>
        <w:tab w:val="right" w:pos="8640" w:leader="none"/>
      </w:tabs>
      <w:spacing w:lineRule="auto" w:line="360"/>
    </w:pPr>
    <w:rPr/>
  </w:style>
  <w:style w:type="paragraph" w:styleId="BodyText2">
    <w:name w:val="Body Text 2"/>
    <w:basedOn w:val="Normal"/>
    <w:qFormat/>
    <w:pPr>
      <w:spacing w:lineRule="auto" w:line="360"/>
      <w:ind w:firstLine="720" w:start="0" w:end="0"/>
    </w:pPr>
    <w:rPr/>
  </w:style>
  <w:style w:type="paragraph" w:styleId="BodyTextIndent2">
    <w:name w:val="Body Text Indent 2"/>
    <w:basedOn w:val="Normal"/>
    <w:qFormat/>
    <w:pPr>
      <w:spacing w:lineRule="auto" w:line="360"/>
      <w:ind w:firstLine="720" w:start="0" w:end="0"/>
    </w:pPr>
    <w:rPr/>
  </w:style>
  <w:style w:type="paragraph" w:styleId="zCaption">
    <w:name w:val="zCaption"/>
    <w:basedOn w:val="Normal"/>
    <w:qFormat/>
    <w:pPr>
      <w:widowControl w:val="false"/>
    </w:pPr>
    <w:rPr>
      <w:rFonts w:ascii="NewCenturySchlbk" w:hAnsi="NewCenturySchlbk" w:cs="NewCenturySchlbk"/>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2001-08-24T14:06:00Z</dcterms:created>
  <dc:creator/>
  <dc:description/>
  <dc:language>en-CA</dc:language>
  <cp:lastModifiedBy>SEMPRA</cp:lastModifiedBy>
  <cp:lastPrinted>2001-08-24T15:18:00Z</cp:lastPrinted>
  <dcterms:modified xsi:type="dcterms:W3CDTF">2001-08-24T21:19:00Z</dcterms:modified>
  <cp:revision>13</cp:revision>
  <dc:subject/>
  <dc:title/>
</cp:coreProperties>
</file>