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spacing w:before="240" w:after="60"/>
        <w:ind w:hanging="0" w:start="0"/>
        <w:jc w:val="center"/>
        <w:rPr>
          <w:rFonts w:ascii="Times New Roman" w:hAnsi="Times New Roman" w:cs="Times New Roman"/>
        </w:rPr>
      </w:pPr>
      <w:r>
        <w:rPr>
          <w:rFonts w:cs="Times New Roman" w:ascii="Times New Roman" w:hAnsi="Times New Roman"/>
        </w:rPr>
        <w:t>San Diego Gas &amp; Electric Company’s Proposals and Recommendations Governing Procurement of the Net Short Energy Requirements for SDG&amp;E’s Customers</w:t>
      </w:r>
    </w:p>
    <w:p>
      <w:pPr>
        <w:pStyle w:val="Normal"/>
        <w:rPr>
          <w:rFonts w:ascii="Times New Roman" w:hAnsi="Times New Roman" w:cs="Times New Roman"/>
          <w:sz w:val="28"/>
        </w:rPr>
      </w:pPr>
      <w:r>
        <w:rPr>
          <w:rFonts w:cs="Times New Roman"/>
          <w:sz w:val="28"/>
        </w:rPr>
      </w:r>
    </w:p>
    <w:p>
      <w:pPr>
        <w:pStyle w:val="Heading1"/>
        <w:ind w:hanging="0" w:start="0"/>
        <w:jc w:val="center"/>
        <w:rPr>
          <w:rFonts w:ascii="Times New Roman" w:hAnsi="Times New Roman" w:cs="Times New Roman"/>
        </w:rPr>
      </w:pPr>
      <w:r>
        <w:rPr>
          <w:rFonts w:cs="Times New Roman" w:ascii="Times New Roman" w:hAnsi="Times New Roman"/>
        </w:rPr>
        <w:t>Executive Summary</w:t>
      </w:r>
    </w:p>
    <w:p>
      <w:pPr>
        <w:pStyle w:val="Normal"/>
        <w:rPr>
          <w:rFonts w:ascii="Times New Roman" w:hAnsi="Times New Roman" w:cs="Times New Roman"/>
          <w:sz w:val="28"/>
        </w:rPr>
      </w:pPr>
      <w:r>
        <w:rPr>
          <w:rFonts w:cs="Times New Roman"/>
          <w:sz w:val="28"/>
        </w:rPr>
      </w:r>
    </w:p>
    <w:p>
      <w:pPr>
        <w:pStyle w:val="BodyTextIndent"/>
        <w:rPr/>
      </w:pPr>
      <w:r>
        <w:rPr/>
        <w:t xml:space="preserve">This filing initiates the Commission’s review of planning and procurement to meet the net short requirements of SDG&amp;E’s customers. </w:t>
      </w:r>
    </w:p>
    <w:p>
      <w:pPr>
        <w:pStyle w:val="BodyTextIndent"/>
        <w:ind w:firstLine="720" w:end="0"/>
        <w:jc w:val="center"/>
        <w:rPr/>
      </w:pPr>
      <w:r>
        <w:rPr/>
      </w:r>
    </w:p>
    <w:p>
      <w:pPr>
        <w:pStyle w:val="Heading1"/>
        <w:ind w:hanging="0" w:start="0"/>
        <w:rPr>
          <w:rFonts w:ascii="Times New Roman" w:hAnsi="Times New Roman" w:cs="Times New Roman"/>
        </w:rPr>
      </w:pPr>
      <w:r>
        <w:rPr>
          <w:rFonts w:cs="Times New Roman" w:ascii="Times New Roman" w:hAnsi="Times New Roman"/>
        </w:rPr>
        <w:t>Primary Features of Proposed Plan</w:t>
      </w:r>
    </w:p>
    <w:p>
      <w:pPr>
        <w:pStyle w:val="BodyTextIndent"/>
        <w:rPr>
          <w:rFonts w:ascii="Times New Roman" w:hAnsi="Times New Roman" w:cs="Times New Roman"/>
        </w:rPr>
      </w:pPr>
      <w:r>
        <w:rPr>
          <w:rFonts w:cs="Times New Roman"/>
        </w:rPr>
      </w:r>
    </w:p>
    <w:p>
      <w:pPr>
        <w:pStyle w:val="BodyTextIndent"/>
        <w:numPr>
          <w:ilvl w:val="0"/>
          <w:numId w:val="5"/>
        </w:numPr>
        <w:rPr/>
      </w:pPr>
      <w:r>
        <w:rPr>
          <w:b/>
          <w:u w:val="single"/>
        </w:rPr>
        <w:t>Identify Existing Loads and Resources</w:t>
      </w:r>
      <w:r>
        <w:rPr/>
        <w:t xml:space="preserve"> available to serve loads in the San Diego area for a 5-year period.  This will identify any gaps which need to be filled to fully meet expected loads.</w:t>
      </w:r>
    </w:p>
    <w:p>
      <w:pPr>
        <w:pStyle w:val="BodyTextIndent"/>
        <w:rPr/>
      </w:pPr>
      <w:r>
        <w:rPr/>
      </w:r>
    </w:p>
    <w:p>
      <w:pPr>
        <w:pStyle w:val="BodyTextIndent"/>
        <w:numPr>
          <w:ilvl w:val="0"/>
          <w:numId w:val="5"/>
        </w:numPr>
        <w:rPr/>
      </w:pPr>
      <w:r>
        <w:rPr>
          <w:b/>
          <w:u w:val="single"/>
        </w:rPr>
        <w:t>Preliminary Assessment of the Amount and Type of Resources to be Procured</w:t>
      </w:r>
      <w:r>
        <w:rPr/>
        <w:t xml:space="preserve"> in order to fill any gaps identified in the step above for each of the plan’s 5 years.  This step takes the raw need identified in the step above, and breaks it down into more detail on which kinds of resources – e.g., base load, peaking, etc. -- need to be procured.</w:t>
      </w:r>
    </w:p>
    <w:p>
      <w:pPr>
        <w:pStyle w:val="BodyTextIndent"/>
        <w:rPr/>
      </w:pPr>
      <w:r>
        <w:rPr/>
      </w:r>
    </w:p>
    <w:p>
      <w:pPr>
        <w:pStyle w:val="BodyTextIndent"/>
        <w:numPr>
          <w:ilvl w:val="0"/>
          <w:numId w:val="5"/>
        </w:numPr>
        <w:rPr/>
      </w:pPr>
      <w:r>
        <w:rPr>
          <w:b/>
          <w:u w:val="single"/>
        </w:rPr>
        <w:t>Risk Management Assessment</w:t>
      </w:r>
      <w:r>
        <w:rPr/>
        <w:t xml:space="preserve"> to identify the best overall portfolio of long and short-term resources, lengths of commitments, etc. to be procured.</w:t>
      </w:r>
    </w:p>
    <w:p>
      <w:pPr>
        <w:pStyle w:val="BodyTextIndent"/>
        <w:rPr/>
      </w:pPr>
      <w:r>
        <w:rPr/>
      </w:r>
    </w:p>
    <w:p>
      <w:pPr>
        <w:pStyle w:val="BodyTextIndent"/>
        <w:numPr>
          <w:ilvl w:val="0"/>
          <w:numId w:val="5"/>
        </w:numPr>
        <w:rPr>
          <w:u w:val="single"/>
        </w:rPr>
      </w:pPr>
      <w:r>
        <w:rPr>
          <w:b/>
          <w:u w:val="single"/>
        </w:rPr>
        <w:t>Procurement Methodology to be Followed</w:t>
      </w:r>
      <w:r>
        <w:rPr/>
        <w:t xml:space="preserve"> for each type of resource identified for procurement.  This will identify the best procurement mechanism for each type – e.g., RFP, Market Trading, ISO Market, etc.,  -- as well as timing and evaluation methodologies to be used in making decisions.</w:t>
      </w:r>
    </w:p>
    <w:p>
      <w:pPr>
        <w:pStyle w:val="BodyText"/>
        <w:rPr>
          <w:u w:val="single"/>
        </w:rPr>
      </w:pPr>
      <w:r>
        <w:rPr>
          <w:u w:val="single"/>
        </w:rPr>
      </w:r>
    </w:p>
    <w:p>
      <w:pPr>
        <w:pStyle w:val="Heading1"/>
        <w:ind w:hanging="0" w:start="0"/>
        <w:rPr>
          <w:rFonts w:ascii="Times New Roman" w:hAnsi="Times New Roman" w:cs="Times New Roman"/>
        </w:rPr>
      </w:pPr>
      <w:r>
        <w:rPr>
          <w:rFonts w:cs="Times New Roman" w:ascii="Times New Roman" w:hAnsi="Times New Roman"/>
        </w:rPr>
        <w:t>Key Policy Guidelines the Commission Should Establish</w:t>
      </w:r>
    </w:p>
    <w:p>
      <w:pPr>
        <w:pStyle w:val="BodyText"/>
        <w:rPr>
          <w:rFonts w:ascii="Times New Roman" w:hAnsi="Times New Roman" w:cs="Times New Roman"/>
        </w:rPr>
      </w:pPr>
      <w:r>
        <w:rPr>
          <w:rFonts w:cs="Times New Roman"/>
        </w:rPr>
      </w:r>
    </w:p>
    <w:p>
      <w:pPr>
        <w:pStyle w:val="BodyText"/>
        <w:rPr/>
      </w:pPr>
      <w:r>
        <w:rPr/>
        <w:t>SDG&amp;E believes that the Commission should also establish several important policy guidelines as part of its adoption of a procurement process for SDG&amp;E. These include:</w:t>
      </w:r>
    </w:p>
    <w:p>
      <w:pPr>
        <w:pStyle w:val="BodyText"/>
        <w:rPr/>
      </w:pPr>
      <w:r>
        <w:rPr/>
      </w:r>
    </w:p>
    <w:p>
      <w:pPr>
        <w:pStyle w:val="BodyText"/>
        <w:numPr>
          <w:ilvl w:val="0"/>
          <w:numId w:val="2"/>
        </w:numPr>
        <w:tabs>
          <w:tab w:val="left" w:pos="720" w:leader="none"/>
        </w:tabs>
        <w:ind w:hanging="360" w:start="720" w:end="0"/>
        <w:rPr>
          <w:b/>
        </w:rPr>
      </w:pPr>
      <w:r>
        <w:rPr/>
        <w:t xml:space="preserve">There should be a ratemaking mechanism that will provide timely recovery of procurement costs while minimizing the potential for large balancing account accumulations, in order to maintain SDG&amp;E’s creditworthiness. </w:t>
      </w:r>
    </w:p>
    <w:p>
      <w:pPr>
        <w:pStyle w:val="BodyText"/>
        <w:rPr>
          <w:b/>
        </w:rPr>
      </w:pPr>
      <w:r>
        <w:rPr>
          <w:b/>
        </w:rPr>
      </w:r>
    </w:p>
    <w:p>
      <w:pPr>
        <w:pStyle w:val="BodyText"/>
        <w:numPr>
          <w:ilvl w:val="0"/>
          <w:numId w:val="2"/>
        </w:numPr>
        <w:tabs>
          <w:tab w:val="left" w:pos="720" w:leader="none"/>
        </w:tabs>
        <w:ind w:hanging="360" w:start="720" w:end="0"/>
        <w:rPr/>
      </w:pPr>
      <w:r>
        <w:rPr/>
        <w:t>Purchases made in accordance with an approved procurement plan and using approved methods should be found to be reasonable.</w:t>
      </w:r>
    </w:p>
    <w:p>
      <w:pPr>
        <w:pStyle w:val="BodyText"/>
        <w:rPr/>
      </w:pPr>
      <w:r>
        <w:rPr/>
      </w:r>
    </w:p>
    <w:p>
      <w:pPr>
        <w:pStyle w:val="BodyText"/>
        <w:numPr>
          <w:ilvl w:val="0"/>
          <w:numId w:val="2"/>
        </w:numPr>
        <w:tabs>
          <w:tab w:val="left" w:pos="720" w:leader="none"/>
        </w:tabs>
        <w:ind w:hanging="360" w:start="720" w:end="0"/>
        <w:rPr/>
      </w:pPr>
      <w:r>
        <w:rPr/>
        <w:t>The confidentiality of market-sensitive information should be maintained.</w:t>
      </w:r>
    </w:p>
    <w:p>
      <w:pPr>
        <w:pStyle w:val="BodyText"/>
        <w:rPr/>
      </w:pPr>
      <w:r>
        <w:rPr/>
      </w:r>
    </w:p>
    <w:p>
      <w:pPr>
        <w:pStyle w:val="BodyText"/>
        <w:numPr>
          <w:ilvl w:val="0"/>
          <w:numId w:val="2"/>
        </w:numPr>
        <w:tabs>
          <w:tab w:val="left" w:pos="720" w:leader="none"/>
        </w:tabs>
        <w:ind w:hanging="360" w:start="720" w:end="0"/>
        <w:rPr/>
      </w:pPr>
      <w:r>
        <w:rPr/>
        <w:t>SDG&amp;E’s proposed timetable for processing the resource plan  (90 days for SDG&amp;E to prepare plan; 90 day CPUC review period) should be adopted.</w:t>
      </w:r>
    </w:p>
    <w:p>
      <w:pPr>
        <w:pStyle w:val="BodyText"/>
        <w:rPr/>
      </w:pPr>
      <w:r>
        <w:rPr/>
      </w:r>
    </w:p>
    <w:p>
      <w:pPr>
        <w:pStyle w:val="Heading1"/>
        <w:ind w:hanging="0" w:start="0"/>
        <w:rPr>
          <w:rFonts w:ascii="Times New Roman" w:hAnsi="Times New Roman" w:cs="Times New Roman"/>
        </w:rPr>
      </w:pPr>
      <w:r>
        <w:rPr>
          <w:rFonts w:cs="Times New Roman" w:ascii="Times New Roman" w:hAnsi="Times New Roman"/>
        </w:rPr>
        <w:t>Key Issues and Alternative Approaches</w:t>
      </w:r>
    </w:p>
    <w:p>
      <w:pPr>
        <w:pStyle w:val="BodyText"/>
        <w:rPr>
          <w:rFonts w:ascii="Times New Roman" w:hAnsi="Times New Roman" w:cs="Times New Roman"/>
        </w:rPr>
      </w:pPr>
      <w:r>
        <w:rPr>
          <w:rFonts w:cs="Times New Roman"/>
        </w:rPr>
      </w:r>
    </w:p>
    <w:p>
      <w:pPr>
        <w:pStyle w:val="BodyText"/>
        <w:rPr/>
      </w:pPr>
      <w:r>
        <w:rPr/>
        <w:t xml:space="preserve">In advance of SDG&amp;E preparing a plan, the Commission must address several issues to ensure that customers’ power needs are being met in the most efficient manner. Commission action is necessary to resolve the following issues: </w:t>
      </w:r>
    </w:p>
    <w:p>
      <w:pPr>
        <w:pStyle w:val="BodyText"/>
        <w:rPr/>
      </w:pPr>
      <w:r>
        <w:rPr/>
      </w:r>
    </w:p>
    <w:p>
      <w:pPr>
        <w:pStyle w:val="BodyText"/>
        <w:numPr>
          <w:ilvl w:val="0"/>
          <w:numId w:val="8"/>
        </w:numPr>
        <w:rPr/>
      </w:pPr>
      <w:r>
        <w:rPr/>
        <w:t>Approve an allocation of CDWR energy based on SDG&amp;E’s customers’ need for each product type CDWR has available.</w:t>
      </w:r>
    </w:p>
    <w:p>
      <w:pPr>
        <w:pStyle w:val="BodyText"/>
        <w:rPr/>
      </w:pPr>
      <w:r>
        <w:rPr/>
      </w:r>
    </w:p>
    <w:p>
      <w:pPr>
        <w:pStyle w:val="BodyText"/>
        <w:numPr>
          <w:ilvl w:val="0"/>
          <w:numId w:val="6"/>
        </w:numPr>
        <w:rPr/>
      </w:pPr>
      <w:r>
        <w:rPr/>
        <w:t>Determine whether local agencies or other market participants will have a role in procuring the net short energy requirements.</w:t>
      </w:r>
    </w:p>
    <w:p>
      <w:pPr>
        <w:pStyle w:val="BodyText"/>
        <w:rPr/>
      </w:pPr>
      <w:r>
        <w:rPr/>
      </w:r>
    </w:p>
    <w:p>
      <w:pPr>
        <w:pStyle w:val="BodyText"/>
        <w:numPr>
          <w:ilvl w:val="0"/>
          <w:numId w:val="6"/>
        </w:numPr>
        <w:rPr/>
      </w:pPr>
      <w:r>
        <w:rPr/>
        <w:t>Require that direct access elections be made, so the net short energy to be procured by SDG&amp;E can be determined.</w:t>
      </w:r>
    </w:p>
    <w:p>
      <w:pPr>
        <w:pStyle w:val="BodyText"/>
        <w:rPr/>
      </w:pPr>
      <w:r>
        <w:rPr/>
      </w:r>
    </w:p>
    <w:p>
      <w:pPr>
        <w:pStyle w:val="BodyText"/>
        <w:rPr/>
      </w:pPr>
      <w:r>
        <w:rPr/>
        <w:t>In addition, current circumstances require continued strong State involvement in planning and procurement. Customer interests may be better served by alternative approaches to having the utilities returned to the procurement role. The following factors should be considered in determining the future role to be played by utilities in the power procurement process and the timing of any changes:</w:t>
      </w:r>
    </w:p>
    <w:p>
      <w:pPr>
        <w:pStyle w:val="BodyText"/>
        <w:rPr/>
      </w:pPr>
      <w:r>
        <w:rPr/>
        <w:t xml:space="preserve"> </w:t>
      </w:r>
    </w:p>
    <w:p>
      <w:pPr>
        <w:pStyle w:val="BodyText"/>
        <w:numPr>
          <w:ilvl w:val="0"/>
          <w:numId w:val="7"/>
        </w:numPr>
        <w:rPr/>
      </w:pPr>
      <w:r>
        <w:rPr/>
        <w:t>The State’s other major utilities are yet not able to begin procurement</w:t>
      </w:r>
    </w:p>
    <w:p>
      <w:pPr>
        <w:pStyle w:val="BodyText"/>
        <w:rPr/>
      </w:pPr>
      <w:r>
        <w:rPr/>
      </w:r>
    </w:p>
    <w:p>
      <w:pPr>
        <w:pStyle w:val="BodyText"/>
        <w:numPr>
          <w:ilvl w:val="0"/>
          <w:numId w:val="7"/>
        </w:numPr>
        <w:rPr/>
      </w:pPr>
      <w:r>
        <w:rPr/>
        <w:t>The State’s new role in planning and reliability under the California Consumer Power and Conservation Financing Authority is not yet fully developed</w:t>
      </w:r>
    </w:p>
    <w:p>
      <w:pPr>
        <w:pStyle w:val="BodyText"/>
        <w:rPr/>
      </w:pPr>
      <w:r>
        <w:rPr/>
      </w:r>
    </w:p>
    <w:p>
      <w:pPr>
        <w:pStyle w:val="BodyText"/>
        <w:numPr>
          <w:ilvl w:val="0"/>
          <w:numId w:val="7"/>
        </w:numPr>
        <w:rPr/>
      </w:pPr>
      <w:r>
        <w:rPr/>
        <w:t>Administration of CDWR contracts is best centralized</w:t>
      </w:r>
    </w:p>
    <w:p>
      <w:pPr>
        <w:pStyle w:val="BodyText"/>
        <w:rPr/>
      </w:pPr>
      <w:r>
        <w:rPr/>
      </w:r>
    </w:p>
    <w:p>
      <w:pPr>
        <w:pStyle w:val="BodyText"/>
        <w:numPr>
          <w:ilvl w:val="0"/>
          <w:numId w:val="7"/>
        </w:numPr>
        <w:rPr/>
      </w:pPr>
      <w:r>
        <w:rPr/>
        <w:t>Efficient portfolio optimization will benefit by having a large (potentially State-wide) and diverse portfolio</w:t>
      </w:r>
    </w:p>
    <w:p>
      <w:pPr>
        <w:pStyle w:val="Normal"/>
        <w:rPr>
          <w:sz w:val="28"/>
        </w:rPr>
      </w:pPr>
      <w:r>
        <w:rPr>
          <w:sz w:val="28"/>
        </w:rPr>
      </w:r>
    </w:p>
    <w:p>
      <w:pPr>
        <w:pStyle w:val="Heading1"/>
        <w:ind w:hanging="0" w:start="0"/>
        <w:rPr>
          <w:rFonts w:ascii="Times New Roman" w:hAnsi="Times New Roman" w:cs="Times New Roman"/>
        </w:rPr>
      </w:pPr>
      <w:r>
        <w:rPr>
          <w:rFonts w:cs="Times New Roman" w:ascii="Times New Roman" w:hAnsi="Times New Roman"/>
        </w:rPr>
        <w:t>Requested Action</w:t>
      </w:r>
    </w:p>
    <w:p>
      <w:pPr>
        <w:pStyle w:val="Normal"/>
        <w:rPr>
          <w:rFonts w:ascii="Times New Roman" w:hAnsi="Times New Roman" w:cs="Times New Roman"/>
          <w:sz w:val="28"/>
        </w:rPr>
      </w:pPr>
      <w:r>
        <w:rPr>
          <w:rFonts w:cs="Times New Roman"/>
          <w:sz w:val="28"/>
        </w:rPr>
      </w:r>
    </w:p>
    <w:p>
      <w:pPr>
        <w:pStyle w:val="Normal"/>
        <w:rPr>
          <w:sz w:val="28"/>
        </w:rPr>
      </w:pPr>
      <w:r>
        <w:rPr>
          <w:sz w:val="28"/>
        </w:rPr>
        <w:t>SDG&amp;E requests that the Commission take the following action by the target schedule of October 25, 2001 set forth in the Assigned Commissioner’s Ruling dated August 2, 2001:</w:t>
      </w:r>
    </w:p>
    <w:p>
      <w:pPr>
        <w:pStyle w:val="Normal"/>
        <w:ind w:firstLine="720" w:end="0"/>
        <w:rPr>
          <w:sz w:val="28"/>
        </w:rPr>
      </w:pPr>
      <w:r>
        <w:rPr>
          <w:sz w:val="28"/>
        </w:rPr>
      </w:r>
    </w:p>
    <w:p>
      <w:pPr>
        <w:pStyle w:val="Normal"/>
        <w:numPr>
          <w:ilvl w:val="0"/>
          <w:numId w:val="9"/>
        </w:numPr>
        <w:rPr>
          <w:sz w:val="28"/>
        </w:rPr>
      </w:pPr>
      <w:r>
        <w:rPr>
          <w:sz w:val="28"/>
        </w:rPr>
        <w:t>Approve SDG&amp;E’s proposed resource planning and procurement process as set forth in this filing. (Section III)</w:t>
      </w:r>
    </w:p>
    <w:p>
      <w:pPr>
        <w:pStyle w:val="Normal"/>
        <w:rPr>
          <w:sz w:val="28"/>
        </w:rPr>
      </w:pPr>
      <w:r>
        <w:rPr>
          <w:sz w:val="28"/>
        </w:rPr>
      </w:r>
    </w:p>
    <w:p>
      <w:pPr>
        <w:pStyle w:val="Normal"/>
        <w:numPr>
          <w:ilvl w:val="0"/>
          <w:numId w:val="3"/>
        </w:numPr>
        <w:rPr>
          <w:sz w:val="28"/>
        </w:rPr>
      </w:pPr>
      <w:r>
        <w:rPr>
          <w:sz w:val="28"/>
        </w:rPr>
        <w:t>Approve SDG&amp;E’s proposed Procurement Cost Adjustment Mechanism (PCAM) as set forth in this filing. (Section II)</w:t>
      </w:r>
    </w:p>
    <w:p>
      <w:pPr>
        <w:pStyle w:val="Normal"/>
        <w:ind w:firstLine="720" w:end="0"/>
        <w:rPr>
          <w:sz w:val="28"/>
        </w:rPr>
      </w:pPr>
      <w:r>
        <w:rPr>
          <w:sz w:val="28"/>
        </w:rPr>
      </w:r>
    </w:p>
    <w:p>
      <w:pPr>
        <w:pStyle w:val="Normal"/>
        <w:numPr>
          <w:ilvl w:val="0"/>
          <w:numId w:val="10"/>
        </w:numPr>
        <w:rPr>
          <w:sz w:val="28"/>
        </w:rPr>
      </w:pPr>
      <w:r>
        <w:rPr>
          <w:sz w:val="28"/>
        </w:rPr>
        <w:t>Initiate a process to confirm the allocation of CDWR energy being sold to SDG&amp;E’s customers based on the customers’ need for the types of products the CDWR has available. (Section II)</w:t>
      </w:r>
    </w:p>
    <w:p>
      <w:pPr>
        <w:pStyle w:val="Normal"/>
        <w:rPr>
          <w:sz w:val="28"/>
        </w:rPr>
      </w:pPr>
      <w:r>
        <w:rPr>
          <w:sz w:val="28"/>
        </w:rPr>
      </w:r>
    </w:p>
    <w:p>
      <w:pPr>
        <w:pStyle w:val="Normal"/>
        <w:numPr>
          <w:ilvl w:val="0"/>
          <w:numId w:val="10"/>
        </w:numPr>
        <w:rPr>
          <w:sz w:val="28"/>
        </w:rPr>
      </w:pPr>
      <w:r>
        <w:rPr>
          <w:sz w:val="28"/>
        </w:rPr>
        <w:t>Approve the Coordination of direct access with the planning process as set forth in this filing. (Section I.E.2.)</w:t>
      </w:r>
    </w:p>
    <w:p>
      <w:pPr>
        <w:pStyle w:val="Normal"/>
        <w:rPr>
          <w:sz w:val="28"/>
        </w:rPr>
      </w:pPr>
      <w:r>
        <w:rPr>
          <w:sz w:val="28"/>
        </w:rPr>
      </w:r>
    </w:p>
    <w:p>
      <w:pPr>
        <w:pStyle w:val="Normal"/>
        <w:numPr>
          <w:ilvl w:val="0"/>
          <w:numId w:val="10"/>
        </w:numPr>
        <w:rPr>
          <w:sz w:val="28"/>
        </w:rPr>
      </w:pPr>
      <w:r>
        <w:rPr>
          <w:sz w:val="28"/>
        </w:rPr>
        <w:t>Initiate development of a process for coordination of utility planning and procurement with State planning and procurement. (Section IV)</w:t>
      </w:r>
    </w:p>
    <w:p>
      <w:pPr>
        <w:pStyle w:val="Normal"/>
        <w:rPr>
          <w:sz w:val="28"/>
        </w:rPr>
      </w:pPr>
      <w:r>
        <w:rPr>
          <w:sz w:val="28"/>
        </w:rPr>
      </w:r>
    </w:p>
    <w:p>
      <w:pPr>
        <w:pStyle w:val="Normal"/>
        <w:numPr>
          <w:ilvl w:val="0"/>
          <w:numId w:val="4"/>
        </w:numPr>
        <w:rPr>
          <w:sz w:val="28"/>
        </w:rPr>
      </w:pPr>
      <w:r>
        <w:rPr>
          <w:sz w:val="28"/>
        </w:rPr>
        <w:t>Address alternatives to utility procurement, taking into account current circumstances affecting the other utilities and the role of the State in this function. (Section IV)</w:t>
      </w:r>
    </w:p>
    <w:p>
      <w:pPr>
        <w:pStyle w:val="Normal"/>
        <w:rPr>
          <w:sz w:val="28"/>
        </w:rPr>
      </w:pPr>
      <w:r>
        <w:rPr>
          <w:sz w:val="28"/>
        </w:rPr>
      </w:r>
    </w:p>
    <w:p>
      <w:pPr>
        <w:pStyle w:val="Normal"/>
        <w:rPr>
          <w:sz w:val="28"/>
        </w:rPr>
      </w:pPr>
      <w:r>
        <w:rPr>
          <w:sz w:val="28"/>
        </w:rPr>
      </w:r>
    </w:p>
    <w:sectPr>
      <w:headerReference w:type="default" r:id="rId2"/>
      <w:footerReference w:type="default" r:id="rId3"/>
      <w:type w:val="nextPage"/>
      <w:pgSz w:w="12240" w:h="15840"/>
      <w:pgMar w:left="1800" w:right="1800" w:gutter="0" w:header="720" w:top="1440" w:footer="720" w:bottom="1440"/>
      <w:pgNumType w:start="3" w:fmt="lowerRoman"/>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v</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13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v</w:t>
                    </w:r>
                    <w:r>
                      <w:rPr>
                        <w:rStyle w:val="PageNumber"/>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Wingdings" w:hAnsi="Wingdings" w:cs="Wingdings" w:hint="default"/>
      </w:rPr>
    </w:lvl>
  </w:abstractNum>
  <w:abstractNum w:abstractNumId="3">
    <w:lvl w:ilvl="0">
      <w:start w:val="1"/>
      <w:numFmt w:val="bullet"/>
      <w:lvlText w:val=""/>
      <w:lvlJc w:val="start"/>
      <w:pPr>
        <w:tabs>
          <w:tab w:val="num" w:pos="360"/>
        </w:tabs>
        <w:ind w:start="360" w:hanging="360"/>
      </w:pPr>
      <w:rPr>
        <w:rFonts w:ascii="Wingdings" w:hAnsi="Wingdings" w:cs="Wingdings" w:hint="default"/>
        <w:sz w:val="16"/>
      </w:rPr>
    </w:lvl>
  </w:abstractNum>
  <w:abstractNum w:abstractNumId="4">
    <w:lvl w:ilvl="0">
      <w:start w:val="1"/>
      <w:numFmt w:val="bullet"/>
      <w:lvlText w:val=""/>
      <w:lvlJc w:val="start"/>
      <w:pPr>
        <w:tabs>
          <w:tab w:val="num" w:pos="360"/>
        </w:tabs>
        <w:ind w:start="360" w:hanging="360"/>
      </w:pPr>
      <w:rPr>
        <w:rFonts w:ascii="Wingdings" w:hAnsi="Wingdings" w:cs="Wingdings" w:hint="default"/>
        <w:sz w:val="16"/>
      </w:rPr>
    </w:lvl>
  </w:abstractNum>
  <w:abstractNum w:abstractNumId="5">
    <w:lvl w:ilvl="0">
      <w:start w:val="1"/>
      <w:numFmt w:val="bullet"/>
      <w:lvlText w:val=""/>
      <w:lvlJc w:val="start"/>
      <w:pPr>
        <w:tabs>
          <w:tab w:val="num" w:pos="360"/>
        </w:tabs>
        <w:ind w:start="360" w:hanging="360"/>
      </w:pPr>
      <w:rPr>
        <w:rFonts w:ascii="Symbol" w:hAnsi="Symbol" w:cs="Symbol" w:hint="default"/>
        <w:color w:val="auto"/>
      </w:rPr>
    </w:lvl>
  </w:abstractNum>
  <w:abstractNum w:abstractNumId="6">
    <w:lvl w:ilvl="0">
      <w:start w:val="1"/>
      <w:numFmt w:val="bullet"/>
      <w:lvlText w:val=""/>
      <w:lvlJc w:val="start"/>
      <w:pPr>
        <w:tabs>
          <w:tab w:val="num" w:pos="360"/>
        </w:tabs>
        <w:ind w:start="360" w:hanging="360"/>
      </w:pPr>
      <w:rPr>
        <w:rFonts w:ascii="Wingdings" w:hAnsi="Wingdings" w:cs="Wingdings" w:hint="default"/>
        <w:sz w:val="16"/>
      </w:rPr>
    </w:lvl>
  </w:abstractNum>
  <w:abstractNum w:abstractNumId="7">
    <w:lvl w:ilvl="0">
      <w:start w:val="1"/>
      <w:numFmt w:val="bullet"/>
      <w:lvlText w:val=""/>
      <w:lvlJc w:val="start"/>
      <w:pPr>
        <w:tabs>
          <w:tab w:val="num" w:pos="360"/>
        </w:tabs>
        <w:ind w:start="360" w:hanging="360"/>
      </w:pPr>
      <w:rPr>
        <w:rFonts w:ascii="Wingdings" w:hAnsi="Wingdings" w:cs="Wingdings" w:hint="default"/>
        <w:sz w:val="16"/>
      </w:rPr>
    </w:lvl>
  </w:abstractNum>
  <w:abstractNum w:abstractNumId="8">
    <w:lvl w:ilvl="0">
      <w:start w:val="1"/>
      <w:numFmt w:val="bullet"/>
      <w:lvlText w:val=""/>
      <w:lvlJc w:val="start"/>
      <w:pPr>
        <w:tabs>
          <w:tab w:val="num" w:pos="360"/>
        </w:tabs>
        <w:ind w:start="360" w:hanging="360"/>
      </w:pPr>
      <w:rPr>
        <w:rFonts w:ascii="Wingdings" w:hAnsi="Wingdings" w:cs="Wingdings" w:hint="default"/>
        <w:sz w:val="16"/>
      </w:rPr>
    </w:lvl>
  </w:abstractNum>
  <w:abstractNum w:abstractNumId="9">
    <w:lvl w:ilvl="0">
      <w:start w:val="1"/>
      <w:numFmt w:val="bullet"/>
      <w:lvlText w:val=""/>
      <w:lvlJc w:val="start"/>
      <w:pPr>
        <w:tabs>
          <w:tab w:val="num" w:pos="360"/>
        </w:tabs>
        <w:ind w:start="360" w:hanging="360"/>
      </w:pPr>
      <w:rPr>
        <w:rFonts w:ascii="Wingdings" w:hAnsi="Wingdings" w:cs="Wingdings" w:hint="default"/>
        <w:sz w:val="16"/>
      </w:rPr>
    </w:lvl>
  </w:abstractNum>
  <w:abstractNum w:abstractNumId="10">
    <w:lvl w:ilvl="0">
      <w:start w:val="1"/>
      <w:numFmt w:val="bullet"/>
      <w:lvlText w:val=""/>
      <w:lvlJc w:val="start"/>
      <w:pPr>
        <w:tabs>
          <w:tab w:val="num" w:pos="360"/>
        </w:tabs>
        <w:ind w:start="360" w:hanging="360"/>
      </w:pPr>
      <w:rPr>
        <w:rFonts w:ascii="Wingdings" w:hAnsi="Wingdings" w:cs="Wingdings" w:hint="default"/>
        <w:sz w:val="16"/>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val="bestFit" w:percent="20"/>
  <w:revisionView w:insDel="0" w:formatting="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character" w:styleId="WW8Num1z0">
    <w:name w:val="WW8Num1z0"/>
    <w:qFormat/>
    <w:rPr>
      <w:rFonts w:ascii="Wingdings" w:hAnsi="Wingdings" w:cs="Wingdings"/>
      <w:sz w:val="16"/>
    </w:rPr>
  </w:style>
  <w:style w:type="character" w:styleId="WW8Num2z0">
    <w:name w:val="WW8Num2z0"/>
    <w:qFormat/>
    <w:rPr>
      <w:rFonts w:ascii="Wingdings" w:hAnsi="Wingdings" w:cs="Wingdings"/>
      <w:sz w:val="16"/>
    </w:rPr>
  </w:style>
  <w:style w:type="character" w:styleId="WW8Num3z0">
    <w:name w:val="WW8Num3z0"/>
    <w:qFormat/>
    <w:rPr>
      <w:rFonts w:ascii="Wingdings" w:hAnsi="Wingdings" w:cs="Wingdings"/>
    </w:rPr>
  </w:style>
  <w:style w:type="character" w:styleId="WW8Num4z0">
    <w:name w:val="WW8Num4z0"/>
    <w:qFormat/>
    <w:rPr>
      <w:rFonts w:ascii="Wingdings" w:hAnsi="Wingdings" w:cs="Wingdings"/>
      <w:sz w:val="16"/>
    </w:rPr>
  </w:style>
  <w:style w:type="character" w:styleId="WW8Num5z0">
    <w:name w:val="WW8Num5z0"/>
    <w:qFormat/>
    <w:rPr>
      <w:rFonts w:ascii="Wingdings" w:hAnsi="Wingdings" w:cs="Wingdings"/>
      <w:sz w:val="16"/>
    </w:rPr>
  </w:style>
  <w:style w:type="character" w:styleId="WW8Num6z0">
    <w:name w:val="WW8Num6z0"/>
    <w:qFormat/>
    <w:rPr>
      <w:rFonts w:ascii="Symbol" w:hAnsi="Symbol" w:cs="Symbol"/>
      <w:color w:val="auto"/>
    </w:rPr>
  </w:style>
  <w:style w:type="character" w:styleId="WW8Num7z0">
    <w:name w:val="WW8Num7z0"/>
    <w:qFormat/>
    <w:rPr>
      <w:rFonts w:ascii="Wingdings" w:hAnsi="Wingdings" w:cs="Wingdings"/>
      <w:sz w:val="16"/>
    </w:rPr>
  </w:style>
  <w:style w:type="character" w:styleId="WW8Num8z0">
    <w:name w:val="WW8Num8z0"/>
    <w:qFormat/>
    <w:rPr>
      <w:rFonts w:ascii="Wingdings" w:hAnsi="Wingdings" w:cs="Wingdings"/>
      <w:sz w:val="16"/>
    </w:rPr>
  </w:style>
  <w:style w:type="character" w:styleId="WW8Num9z0">
    <w:name w:val="WW8Num9z0"/>
    <w:qFormat/>
    <w:rPr>
      <w:rFonts w:ascii="Wingdings" w:hAnsi="Wingdings" w:cs="Wingdings"/>
    </w:rPr>
  </w:style>
  <w:style w:type="character" w:styleId="WW8Num10z0">
    <w:name w:val="WW8Num10z0"/>
    <w:qFormat/>
    <w:rPr>
      <w:rFonts w:ascii="Wingdings" w:hAnsi="Wingdings" w:cs="Wingdings"/>
      <w:sz w:val="16"/>
    </w:rPr>
  </w:style>
  <w:style w:type="character" w:styleId="WW8Num11z0">
    <w:name w:val="WW8Num11z0"/>
    <w:qFormat/>
    <w:rPr>
      <w:rFonts w:ascii="Wingdings" w:hAnsi="Wingdings" w:cs="Wingdings"/>
      <w:sz w:val="16"/>
    </w:rPr>
  </w:style>
  <w:style w:type="character" w:styleId="WW8Num12z0">
    <w:name w:val="WW8Num12z0"/>
    <w:qFormat/>
    <w:rPr>
      <w:rFonts w:ascii="Wingdings" w:hAnsi="Wingdings" w:cs="Wingdings"/>
      <w:sz w:val="16"/>
    </w:rPr>
  </w:style>
  <w:style w:type="character" w:styleId="WW8Num13z0">
    <w:name w:val="WW8Num13z0"/>
    <w:qFormat/>
    <w:rPr>
      <w:rFonts w:ascii="Wingdings" w:hAnsi="Wingdings" w:cs="Wingdings"/>
      <w:sz w:val="16"/>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rPr>
      <w:sz w:val="28"/>
      <w:lang w:eastAsia="en-US"/>
    </w:rPr>
  </w:style>
  <w:style w:type="paragraph" w:styleId="Header">
    <w:name w:val="head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2001-08-24T14:53:00Z</dcterms:created>
  <dc:creator/>
  <dc:description/>
  <dc:language>en-CA</dc:language>
  <cp:lastModifiedBy>SEMPRA</cp:lastModifiedBy>
  <cp:lastPrinted>2001-08-24T15:21:00Z</cp:lastPrinted>
  <dcterms:modified xsi:type="dcterms:W3CDTF">2001-08-24T21:19:00Z</dcterms:modified>
  <cp:revision>7</cp:revision>
  <dc:subject/>
  <dc:title/>
</cp:coreProperties>
</file>