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footnotes.xml" ContentType="application/vnd.openxmlformats-officedocument.wordprocessingml.footnotes+xml"/>
  <Override PartName="/word/header3.xml" ContentType="application/vnd.openxmlformats-officedocument.wordprocessingml.header+xml"/>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bar"/>
        <w:rPr>
          <w:rFonts w:ascii="Times New Roman" w:hAnsi="Times New Roman" w:cs="Times New Roman"/>
          <w:sz w:val="24"/>
        </w:rPr>
      </w:pPr>
      <w:r>
        <w:rPr>
          <w:rFonts w:cs="Times New Roman" w:ascii="Times New Roman" w:hAnsi="Times New Roman"/>
          <w:sz w:val="24"/>
        </w:rPr>
        <w:t>BEFORE THE PUBLIC UTILITIES COMMISSION</w:t>
        <w:br/>
        <w:t>OF THE STATE OF CALIFORNIA</w:t>
      </w:r>
    </w:p>
    <w:p>
      <w:pPr>
        <w:pStyle w:val="Normal"/>
        <w:suppressAutoHyphens w:val="true"/>
        <w:spacing w:lineRule="auto" w:line="240"/>
        <w:rPr>
          <w:rFonts w:ascii="Times New Roman" w:hAnsi="Times New Roman" w:cs="Times New Roman"/>
          <w:sz w:val="24"/>
        </w:rPr>
      </w:pPr>
      <w:r>
        <w:rPr>
          <w:rFonts w:cs="Times New Roman"/>
          <w:sz w:val="24"/>
        </w:rPr>
      </w:r>
    </w:p>
    <w:p>
      <w:pPr>
        <w:pStyle w:val="Normal"/>
        <w:suppressAutoHyphens w:val="true"/>
        <w:spacing w:lineRule="auto" w:line="240"/>
        <w:rPr/>
      </w:pPr>
      <w:r>
        <w:rPr/>
      </w:r>
    </w:p>
    <w:tbl>
      <w:tblPr>
        <w:tblW w:w="9198" w:type="dxa"/>
        <w:jc w:val="start"/>
        <w:tblInd w:w="0" w:type="dxa"/>
        <w:tblLayout w:type="fixed"/>
        <w:tblCellMar>
          <w:top w:w="0" w:type="dxa"/>
          <w:start w:w="108" w:type="dxa"/>
          <w:bottom w:w="0" w:type="dxa"/>
          <w:end w:w="108" w:type="dxa"/>
        </w:tblCellMar>
      </w:tblPr>
      <w:tblGrid>
        <w:gridCol w:w="5958"/>
        <w:gridCol w:w="3240"/>
      </w:tblGrid>
      <w:tr>
        <w:trPr/>
        <w:tc>
          <w:tcPr>
            <w:tcW w:w="5958" w:type="dxa"/>
            <w:tcBorders>
              <w:bottom w:val="single" w:sz="6" w:space="0" w:color="000000"/>
              <w:end w:val="single" w:sz="6" w:space="0" w:color="000000"/>
            </w:tcBorders>
          </w:tcPr>
          <w:p>
            <w:pPr>
              <w:pStyle w:val="Normal"/>
              <w:tabs>
                <w:tab w:val="clear" w:pos="720"/>
                <w:tab w:val="left" w:pos="2160" w:leader="none"/>
                <w:tab w:val="left" w:pos="3600" w:leader="none"/>
              </w:tabs>
              <w:snapToGrid w:val="false"/>
              <w:spacing w:lineRule="auto" w:line="240"/>
              <w:rPr/>
            </w:pPr>
            <w:r>
              <w:rPr/>
            </w:r>
          </w:p>
          <w:p>
            <w:pPr>
              <w:pStyle w:val="Normal"/>
              <w:tabs>
                <w:tab w:val="clear" w:pos="720"/>
                <w:tab w:val="left" w:pos="2160" w:leader="none"/>
                <w:tab w:val="left" w:pos="3600" w:leader="none"/>
              </w:tabs>
              <w:spacing w:lineRule="auto" w:line="240"/>
              <w:rPr/>
            </w:pPr>
            <w:r>
              <w:rPr/>
              <w:t xml:space="preserve">Application of Southern California Edison Company </w:t>
              <w:br/>
              <w:t>(E 3338-E) for Authority to Institute a Rate Stabilization Plan with a Rate Increase and End of Rate Freeze Tariffs.</w:t>
            </w:r>
          </w:p>
          <w:p>
            <w:pPr>
              <w:pStyle w:val="Normal"/>
              <w:tabs>
                <w:tab w:val="clear" w:pos="720"/>
                <w:tab w:val="left" w:pos="2160" w:leader="none"/>
                <w:tab w:val="left" w:pos="3600" w:leader="none"/>
              </w:tabs>
              <w:spacing w:lineRule="auto" w:line="240"/>
              <w:rPr/>
            </w:pPr>
            <w:r>
              <w:rPr/>
            </w:r>
          </w:p>
        </w:tc>
        <w:tc>
          <w:tcPr>
            <w:tcW w:w="3240" w:type="dxa"/>
            <w:tcBorders/>
          </w:tcPr>
          <w:p>
            <w:pPr>
              <w:pStyle w:val="Normal"/>
              <w:snapToGrid w:val="false"/>
              <w:spacing w:lineRule="auto" w:line="240"/>
              <w:jc w:val="center"/>
              <w:rPr/>
            </w:pPr>
            <w:r>
              <w:rPr/>
            </w:r>
          </w:p>
          <w:p>
            <w:pPr>
              <w:pStyle w:val="Normal"/>
              <w:spacing w:lineRule="auto" w:line="240"/>
              <w:jc w:val="center"/>
              <w:rPr/>
            </w:pPr>
            <w:r>
              <w:rPr/>
              <w:t>Application 00-11-038</w:t>
            </w:r>
          </w:p>
          <w:p>
            <w:pPr>
              <w:pStyle w:val="Normal"/>
              <w:spacing w:lineRule="auto" w:line="240"/>
              <w:jc w:val="center"/>
              <w:rPr/>
            </w:pPr>
            <w:r>
              <w:rPr/>
              <w:t>(Filed November 16, 2000)</w:t>
            </w:r>
          </w:p>
        </w:tc>
      </w:tr>
      <w:tr>
        <w:trPr/>
        <w:tc>
          <w:tcPr>
            <w:tcW w:w="5958" w:type="dxa"/>
            <w:tcBorders>
              <w:bottom w:val="single" w:sz="6" w:space="0" w:color="000000"/>
              <w:end w:val="single" w:sz="6" w:space="0" w:color="000000"/>
            </w:tcBorders>
          </w:tcPr>
          <w:p>
            <w:pPr>
              <w:pStyle w:val="Normal"/>
              <w:tabs>
                <w:tab w:val="clear" w:pos="720"/>
                <w:tab w:val="left" w:pos="2160" w:leader="none"/>
                <w:tab w:val="left" w:pos="3600" w:leader="none"/>
              </w:tabs>
              <w:snapToGrid w:val="false"/>
              <w:spacing w:lineRule="auto" w:line="240"/>
              <w:rPr/>
            </w:pPr>
            <w:r>
              <w:rPr/>
            </w:r>
          </w:p>
          <w:p>
            <w:pPr>
              <w:pStyle w:val="Normal"/>
              <w:tabs>
                <w:tab w:val="clear" w:pos="720"/>
                <w:tab w:val="left" w:pos="2160" w:leader="none"/>
                <w:tab w:val="left" w:pos="3600" w:leader="none"/>
              </w:tabs>
              <w:spacing w:lineRule="auto" w:line="240"/>
              <w:rPr/>
            </w:pPr>
            <w:r>
              <w:rPr/>
              <w:t>Emergency Application of Pacific Gas and Electric Company to Adopt a Rate Stabilization Plan.</w:t>
              <w:tab/>
              <w:tab/>
              <w:t>(U 39 E)</w:t>
            </w:r>
          </w:p>
          <w:p>
            <w:pPr>
              <w:pStyle w:val="Normal"/>
              <w:tabs>
                <w:tab w:val="clear" w:pos="720"/>
                <w:tab w:val="left" w:pos="2160" w:leader="none"/>
                <w:tab w:val="left" w:pos="3600" w:leader="none"/>
              </w:tabs>
              <w:spacing w:lineRule="auto" w:line="240"/>
              <w:rPr/>
            </w:pPr>
            <w:r>
              <w:rPr/>
            </w:r>
          </w:p>
        </w:tc>
        <w:tc>
          <w:tcPr>
            <w:tcW w:w="3240" w:type="dxa"/>
            <w:tcBorders/>
          </w:tcPr>
          <w:p>
            <w:pPr>
              <w:pStyle w:val="Normal"/>
              <w:snapToGrid w:val="false"/>
              <w:spacing w:lineRule="auto" w:line="240"/>
              <w:jc w:val="center"/>
              <w:rPr/>
            </w:pPr>
            <w:r>
              <w:rPr/>
            </w:r>
          </w:p>
          <w:p>
            <w:pPr>
              <w:pStyle w:val="Normal"/>
              <w:spacing w:lineRule="auto" w:line="240"/>
              <w:jc w:val="center"/>
              <w:rPr/>
            </w:pPr>
            <w:r>
              <w:rPr/>
              <w:t>Application 00-11-056</w:t>
            </w:r>
          </w:p>
          <w:p>
            <w:pPr>
              <w:pStyle w:val="Normal"/>
              <w:spacing w:lineRule="auto" w:line="240"/>
              <w:jc w:val="center"/>
              <w:rPr/>
            </w:pPr>
            <w:r>
              <w:rPr/>
              <w:t>(Filed November 22, 2000)</w:t>
            </w:r>
          </w:p>
        </w:tc>
      </w:tr>
      <w:tr>
        <w:trPr/>
        <w:tc>
          <w:tcPr>
            <w:tcW w:w="5958" w:type="dxa"/>
            <w:tcBorders>
              <w:bottom w:val="single" w:sz="6" w:space="0" w:color="000000"/>
              <w:end w:val="single" w:sz="6" w:space="0" w:color="000000"/>
            </w:tcBorders>
          </w:tcPr>
          <w:p>
            <w:pPr>
              <w:pStyle w:val="Normal"/>
              <w:tabs>
                <w:tab w:val="clear" w:pos="720"/>
                <w:tab w:val="left" w:pos="2160" w:leader="none"/>
                <w:tab w:val="left" w:pos="3600" w:leader="none"/>
              </w:tabs>
              <w:snapToGrid w:val="false"/>
              <w:spacing w:lineRule="auto" w:line="240"/>
              <w:rPr/>
            </w:pPr>
            <w:r>
              <w:rPr/>
            </w:r>
          </w:p>
          <w:p>
            <w:pPr>
              <w:pStyle w:val="Normal"/>
              <w:tabs>
                <w:tab w:val="clear" w:pos="720"/>
                <w:tab w:val="left" w:pos="2160" w:leader="none"/>
                <w:tab w:val="left" w:pos="3600" w:leader="none"/>
              </w:tabs>
              <w:spacing w:lineRule="auto" w:line="240"/>
              <w:rPr/>
            </w:pPr>
            <w:r>
              <w:rPr/>
              <w:t>Petition of The Utility Reform Network for Modification of Resolution E-3527.</w:t>
            </w:r>
          </w:p>
          <w:p>
            <w:pPr>
              <w:pStyle w:val="Normal"/>
              <w:spacing w:lineRule="auto" w:line="240"/>
              <w:rPr/>
            </w:pPr>
            <w:r>
              <w:rPr/>
            </w:r>
          </w:p>
        </w:tc>
        <w:tc>
          <w:tcPr>
            <w:tcW w:w="3240" w:type="dxa"/>
            <w:tcBorders/>
          </w:tcPr>
          <w:p>
            <w:pPr>
              <w:pStyle w:val="Normal"/>
              <w:snapToGrid w:val="false"/>
              <w:spacing w:lineRule="auto" w:line="240"/>
              <w:jc w:val="center"/>
              <w:rPr/>
            </w:pPr>
            <w:r>
              <w:rPr/>
            </w:r>
          </w:p>
          <w:p>
            <w:pPr>
              <w:pStyle w:val="Normal"/>
              <w:spacing w:lineRule="auto" w:line="240"/>
              <w:jc w:val="center"/>
              <w:rPr/>
            </w:pPr>
            <w:r>
              <w:rPr/>
              <w:t>Application 00-10-028</w:t>
            </w:r>
          </w:p>
          <w:p>
            <w:pPr>
              <w:pStyle w:val="Normal"/>
              <w:spacing w:lineRule="auto" w:line="240"/>
              <w:jc w:val="center"/>
              <w:rPr/>
            </w:pPr>
            <w:r>
              <w:rPr/>
              <w:t>(Filed October 17, 2000)</w:t>
            </w:r>
          </w:p>
        </w:tc>
      </w:tr>
    </w:tbl>
    <w:p>
      <w:pPr>
        <w:pStyle w:val="Normal"/>
        <w:suppressAutoHyphens w:val="true"/>
        <w:spacing w:lineRule="auto" w:line="240"/>
        <w:rPr/>
      </w:pPr>
      <w:r>
        <w:rPr/>
      </w:r>
    </w:p>
    <w:p>
      <w:pPr>
        <w:pStyle w:val="Footer"/>
        <w:tabs>
          <w:tab w:val="clear" w:pos="4320"/>
          <w:tab w:val="clear" w:pos="8640"/>
        </w:tabs>
        <w:suppressAutoHyphens w:val="true"/>
        <w:spacing w:lineRule="auto" w:line="240"/>
        <w:rPr/>
      </w:pPr>
      <w:r>
        <w:rPr/>
      </w:r>
    </w:p>
    <w:p>
      <w:pPr>
        <w:pStyle w:val="Normal"/>
        <w:suppressAutoHyphens w:val="true"/>
        <w:spacing w:lineRule="auto" w:line="240"/>
        <w:rPr/>
      </w:pPr>
      <w:r>
        <w:rPr/>
      </w:r>
    </w:p>
    <w:p>
      <w:pPr>
        <w:pStyle w:val="Normal"/>
        <w:spacing w:lineRule="auto" w:line="240"/>
        <w:rPr/>
      </w:pPr>
      <w:r>
        <w:rPr/>
      </w:r>
    </w:p>
    <w:p>
      <w:pPr>
        <w:pStyle w:val="Normal"/>
        <w:spacing w:lineRule="auto" w:line="240"/>
        <w:jc w:val="center"/>
        <w:rPr>
          <w:b/>
        </w:rPr>
      </w:pPr>
      <w:r>
        <w:rPr>
          <w:b/>
        </w:rPr>
        <w:t xml:space="preserve">MOTION OF SAN DIEGO GAS &amp; ELECTRIC COMPANY (U 902-E) TO STRIKE PORTIONS OF THE PREPARED DIRECT TESTIMONY OF </w:t>
        <w:br/>
        <w:t>WILLIAM MARCUS ON BEHALF OF TURN</w:t>
      </w:r>
    </w:p>
    <w:p>
      <w:pPr>
        <w:pStyle w:val="Footer"/>
        <w:tabs>
          <w:tab w:val="clear" w:pos="4320"/>
          <w:tab w:val="clear" w:pos="8640"/>
        </w:tabs>
        <w:spacing w:lineRule="auto" w:line="240"/>
        <w:rPr>
          <w:b/>
        </w:rPr>
      </w:pPr>
      <w:r>
        <w:rPr>
          <w:b/>
        </w:rPr>
      </w:r>
    </w:p>
    <w:p>
      <w:pPr>
        <w:pStyle w:val="Normal"/>
        <w:spacing w:lineRule="auto" w:line="240"/>
        <w:rPr/>
      </w:pPr>
      <w:r>
        <w:rPr/>
      </w:r>
    </w:p>
    <w:p>
      <w:pPr>
        <w:pStyle w:val="Normal"/>
        <w:spacing w:lineRule="auto" w:line="240"/>
        <w:rPr/>
      </w:pPr>
      <w:r>
        <w:rPr/>
      </w:r>
    </w:p>
    <w:p>
      <w:pPr>
        <w:pStyle w:val="Normal"/>
        <w:spacing w:lineRule="auto" w:line="240"/>
        <w:rPr/>
      </w:pPr>
      <w:r>
        <w:rPr/>
      </w:r>
    </w:p>
    <w:p>
      <w:pPr>
        <w:pStyle w:val="Normal"/>
        <w:spacing w:lineRule="auto" w:line="240"/>
        <w:rPr/>
      </w:pPr>
      <w:r>
        <w:rPr/>
      </w:r>
    </w:p>
    <w:p>
      <w:pPr>
        <w:pStyle w:val="Normal"/>
        <w:spacing w:lineRule="auto" w:line="240"/>
        <w:rPr/>
      </w:pPr>
      <w:r>
        <w:rPr/>
      </w:r>
    </w:p>
    <w:p>
      <w:pPr>
        <w:pStyle w:val="Normal"/>
        <w:spacing w:lineRule="auto" w:line="240"/>
        <w:rPr/>
      </w:pPr>
      <w:r>
        <w:rPr/>
      </w:r>
    </w:p>
    <w:p>
      <w:pPr>
        <w:pStyle w:val="Normal"/>
        <w:tabs>
          <w:tab w:val="clear" w:pos="720"/>
          <w:tab w:val="left" w:pos="4320" w:leader="none"/>
        </w:tabs>
        <w:spacing w:lineRule="auto" w:line="240"/>
        <w:ind w:start="5040" w:end="0"/>
        <w:rPr/>
      </w:pPr>
      <w:r>
        <w:rPr/>
        <w:t>Keith W. Melville</w:t>
      </w:r>
    </w:p>
    <w:p>
      <w:pPr>
        <w:pStyle w:val="Normal"/>
        <w:tabs>
          <w:tab w:val="clear" w:pos="720"/>
          <w:tab w:val="left" w:pos="4320" w:leader="none"/>
        </w:tabs>
        <w:spacing w:lineRule="auto" w:line="240"/>
        <w:ind w:start="5040" w:end="0"/>
        <w:rPr/>
      </w:pPr>
      <w:r>
        <w:rPr/>
        <w:t xml:space="preserve">Attorney for </w:t>
      </w:r>
    </w:p>
    <w:p>
      <w:pPr>
        <w:pStyle w:val="Normal"/>
        <w:tabs>
          <w:tab w:val="clear" w:pos="720"/>
          <w:tab w:val="left" w:pos="4320" w:leader="none"/>
        </w:tabs>
        <w:spacing w:lineRule="auto" w:line="240"/>
        <w:ind w:start="5040" w:end="-720"/>
        <w:rPr/>
      </w:pPr>
      <w:r>
        <w:rPr/>
        <w:t>San Diego Gas &amp; Electric Company</w:t>
      </w:r>
    </w:p>
    <w:p>
      <w:pPr>
        <w:pStyle w:val="Normal"/>
        <w:tabs>
          <w:tab w:val="clear" w:pos="720"/>
          <w:tab w:val="left" w:pos="4320" w:leader="none"/>
        </w:tabs>
        <w:spacing w:lineRule="auto" w:line="240"/>
        <w:ind w:start="5040" w:end="0"/>
        <w:rPr/>
      </w:pPr>
      <w:r>
        <w:rPr/>
        <w:t>101 Ash Street</w:t>
      </w:r>
    </w:p>
    <w:p>
      <w:pPr>
        <w:pStyle w:val="Normal"/>
        <w:tabs>
          <w:tab w:val="clear" w:pos="720"/>
          <w:tab w:val="left" w:pos="4320" w:leader="none"/>
        </w:tabs>
        <w:spacing w:lineRule="auto" w:line="240"/>
        <w:ind w:start="5040" w:end="0"/>
        <w:rPr/>
      </w:pPr>
      <w:r>
        <w:rPr/>
        <w:t>San Diego, CA  92101</w:t>
      </w:r>
    </w:p>
    <w:p>
      <w:pPr>
        <w:pStyle w:val="Normal"/>
        <w:tabs>
          <w:tab w:val="clear" w:pos="720"/>
          <w:tab w:val="left" w:pos="4320" w:leader="none"/>
        </w:tabs>
        <w:spacing w:lineRule="auto" w:line="240"/>
        <w:ind w:start="5040" w:end="0"/>
        <w:rPr/>
      </w:pPr>
      <w:r>
        <w:rPr/>
        <w:t>Telephone:  (619) 699-5039</w:t>
      </w:r>
    </w:p>
    <w:p>
      <w:pPr>
        <w:pStyle w:val="Normal"/>
        <w:spacing w:lineRule="auto" w:line="240"/>
        <w:ind w:start="5040" w:end="0"/>
        <w:rPr/>
      </w:pPr>
      <w:r>
        <w:rPr/>
        <w:t>Facsimile:   (619) 699-5027</w:t>
      </w:r>
    </w:p>
    <w:p>
      <w:pPr>
        <w:pStyle w:val="Normal"/>
        <w:spacing w:lineRule="auto" w:line="240"/>
        <w:ind w:start="5040" w:end="0"/>
        <w:rPr/>
      </w:pPr>
      <w:r>
        <w:rPr/>
        <w:t>kmelville@sempra.com</w:t>
      </w:r>
    </w:p>
    <w:p>
      <w:pPr>
        <w:pStyle w:val="Normal"/>
        <w:spacing w:lineRule="auto" w:line="240"/>
        <w:ind w:start="4230" w:end="0"/>
        <w:rPr/>
      </w:pPr>
      <w:r>
        <w:rPr/>
      </w:r>
    </w:p>
    <w:p>
      <w:pPr>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pStyle w:val="titlebar"/>
        <w:jc w:val="start"/>
        <w:rPr>
          <w:rFonts w:ascii="Times New Roman" w:hAnsi="Times New Roman" w:cs="Times New Roman"/>
          <w:sz w:val="24"/>
        </w:rPr>
      </w:pPr>
      <w:r>
        <w:rPr>
          <w:rFonts w:cs="Times New Roman" w:ascii="Times New Roman" w:hAnsi="Times New Roman"/>
          <w:b w:val="false"/>
          <w:sz w:val="24"/>
        </w:rPr>
        <w:t>November 13, 2001</w:t>
      </w:r>
    </w:p>
    <w:p>
      <w:pPr>
        <w:pStyle w:val="titlebar"/>
        <w:keepNext w:val="false"/>
        <w:widowControl w:val="false"/>
        <w:rPr>
          <w:rFonts w:ascii="Times New Roman" w:hAnsi="Times New Roman" w:cs="Times New Roman"/>
          <w:sz w:val="24"/>
        </w:rPr>
      </w:pPr>
      <w:r>
        <w:rPr>
          <w:rFonts w:cs="Times New Roman" w:ascii="Times New Roman" w:hAnsi="Times New Roman"/>
          <w:sz w:val="24"/>
        </w:rPr>
        <w:t>BEFORE THE PUBLIC UTILITIES COMMISSION</w:t>
        <w:br/>
        <w:t>OF THE STATE OF CALIFORNIA</w:t>
      </w:r>
    </w:p>
    <w:p>
      <w:pPr>
        <w:pStyle w:val="Normal"/>
        <w:widowControl w:val="false"/>
        <w:suppressAutoHyphens w:val="true"/>
        <w:spacing w:lineRule="auto" w:line="240"/>
        <w:rPr>
          <w:rFonts w:ascii="Times New Roman" w:hAnsi="Times New Roman" w:cs="Times New Roman"/>
          <w:sz w:val="24"/>
        </w:rPr>
      </w:pPr>
      <w:r>
        <w:rPr>
          <w:rFonts w:cs="Times New Roman"/>
          <w:sz w:val="24"/>
        </w:rPr>
      </w:r>
    </w:p>
    <w:p>
      <w:pPr>
        <w:pStyle w:val="Normal"/>
        <w:suppressAutoHyphens w:val="true"/>
        <w:spacing w:lineRule="auto" w:line="240"/>
        <w:rPr/>
      </w:pPr>
      <w:r>
        <w:rPr/>
      </w:r>
    </w:p>
    <w:tbl>
      <w:tblPr>
        <w:tblW w:w="9198" w:type="dxa"/>
        <w:jc w:val="start"/>
        <w:tblInd w:w="0" w:type="dxa"/>
        <w:tblLayout w:type="fixed"/>
        <w:tblCellMar>
          <w:top w:w="0" w:type="dxa"/>
          <w:start w:w="108" w:type="dxa"/>
          <w:bottom w:w="0" w:type="dxa"/>
          <w:end w:w="108" w:type="dxa"/>
        </w:tblCellMar>
      </w:tblPr>
      <w:tblGrid>
        <w:gridCol w:w="5958"/>
        <w:gridCol w:w="3240"/>
      </w:tblGrid>
      <w:tr>
        <w:trPr/>
        <w:tc>
          <w:tcPr>
            <w:tcW w:w="5958" w:type="dxa"/>
            <w:tcBorders>
              <w:bottom w:val="single" w:sz="6" w:space="0" w:color="000000"/>
              <w:end w:val="single" w:sz="6" w:space="0" w:color="000000"/>
            </w:tcBorders>
          </w:tcPr>
          <w:p>
            <w:pPr>
              <w:pStyle w:val="Normal"/>
              <w:tabs>
                <w:tab w:val="clear" w:pos="720"/>
                <w:tab w:val="left" w:pos="2160" w:leader="none"/>
                <w:tab w:val="left" w:pos="3600" w:leader="none"/>
              </w:tabs>
              <w:snapToGrid w:val="false"/>
              <w:spacing w:lineRule="auto" w:line="240"/>
              <w:rPr/>
            </w:pPr>
            <w:r>
              <w:rPr/>
            </w:r>
          </w:p>
          <w:p>
            <w:pPr>
              <w:pStyle w:val="Normal"/>
              <w:tabs>
                <w:tab w:val="clear" w:pos="720"/>
                <w:tab w:val="left" w:pos="2160" w:leader="none"/>
                <w:tab w:val="left" w:pos="3600" w:leader="none"/>
              </w:tabs>
              <w:spacing w:lineRule="auto" w:line="240"/>
              <w:rPr/>
            </w:pPr>
            <w:r>
              <w:rPr/>
              <w:t xml:space="preserve">Application of Southern California Edison Company </w:t>
              <w:br/>
              <w:t>(E 3338-E) for Authority to Institute a Rate Stabilization Plan with a Rate Increase and End of Rate Freeze Tariffs.</w:t>
            </w:r>
          </w:p>
          <w:p>
            <w:pPr>
              <w:pStyle w:val="Normal"/>
              <w:tabs>
                <w:tab w:val="clear" w:pos="720"/>
                <w:tab w:val="left" w:pos="2160" w:leader="none"/>
                <w:tab w:val="left" w:pos="3600" w:leader="none"/>
              </w:tabs>
              <w:spacing w:lineRule="auto" w:line="240"/>
              <w:rPr/>
            </w:pPr>
            <w:r>
              <w:rPr/>
            </w:r>
          </w:p>
        </w:tc>
        <w:tc>
          <w:tcPr>
            <w:tcW w:w="3240" w:type="dxa"/>
            <w:tcBorders/>
          </w:tcPr>
          <w:p>
            <w:pPr>
              <w:pStyle w:val="Normal"/>
              <w:snapToGrid w:val="false"/>
              <w:spacing w:lineRule="auto" w:line="240"/>
              <w:jc w:val="center"/>
              <w:rPr/>
            </w:pPr>
            <w:r>
              <w:rPr/>
            </w:r>
          </w:p>
          <w:p>
            <w:pPr>
              <w:pStyle w:val="Normal"/>
              <w:spacing w:lineRule="auto" w:line="240"/>
              <w:jc w:val="center"/>
              <w:rPr/>
            </w:pPr>
            <w:r>
              <w:rPr/>
              <w:t>Application 00-11-038</w:t>
            </w:r>
          </w:p>
          <w:p>
            <w:pPr>
              <w:pStyle w:val="Normal"/>
              <w:spacing w:lineRule="auto" w:line="240"/>
              <w:jc w:val="center"/>
              <w:rPr/>
            </w:pPr>
            <w:r>
              <w:rPr/>
              <w:t>(Filed November 16, 2000)</w:t>
            </w:r>
          </w:p>
        </w:tc>
      </w:tr>
      <w:tr>
        <w:trPr/>
        <w:tc>
          <w:tcPr>
            <w:tcW w:w="5958" w:type="dxa"/>
            <w:tcBorders>
              <w:bottom w:val="single" w:sz="6" w:space="0" w:color="000000"/>
              <w:end w:val="single" w:sz="6" w:space="0" w:color="000000"/>
            </w:tcBorders>
          </w:tcPr>
          <w:p>
            <w:pPr>
              <w:pStyle w:val="Normal"/>
              <w:tabs>
                <w:tab w:val="clear" w:pos="720"/>
                <w:tab w:val="left" w:pos="2160" w:leader="none"/>
                <w:tab w:val="left" w:pos="3600" w:leader="none"/>
              </w:tabs>
              <w:snapToGrid w:val="false"/>
              <w:spacing w:lineRule="auto" w:line="240"/>
              <w:rPr/>
            </w:pPr>
            <w:r>
              <w:rPr/>
            </w:r>
          </w:p>
          <w:p>
            <w:pPr>
              <w:pStyle w:val="Normal"/>
              <w:tabs>
                <w:tab w:val="clear" w:pos="720"/>
                <w:tab w:val="left" w:pos="2160" w:leader="none"/>
                <w:tab w:val="left" w:pos="3600" w:leader="none"/>
              </w:tabs>
              <w:spacing w:lineRule="auto" w:line="240"/>
              <w:rPr/>
            </w:pPr>
            <w:r>
              <w:rPr/>
              <w:t>Emergency Application of Pacific Gas and Electric Company to Adopt a Rate Stabilization Plan.</w:t>
              <w:tab/>
              <w:tab/>
              <w:t>(U 39 E)</w:t>
            </w:r>
          </w:p>
          <w:p>
            <w:pPr>
              <w:pStyle w:val="Normal"/>
              <w:tabs>
                <w:tab w:val="clear" w:pos="720"/>
                <w:tab w:val="left" w:pos="2160" w:leader="none"/>
                <w:tab w:val="left" w:pos="3600" w:leader="none"/>
              </w:tabs>
              <w:spacing w:lineRule="auto" w:line="240"/>
              <w:rPr/>
            </w:pPr>
            <w:r>
              <w:rPr/>
            </w:r>
          </w:p>
        </w:tc>
        <w:tc>
          <w:tcPr>
            <w:tcW w:w="3240" w:type="dxa"/>
            <w:tcBorders/>
          </w:tcPr>
          <w:p>
            <w:pPr>
              <w:pStyle w:val="Normal"/>
              <w:snapToGrid w:val="false"/>
              <w:spacing w:lineRule="auto" w:line="240"/>
              <w:jc w:val="center"/>
              <w:rPr/>
            </w:pPr>
            <w:r>
              <w:rPr/>
            </w:r>
          </w:p>
          <w:p>
            <w:pPr>
              <w:pStyle w:val="Normal"/>
              <w:spacing w:lineRule="auto" w:line="240"/>
              <w:jc w:val="center"/>
              <w:rPr/>
            </w:pPr>
            <w:r>
              <w:rPr/>
              <w:t>Application 00-11-056</w:t>
            </w:r>
          </w:p>
          <w:p>
            <w:pPr>
              <w:pStyle w:val="Normal"/>
              <w:spacing w:lineRule="auto" w:line="240"/>
              <w:jc w:val="center"/>
              <w:rPr/>
            </w:pPr>
            <w:r>
              <w:rPr/>
              <w:t>(Filed November 22, 2000)</w:t>
            </w:r>
          </w:p>
        </w:tc>
      </w:tr>
      <w:tr>
        <w:trPr/>
        <w:tc>
          <w:tcPr>
            <w:tcW w:w="5958" w:type="dxa"/>
            <w:tcBorders>
              <w:bottom w:val="single" w:sz="6" w:space="0" w:color="000000"/>
              <w:end w:val="single" w:sz="6" w:space="0" w:color="000000"/>
            </w:tcBorders>
          </w:tcPr>
          <w:p>
            <w:pPr>
              <w:pStyle w:val="Normal"/>
              <w:tabs>
                <w:tab w:val="clear" w:pos="720"/>
                <w:tab w:val="left" w:pos="2160" w:leader="none"/>
                <w:tab w:val="left" w:pos="3600" w:leader="none"/>
              </w:tabs>
              <w:snapToGrid w:val="false"/>
              <w:spacing w:lineRule="auto" w:line="240"/>
              <w:rPr/>
            </w:pPr>
            <w:r>
              <w:rPr/>
            </w:r>
          </w:p>
          <w:p>
            <w:pPr>
              <w:pStyle w:val="Normal"/>
              <w:tabs>
                <w:tab w:val="clear" w:pos="720"/>
                <w:tab w:val="left" w:pos="2160" w:leader="none"/>
                <w:tab w:val="left" w:pos="3600" w:leader="none"/>
              </w:tabs>
              <w:spacing w:lineRule="auto" w:line="240"/>
              <w:rPr/>
            </w:pPr>
            <w:r>
              <w:rPr/>
              <w:t>Petition of The Utility Reform Network for Modification of Resolution E-3527.</w:t>
            </w:r>
          </w:p>
          <w:p>
            <w:pPr>
              <w:pStyle w:val="Normal"/>
              <w:spacing w:lineRule="auto" w:line="240"/>
              <w:rPr/>
            </w:pPr>
            <w:r>
              <w:rPr/>
            </w:r>
          </w:p>
        </w:tc>
        <w:tc>
          <w:tcPr>
            <w:tcW w:w="3240" w:type="dxa"/>
            <w:tcBorders/>
          </w:tcPr>
          <w:p>
            <w:pPr>
              <w:pStyle w:val="Normal"/>
              <w:snapToGrid w:val="false"/>
              <w:spacing w:lineRule="auto" w:line="240"/>
              <w:jc w:val="center"/>
              <w:rPr/>
            </w:pPr>
            <w:r>
              <w:rPr/>
            </w:r>
          </w:p>
          <w:p>
            <w:pPr>
              <w:pStyle w:val="Normal"/>
              <w:spacing w:lineRule="auto" w:line="240"/>
              <w:jc w:val="center"/>
              <w:rPr/>
            </w:pPr>
            <w:r>
              <w:rPr/>
              <w:t>Application 00-10-028</w:t>
            </w:r>
          </w:p>
          <w:p>
            <w:pPr>
              <w:pStyle w:val="Normal"/>
              <w:spacing w:lineRule="auto" w:line="240"/>
              <w:jc w:val="center"/>
              <w:rPr/>
            </w:pPr>
            <w:r>
              <w:rPr/>
              <w:t>(Filed October 17, 2000)</w:t>
            </w:r>
          </w:p>
        </w:tc>
      </w:tr>
    </w:tbl>
    <w:p>
      <w:pPr>
        <w:pStyle w:val="Normal"/>
        <w:suppressAutoHyphens w:val="true"/>
        <w:spacing w:lineRule="auto" w:line="240"/>
        <w:rPr/>
      </w:pPr>
      <w:r>
        <w:rPr/>
      </w:r>
    </w:p>
    <w:p>
      <w:pPr>
        <w:pStyle w:val="Normal"/>
        <w:suppressAutoHyphens w:val="true"/>
        <w:spacing w:lineRule="auto" w:line="240"/>
        <w:rPr/>
      </w:pPr>
      <w:r>
        <w:rPr/>
      </w:r>
    </w:p>
    <w:p>
      <w:pPr>
        <w:pStyle w:val="BodyText"/>
        <w:spacing w:lineRule="auto" w:line="240"/>
        <w:jc w:val="center"/>
        <w:rPr>
          <w:b/>
          <w:u w:val="none"/>
        </w:rPr>
      </w:pPr>
      <w:r>
        <w:rPr>
          <w:b/>
          <w:u w:val="none"/>
        </w:rPr>
        <w:t xml:space="preserve">MOTION OF SAN DIEGO GAS &amp; ELECTRIC COMPANY (U 902-E) TO STRIKE PORTIONS OF THE PREPARED DIRECT TESTIMONY OF </w:t>
        <w:br/>
        <w:t>WILLIAM MARCUS ON BEHALF OF TURN</w:t>
      </w:r>
    </w:p>
    <w:p>
      <w:pPr>
        <w:pStyle w:val="Normal"/>
        <w:ind w:firstLine="720" w:end="0"/>
        <w:rPr>
          <w:b/>
          <w:u w:val="none"/>
        </w:rPr>
      </w:pPr>
      <w:r>
        <w:rPr>
          <w:b/>
          <w:u w:val="none"/>
        </w:rPr>
      </w:r>
    </w:p>
    <w:p>
      <w:pPr>
        <w:pStyle w:val="Normal"/>
        <w:ind w:firstLine="720" w:end="0"/>
        <w:rPr/>
      </w:pPr>
      <w:r>
        <w:rPr/>
        <w:t>Pursuant to Rule 45 of the Rules of Practice and Procedure of this Commission and the procedural schedule set by Administrative Law Judge Pulsifer, SDG&amp;E moves to strike specified portions of the prepared direct testimony of William Marcus on behalf of The Utility Reform Network (TURN).</w:t>
      </w:r>
    </w:p>
    <w:p>
      <w:pPr>
        <w:pStyle w:val="Normal"/>
        <w:ind w:firstLine="720" w:end="0"/>
        <w:rPr/>
      </w:pPr>
      <w:r>
        <w:rPr/>
        <w:t xml:space="preserve">SDG&amp;E moves to strike the portions of Mr. Marcus’ testimony that address rate design issues.  Among other problems with TURN’s proposals, they are well outside the scope of this proceeding.  The express purpose of this proceeding is to allocate the DWR’s revenue requirement among the service territories of the three investor-owned utilities, not to undertake rate design.  </w:t>
      </w:r>
    </w:p>
    <w:p>
      <w:pPr>
        <w:pStyle w:val="Normal"/>
        <w:ind w:firstLine="720" w:end="0"/>
        <w:rPr/>
      </w:pPr>
      <w:r>
        <w:rPr/>
        <w:t xml:space="preserve">The scope of this proceeding was identified the Assigned Commissioner’s Ruling of September 26, 2001: “Evidentiary hearings shall be conducted </w:t>
      </w:r>
      <w:r>
        <w:rPr>
          <w:u w:val="single"/>
        </w:rPr>
        <w:t>limited to the issue of the allocation (sic) DWR revenue requirement among utility customers in the service territories of PG&amp;E, SCE, and SDG&amp;E</w:t>
      </w:r>
      <w:r>
        <w:rPr/>
        <w:t xml:space="preserve"> in accordance with the schedule established above.”  ACR of President Lynch and Commissioner Brown, Ruling Paragraph 2, p. 6 (emphasis added), September 26, 2001.</w:t>
      </w:r>
    </w:p>
    <w:p>
      <w:pPr>
        <w:pStyle w:val="Normal"/>
        <w:ind w:firstLine="720" w:end="0"/>
        <w:rPr/>
      </w:pPr>
      <w:r>
        <w:rPr/>
        <w:t>TURN’s retail rate design proposals are not allocation proposals, nor does TURN allege that they are.  As such they are not properly presented in these hearings.  Rate design is a future step that must be undertaken, but it must be undertaken by all interested parties, not just one of them.  TURN’s rate design proposals must be stricken.</w:t>
      </w:r>
    </w:p>
    <w:p>
      <w:pPr>
        <w:pStyle w:val="Normal"/>
        <w:ind w:firstLine="720" w:end="0"/>
        <w:rPr/>
      </w:pPr>
      <w:r>
        <w:rPr/>
        <w:t>TURN’s proposal to allocate a portion of DWR’s revenue requirement to direct access (“DA”) customers is in the wrong proceeding.  First, allocation among customer classes is not at issue in this proceeding, only allocation between the service territories.  Once the Commission has allocated DWR’s revenue requirement among the IOU service territories, it still faces the task of allocating within each service territory – how much is to be paid by large customers, residential customers, agricultural customers, and DA customers (if the latter are found to be responsible for such costs having been incurred.)  Second, there is another proceeding pending in which all of the interested parties are going to be litigating these issues.  In A.98-07-003 et al, (the “DA Suspension” case) the Commission has set a prehearing conference and is expected to address such matters as exit fees for DA customers.  In the DWR allocation proceeding, not all the interested parties are represented (most likely because this issue was not anticipated to be in two proceedings at once).  Thus the Commission should not litigate inter-class issues in this proceeding.</w:t>
      </w:r>
    </w:p>
    <w:p>
      <w:pPr>
        <w:pStyle w:val="Normal"/>
        <w:ind w:firstLine="720" w:end="0"/>
        <w:rPr/>
      </w:pPr>
      <w:r>
        <w:rPr/>
        <w:t>TURN also seeks to litigate the issue of adding franchise fees to the DWR revenue requirement.  This is outside the scope of the present allocation proceeding.  It is also improper in that it is a question for DWR to decide as part of its revenue requirement determination, and DWR has determined not to include franchise fees.  This is not an allocation issue, because the Commission cannot allocate what is not in DWR’s revenue requirement to begin with.   TURN’s testimony also badly misstates the currently approved franchise fee ratemaking for SDG&amp;E; thus litigating TURN’s proposal would require SDG&amp;E to correct the record through cross examination exhibits (since there is no rebuttal testimony in this proceeding) and would waste valuable hearing time simply to set the record straight on matters which TURN has unfortunately presented to the Commission without checking its facts (either through research or discovery).</w:t>
      </w:r>
      <w:r>
        <w:rPr>
          <w:rStyle w:val="FootnoteCharacters"/>
          <w:rStyle w:val="FootnoteReference"/>
        </w:rPr>
        <w:footnoteReference w:id="2"/>
      </w:r>
      <w:r>
        <w:rPr/>
        <w:t xml:space="preserve">  </w:t>
      </w:r>
    </w:p>
    <w:p>
      <w:pPr>
        <w:pStyle w:val="Normal"/>
        <w:rPr/>
      </w:pPr>
      <w:r>
        <w:rPr/>
      </w:r>
    </w:p>
    <w:p>
      <w:pPr>
        <w:pStyle w:val="BodyText3"/>
        <w:ind w:firstLine="720" w:end="0"/>
        <w:rPr>
          <w:color w:val="auto"/>
        </w:rPr>
      </w:pPr>
      <w:r>
        <w:rPr/>
        <w:t>Accordingly, SDG&amp;E moves to strike Section III of Mr. Marcus’ testimony.  In addition SDG&amp;E moves to strike the portion of Section IV that implement TURN’s rate design proposals.  If this motion to strike is granted, TURN should be directed to re-serve corrected tables without the line items calculating its rate design proposals.</w:t>
      </w:r>
    </w:p>
    <w:p>
      <w:pPr>
        <w:pStyle w:val="Normal"/>
        <w:ind w:firstLine="720" w:end="0"/>
        <w:rPr>
          <w:color w:val="auto"/>
        </w:rPr>
      </w:pPr>
      <w:r>
        <w:rPr>
          <w:color w:val="auto"/>
        </w:rPr>
      </w:r>
    </w:p>
    <w:p>
      <w:pPr>
        <w:pStyle w:val="Normal"/>
        <w:ind w:firstLine="720" w:start="3600" w:end="0"/>
        <w:rPr/>
      </w:pPr>
      <w:r>
        <w:rPr/>
        <w:t>Respectfully submitted,</w:t>
      </w:r>
    </w:p>
    <w:p>
      <w:pPr>
        <w:pStyle w:val="Normal"/>
        <w:ind w:firstLine="720" w:start="3600" w:end="0"/>
        <w:rPr/>
      </w:pPr>
      <w:r>
        <w:rPr/>
      </w:r>
    </w:p>
    <w:p>
      <w:pPr>
        <w:pStyle w:val="Normal"/>
        <w:ind w:firstLine="720" w:start="3600" w:end="0"/>
        <w:rPr/>
      </w:pPr>
      <w:r>
        <w:rPr/>
        <w:t>_____________________________</w:t>
      </w:r>
    </w:p>
    <w:p>
      <w:pPr>
        <w:pStyle w:val="Normal"/>
        <w:tabs>
          <w:tab w:val="clear" w:pos="720"/>
          <w:tab w:val="left" w:pos="4320" w:leader="none"/>
        </w:tabs>
        <w:spacing w:lineRule="auto" w:line="240"/>
        <w:ind w:start="4320" w:end="0"/>
        <w:rPr/>
      </w:pPr>
      <w:r>
        <w:rPr/>
        <w:t>Keith W. Melville</w:t>
      </w:r>
    </w:p>
    <w:p>
      <w:pPr>
        <w:pStyle w:val="Normal"/>
        <w:tabs>
          <w:tab w:val="clear" w:pos="720"/>
          <w:tab w:val="left" w:pos="4320" w:leader="none"/>
        </w:tabs>
        <w:spacing w:lineRule="auto" w:line="240"/>
        <w:ind w:start="4320" w:end="0"/>
        <w:rPr/>
      </w:pPr>
      <w:r>
        <w:rPr/>
        <w:t xml:space="preserve">Attorney for </w:t>
      </w:r>
    </w:p>
    <w:p>
      <w:pPr>
        <w:pStyle w:val="Normal"/>
        <w:tabs>
          <w:tab w:val="clear" w:pos="720"/>
          <w:tab w:val="left" w:pos="4320" w:leader="none"/>
        </w:tabs>
        <w:spacing w:lineRule="auto" w:line="240"/>
        <w:ind w:start="4320" w:end="-720"/>
        <w:rPr/>
      </w:pPr>
      <w:r>
        <w:rPr/>
        <w:t>San Diego Gas &amp; Electric Company</w:t>
      </w:r>
    </w:p>
    <w:p>
      <w:pPr>
        <w:pStyle w:val="Normal"/>
        <w:tabs>
          <w:tab w:val="clear" w:pos="720"/>
          <w:tab w:val="left" w:pos="4320" w:leader="none"/>
        </w:tabs>
        <w:spacing w:lineRule="auto" w:line="240"/>
        <w:ind w:start="4320" w:end="0"/>
        <w:rPr/>
      </w:pPr>
      <w:r>
        <w:rPr/>
        <w:t>101 Ash Street</w:t>
      </w:r>
    </w:p>
    <w:p>
      <w:pPr>
        <w:pStyle w:val="Normal"/>
        <w:tabs>
          <w:tab w:val="clear" w:pos="720"/>
          <w:tab w:val="left" w:pos="4320" w:leader="none"/>
        </w:tabs>
        <w:spacing w:lineRule="auto" w:line="240"/>
        <w:ind w:start="4320" w:end="0"/>
        <w:rPr/>
      </w:pPr>
      <w:r>
        <w:rPr/>
        <w:t>San Diego, CA  92101</w:t>
      </w:r>
    </w:p>
    <w:p>
      <w:pPr>
        <w:pStyle w:val="Normal"/>
        <w:tabs>
          <w:tab w:val="clear" w:pos="720"/>
          <w:tab w:val="left" w:pos="4320" w:leader="none"/>
        </w:tabs>
        <w:spacing w:lineRule="auto" w:line="240"/>
        <w:ind w:start="4320" w:end="0"/>
        <w:rPr/>
      </w:pPr>
      <w:r>
        <w:rPr/>
        <w:t>Telephone:  (619) 699-5039</w:t>
      </w:r>
    </w:p>
    <w:p>
      <w:pPr>
        <w:pStyle w:val="Normal"/>
        <w:spacing w:lineRule="auto" w:line="240"/>
        <w:rPr/>
      </w:pPr>
      <w:r>
        <w:rPr/>
        <w:t>November 13, 2001</w:t>
        <w:tab/>
        <w:tab/>
        <w:tab/>
        <w:tab/>
        <w:t>Facsimile:   (619) 699-5027</w:t>
      </w:r>
    </w:p>
    <w:p>
      <w:pPr>
        <w:pStyle w:val="Normal"/>
        <w:jc w:val="center"/>
        <w:rPr/>
      </w:pPr>
      <w:r>
        <w:rPr/>
      </w:r>
    </w:p>
    <w:sectPr>
      <w:headerReference w:type="default" r:id="rId4"/>
      <w:headerReference w:type="first" r:id="rId5"/>
      <w:footerReference w:type="default" r:id="rId6"/>
      <w:footerReference w:type="first" r:id="rId7"/>
      <w:footnotePr>
        <w:numFmt w:val="decimal"/>
      </w:footnotePr>
      <w:type w:val="nextPage"/>
      <w:pgSz w:w="12240" w:h="15840"/>
      <w:pgMar w:left="1800" w:right="1800" w:gutter="0" w:header="720" w:top="1152" w:footer="720" w:bottom="1152"/>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etica">
    <w:altName w:val="Arial"/>
    <w:charset w:val="00" w:characterSet="windows-1252"/>
    <w:family w:val="swiss"/>
    <w:pitch w:val="variable"/>
  </w:font>
  <w:font w:name="Palatino">
    <w:altName w:val="Book Antiqua"/>
    <w:charset w:val="00" w:characterSet="windows-1252"/>
    <w:family w:val="roman"/>
    <w:pitch w:val="variable"/>
  </w:font>
  <w:font w:name="Tahoma">
    <w:charset w:val="00" w:characterSet="windows-1252"/>
    <w:family w:val="swiss"/>
    <w:pitch w:val="variable"/>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177165" cy="177165"/>
              <wp:effectExtent l="0" t="0" r="0" b="0"/>
              <wp:wrapSquare wrapText="bothSides"/>
              <wp:docPr id="1" name="Frame1"/>
              <a:graphic xmlns:a="http://schemas.openxmlformats.org/drawingml/2006/main">
                <a:graphicData uri="http://schemas.microsoft.com/office/word/2010/wordprocessingShape">
                  <wps:wsp>
                    <wps:cNvSpPr txBox="1"/>
                    <wps:spPr>
                      <a:xfrm>
                        <a:off x="0" y="0"/>
                        <a:ext cx="177165" cy="177165"/>
                      </a:xfrm>
                      <a:prstGeom prst="rect"/>
                      <a:solidFill>
                        <a:srgbClr val="FFFFFF">
                          <a:alpha val="0"/>
                        </a:srgbClr>
                      </a:solidFill>
                    </wps:spPr>
                    <wps:txbx>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w:t>
                          </w:r>
                        </w:p>
                      </w:txbxContent>
                    </wps:txbx>
                    <wps:bodyPr anchor="t" lIns="0" tIns="0" rIns="0" bIns="0">
                      <a:noAutofit/>
                    </wps:bodyPr>
                  </wps:wsp>
                </a:graphicData>
              </a:graphic>
            </wp:anchor>
          </w:drawing>
        </mc:Choice>
        <mc:Fallback>
          <w:pict>
            <v:rect fillcolor="#FFFFFF" style="position:absolute;rotation:-0;width:13.95pt;height:13.95pt;mso-wrap-distance-left:0pt;mso-wrap-distance-right:0pt;mso-wrap-distance-top:0pt;mso-wrap-distance-bottom:0pt;margin-top:0.05pt;mso-position-vertical-relative:text;margin-left:209.05pt;mso-position-horizontal:center;mso-position-horizontal-relative:margin">
              <v:fill opacity="0f"/>
              <v:textbox inset="0in,0in,0in,0in">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w:t>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rFonts w:cs="Times New Roman" w:ascii="Times New Roman" w:hAnsi="Times New Roman"/>
          <w:sz w:val="20"/>
        </w:rPr>
        <w:t xml:space="preserve">  </w:t>
      </w:r>
      <w:r>
        <w:rPr>
          <w:rFonts w:cs="Times New Roman" w:ascii="Times New Roman" w:hAnsi="Times New Roman"/>
          <w:sz w:val="20"/>
          <w:lang w:eastAsia="en-US"/>
        </w:rPr>
        <w:t>While SDG&amp;E’s 1999 cost of service decision cited at page 11 of TURN’s testimony provided for recovery of generation-related franchise fees in distribution rates, the PTR Phase II Decision (D.00-06-034, Finding of Fact 62) states that "SDG&amp;E's generation-related franchise fees should be unbundled from distribution rates and collected through the PECA account."  SDG&amp;E filed Advice Letter 1235-E-B to remove approximately $10 million from its distribution revenue requirement to comply with the decision. This Advice Letter was approved by the Commission (via Energy Division letter) on June 5, 2001.  Thus, TURN’s proposal is based on out of date assumptions and a decision that has been superceded.  It would be a waste of time to litigate TURN’s proposal because TURN has overlooked a more recent Commission decision and an approved compliance filing.</w:t>
      </w:r>
    </w:p>
    <w:p>
      <w:pPr>
        <w:pStyle w:val="FootnoteText"/>
        <w:spacing w:before="0" w:after="240"/>
        <w:rPr>
          <w:rFonts w:ascii="Times New Roman" w:hAnsi="Times New Roman" w:cs="Times New Roman"/>
          <w:sz w:val="20"/>
          <w:lang w:eastAsia="en-US"/>
        </w:rPr>
      </w:pPr>
      <w:r>
        <w:rPr>
          <w:rFonts w:cs="Times New Roman" w:ascii="Times New Roman" w:hAnsi="Times New Roman"/>
          <w:sz w:val="20"/>
          <w:lang w:eastAsia="en-US"/>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numFmt w:val="bullet"/>
      <w:suff w:val="nothing"/>
      <w:lvlText w:val="_"/>
      <w:lvlJc w:val="start"/>
      <w:pPr>
        <w:tabs>
          <w:tab w:val="num" w:pos="0"/>
        </w:tabs>
        <w:ind w:start="0" w:hanging="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auto" w:line="36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ind w:firstLine="720" w:start="0" w:end="0"/>
      <w:outlineLvl w:val="1"/>
    </w:pPr>
    <w:rPr>
      <w:u w:val="single"/>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Emphasis">
    <w:name w:val="Emphasis"/>
    <w:basedOn w:val="DefaultParagraphFont"/>
    <w:qFormat/>
    <w:rPr>
      <w:i/>
    </w:rPr>
  </w:style>
  <w:style w:type="character" w:styleId="Strong">
    <w:name w:val="Strong"/>
    <w:basedOn w:val="DefaultParagraphFont"/>
    <w:qFormat/>
    <w:rPr>
      <w:b/>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u w:val="single"/>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titlebar">
    <w:name w:val="title bar"/>
    <w:basedOn w:val="Normal"/>
    <w:qFormat/>
    <w:pPr>
      <w:keepNext w:val="true"/>
      <w:suppressAutoHyphens w:val="true"/>
      <w:spacing w:lineRule="auto" w:line="240"/>
      <w:jc w:val="center"/>
    </w:pPr>
    <w:rPr>
      <w:rFonts w:ascii="Helvetica" w:hAnsi="Helvetica" w:cs="Helvetica"/>
      <w:b/>
      <w:sz w:val="26"/>
    </w:rPr>
  </w:style>
  <w:style w:type="paragraph" w:styleId="BodyText3">
    <w:name w:val="Body Text 3"/>
    <w:basedOn w:val="Normal"/>
    <w:qFormat/>
    <w:pPr/>
    <w:rPr>
      <w:color w:val="000000"/>
    </w:rPr>
  </w:style>
  <w:style w:type="paragraph" w:styleId="num1">
    <w:name w:val="num1"/>
    <w:basedOn w:val="Normal"/>
    <w:qFormat/>
    <w:pPr>
      <w:numPr>
        <w:ilvl w:val="0"/>
        <w:numId w:val="2"/>
      </w:numPr>
      <w:tabs>
        <w:tab w:val="clear" w:pos="720"/>
        <w:tab w:val="left" w:pos="-720" w:leader="none"/>
        <w:tab w:val="left" w:pos="648" w:leader="none"/>
      </w:tabs>
      <w:suppressAutoHyphens w:val="true"/>
      <w:ind w:firstLine="288" w:start="0" w:end="0"/>
    </w:pPr>
    <w:rPr>
      <w:rFonts w:ascii="Palatino;Book Antiqua" w:hAnsi="Palatino;Book Antiqua" w:cs="Palatino;Book Antiqua"/>
      <w:sz w:val="26"/>
    </w:rPr>
  </w:style>
  <w:style w:type="paragraph" w:styleId="num2">
    <w:name w:val="num2"/>
    <w:basedOn w:val="num1"/>
    <w:qFormat/>
    <w:pPr>
      <w:numPr>
        <w:ilvl w:val="0"/>
        <w:numId w:val="3"/>
      </w:numPr>
      <w:tabs>
        <w:tab w:val="clear" w:pos="648"/>
        <w:tab w:val="left" w:pos="-720" w:leader="none"/>
      </w:tabs>
      <w:spacing w:lineRule="auto" w:line="240"/>
      <w:ind w:hanging="0" w:start="0" w:end="0"/>
    </w:pPr>
    <w:rPr>
      <w:rFonts w:ascii="Times New Roman" w:hAnsi="Times New Roman" w:cs="Times New Roman"/>
      <w:sz w:val="24"/>
    </w:rPr>
  </w:style>
  <w:style w:type="paragraph" w:styleId="standard">
    <w:name w:val="standard"/>
    <w:basedOn w:val="Normal"/>
    <w:qFormat/>
    <w:pPr>
      <w:ind w:firstLine="720" w:start="0" w:end="0"/>
    </w:pPr>
    <w:rPr>
      <w:rFonts w:ascii="Palatino;Book Antiqua" w:hAnsi="Palatino;Book Antiqua" w:cs="Palatino;Book Antiqua"/>
      <w:sz w:val="26"/>
    </w:rPr>
  </w:style>
  <w:style w:type="paragraph" w:styleId="FootnoteText">
    <w:name w:val="footnote text"/>
    <w:basedOn w:val="Normal"/>
    <w:pPr>
      <w:spacing w:lineRule="auto" w:line="240" w:before="0" w:after="240"/>
    </w:pPr>
    <w:rPr>
      <w:rFonts w:ascii="Palatino;Book Antiqua" w:hAnsi="Palatino;Book Antiqua" w:cs="Palatino;Book Antiqua"/>
    </w:rPr>
  </w:style>
  <w:style w:type="paragraph" w:styleId="BodyText2">
    <w:name w:val="Body Text 2"/>
    <w:basedOn w:val="Normal"/>
    <w:qFormat/>
    <w:pPr>
      <w:ind w:firstLine="720" w:start="0" w:end="0"/>
    </w:pPr>
    <w:rPr>
      <w:color w:val="000000"/>
      <w:u w:val="single"/>
    </w:rPr>
  </w:style>
  <w:style w:type="paragraph" w:styleId="WW-BodyText2">
    <w:name w:val="WW-Body Text 2"/>
    <w:basedOn w:val="Normal"/>
    <w:qFormat/>
    <w:pPr/>
    <w:rPr>
      <w:rFonts w:ascii="Arial" w:hAnsi="Arial" w:cs="Arial"/>
      <w:color w:val="0000FF"/>
    </w:rPr>
  </w:style>
  <w:style w:type="paragraph" w:styleId="BodyTextIndent2">
    <w:name w:val="Body Text Indent 2"/>
    <w:basedOn w:val="Normal"/>
    <w:qFormat/>
    <w:pPr>
      <w:ind w:firstLine="720" w:start="0" w:end="0"/>
    </w:pPr>
    <w:rPr>
      <w:color w:val="000000"/>
    </w:rPr>
  </w:style>
  <w:style w:type="paragraph" w:styleId="BodyTextIndent3">
    <w:name w:val="Body Text Indent 3"/>
    <w:basedOn w:val="Normal"/>
    <w:qFormat/>
    <w:pPr>
      <w:ind w:firstLine="720" w:start="0" w:end="0"/>
    </w:pPr>
    <w:rPr/>
  </w:style>
  <w:style w:type="paragraph" w:styleId="Header">
    <w:name w:val="head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StyleNum">
    <w:name w:val="WW8StyleNum"/>
    <w:qFormat/>
  </w:style>
  <w:style w:type="numbering" w:styleId="WW8StyleNum1">
    <w:name w:val="WW8Style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2001-11-13T21:03:00Z</dcterms:created>
  <dc:creator/>
  <dc:description/>
  <dc:language>en-CA</dc:language>
  <cp:lastModifiedBy>SEMPRA</cp:lastModifiedBy>
  <cp:lastPrinted>2001-11-13T15:34:00Z</cp:lastPrinted>
  <dcterms:modified xsi:type="dcterms:W3CDTF">2001-11-13T22:16:00Z</dcterms:modified>
  <cp:revision>4</cp:revision>
  <dc:subject/>
  <dc:title/>
</cp:coreProperties>
</file>