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footer15.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numbering.xml" ContentType="application/vnd.openxmlformats-officedocument.wordprocessingml.numbering+xml"/>
  <Override PartName="/word/header8.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21" w:type="dxa"/>
        <w:jc w:val="center"/>
        <w:tblInd w:w="0" w:type="dxa"/>
        <w:tblLayout w:type="fixed"/>
        <w:tblCellMar>
          <w:top w:w="0" w:type="dxa"/>
          <w:start w:w="108" w:type="dxa"/>
          <w:bottom w:w="0" w:type="dxa"/>
          <w:end w:w="108" w:type="dxa"/>
        </w:tblCellMar>
      </w:tblPr>
      <w:tblGrid>
        <w:gridCol w:w="1242"/>
        <w:gridCol w:w="3118"/>
        <w:gridCol w:w="3119"/>
        <w:gridCol w:w="1241"/>
        <w:gridCol w:w="1"/>
      </w:tblGrid>
      <w:tr>
        <w:trPr>
          <w:trHeight w:val="280" w:hRule="atLeast"/>
        </w:trPr>
        <w:tc>
          <w:tcPr>
            <w:tcW w:w="4360" w:type="dxa"/>
            <w:gridSpan w:val="2"/>
            <w:tcBorders/>
          </w:tcPr>
          <w:p>
            <w:pPr>
              <w:pStyle w:val="COVERPAGE"/>
              <w:snapToGrid w:val="false"/>
              <w:rPr>
                <w:sz w:val="18"/>
              </w:rPr>
            </w:pPr>
            <w:r>
              <w:rPr>
                <w:sz w:val="18"/>
              </w:rPr>
            </w:r>
          </w:p>
        </w:tc>
        <w:tc>
          <w:tcPr>
            <w:tcW w:w="4360" w:type="dxa"/>
            <w:gridSpan w:val="2"/>
            <w:tcBorders/>
          </w:tcPr>
          <w:p>
            <w:pPr>
              <w:pStyle w:val="COVERPAGE"/>
              <w:snapToGrid w:val="false"/>
              <w:jc w:val="end"/>
              <w:rPr>
                <w:sz w:val="18"/>
              </w:rPr>
            </w:pPr>
            <w:r>
              <w:rPr>
                <w:sz w:val="18"/>
              </w:rPr>
            </w:r>
          </w:p>
        </w:tc>
      </w:tr>
      <w:tr>
        <w:trPr>
          <w:trHeight w:val="280" w:hRule="atLeast"/>
        </w:trPr>
        <w:tc>
          <w:tcPr>
            <w:tcW w:w="4360" w:type="dxa"/>
            <w:gridSpan w:val="2"/>
            <w:tcBorders/>
          </w:tcPr>
          <w:p>
            <w:pPr>
              <w:pStyle w:val="COVERPAGE"/>
              <w:snapToGrid w:val="false"/>
              <w:rPr>
                <w:sz w:val="18"/>
              </w:rPr>
            </w:pPr>
            <w:r>
              <w:rPr>
                <w:sz w:val="18"/>
              </w:rPr>
            </w:r>
          </w:p>
        </w:tc>
        <w:tc>
          <w:tcPr>
            <w:tcW w:w="4360" w:type="dxa"/>
            <w:gridSpan w:val="2"/>
            <w:tcBorders/>
          </w:tcPr>
          <w:p>
            <w:pPr>
              <w:pStyle w:val="COVERPAGE"/>
              <w:snapToGrid w:val="false"/>
              <w:jc w:val="end"/>
              <w:rPr>
                <w:sz w:val="18"/>
              </w:rPr>
            </w:pPr>
            <w:r>
              <w:rPr>
                <w:sz w:val="18"/>
              </w:rPr>
            </w:r>
          </w:p>
        </w:tc>
      </w:tr>
      <w:tr>
        <w:trPr>
          <w:trHeight w:val="574" w:hRule="atLeast"/>
        </w:trPr>
        <w:tc>
          <w:tcPr>
            <w:tcW w:w="4360" w:type="dxa"/>
            <w:gridSpan w:val="2"/>
            <w:tcBorders/>
          </w:tcPr>
          <w:p>
            <w:pPr>
              <w:pStyle w:val="COVERPAGE"/>
              <w:snapToGrid w:val="false"/>
              <w:rPr>
                <w:sz w:val="18"/>
              </w:rPr>
            </w:pPr>
            <w:r>
              <w:rPr>
                <w:sz w:val="18"/>
              </w:rPr>
            </w:r>
          </w:p>
        </w:tc>
        <w:tc>
          <w:tcPr>
            <w:tcW w:w="4360" w:type="dxa"/>
            <w:gridSpan w:val="2"/>
            <w:tcBorders/>
          </w:tcPr>
          <w:p>
            <w:pPr>
              <w:pStyle w:val="COVERPAGE"/>
              <w:snapToGrid w:val="false"/>
              <w:jc w:val="end"/>
              <w:rPr>
                <w:vanish/>
                <w:sz w:val="18"/>
              </w:rPr>
            </w:pPr>
            <w:r>
              <w:rPr>
                <w:vanish/>
                <w:sz w:val="18"/>
              </w:rPr>
            </w:r>
          </w:p>
        </w:tc>
      </w:tr>
      <w:tr>
        <w:trPr>
          <w:trHeight w:val="1134" w:hRule="atLeast"/>
        </w:trPr>
        <w:tc>
          <w:tcPr>
            <w:tcW w:w="8720" w:type="dxa"/>
            <w:gridSpan w:val="4"/>
            <w:tcBorders/>
          </w:tcPr>
          <w:p>
            <w:pPr>
              <w:pStyle w:val="COVERPAGE"/>
              <w:jc w:val="center"/>
              <w:rPr>
                <w:b/>
              </w:rPr>
            </w:pPr>
            <w:r>
              <w:rPr>
                <w:b/>
              </w:rPr>
              <w:t>STRICTLY PRIVATE AND CONFIDENTIAL</w:t>
            </w:r>
          </w:p>
        </w:tc>
      </w:tr>
      <w:tr>
        <w:trPr>
          <w:trHeight w:val="1600" w:hRule="atLeast"/>
        </w:trPr>
        <w:tc>
          <w:tcPr>
            <w:tcW w:w="8720" w:type="dxa"/>
            <w:gridSpan w:val="4"/>
            <w:tcBorders/>
          </w:tcPr>
          <w:p>
            <w:pPr>
              <w:pStyle w:val="COVERPAGE"/>
              <w:snapToGrid w:val="false"/>
              <w:jc w:val="center"/>
              <w:rPr>
                <w:b/>
                <w:caps/>
              </w:rPr>
            </w:pPr>
            <w:r>
              <w:rPr>
                <w:b/>
                <w:caps/>
              </w:rPr>
            </w:r>
          </w:p>
        </w:tc>
      </w:tr>
      <w:tr>
        <w:trPr>
          <w:trHeight w:val="2400" w:hRule="atLeast"/>
        </w:trPr>
        <w:tc>
          <w:tcPr>
            <w:tcW w:w="8720" w:type="dxa"/>
            <w:gridSpan w:val="4"/>
            <w:tcBorders/>
          </w:tcPr>
          <w:p>
            <w:pPr>
              <w:pStyle w:val="COVERPAGE"/>
              <w:snapToGrid w:val="false"/>
              <w:spacing w:before="0" w:after="240"/>
              <w:jc w:val="center"/>
              <w:rPr>
                <w:caps/>
              </w:rPr>
            </w:pPr>
            <w:r>
              <w:rPr>
                <w:caps/>
              </w:rPr>
            </w:r>
          </w:p>
        </w:tc>
      </w:tr>
      <w:tr>
        <w:trPr>
          <w:trHeight w:val="1400" w:hRule="atLeast"/>
        </w:trPr>
        <w:tc>
          <w:tcPr>
            <w:tcW w:w="1242" w:type="dxa"/>
            <w:tcBorders/>
          </w:tcPr>
          <w:p>
            <w:pPr>
              <w:pStyle w:val="COVERPAGE"/>
              <w:snapToGrid w:val="false"/>
              <w:rPr>
                <w:caps/>
              </w:rPr>
            </w:pPr>
            <w:r>
              <w:rPr>
                <w:caps/>
              </w:rPr>
            </w:r>
          </w:p>
        </w:tc>
        <w:tc>
          <w:tcPr>
            <w:tcW w:w="6237" w:type="dxa"/>
            <w:gridSpan w:val="2"/>
            <w:tcBorders>
              <w:top w:val="single" w:sz="4" w:space="0" w:color="000000"/>
              <w:bottom w:val="single" w:sz="4" w:space="0" w:color="000000"/>
            </w:tcBorders>
            <w:vAlign w:val="center"/>
          </w:tcPr>
          <w:p>
            <w:pPr>
              <w:pStyle w:val="COVERPAGE"/>
              <w:jc w:val="center"/>
              <w:rPr>
                <w:b/>
                <w:caps/>
              </w:rPr>
            </w:pPr>
            <w:r>
              <w:rPr>
                <w:b/>
                <w:caps/>
              </w:rPr>
              <w:t>ENRON COMMUNICATIONS, INC.</w:t>
            </w:r>
          </w:p>
          <w:p>
            <w:pPr>
              <w:pStyle w:val="COVERPAGE"/>
              <w:jc w:val="center"/>
              <w:rPr>
                <w:b/>
                <w:caps/>
              </w:rPr>
            </w:pPr>
            <w:r>
              <w:rPr>
                <w:b/>
                <w:caps/>
              </w:rPr>
              <w:t>SURVEY OF THE LAWS OF ENGLAND and WALES</w:t>
            </w:r>
          </w:p>
          <w:p>
            <w:pPr>
              <w:pStyle w:val="COVERPAGE"/>
              <w:jc w:val="center"/>
              <w:rPr>
                <w:b/>
                <w:caps/>
              </w:rPr>
            </w:pPr>
            <w:r>
              <w:rPr>
                <w:b/>
                <w:caps/>
              </w:rPr>
              <w:t>REGARDING TRADING OF BANDWIDTH AND ESTABLISHMENT OF BANDWIDTH TRADING POINTS</w:t>
            </w:r>
          </w:p>
        </w:tc>
        <w:tc>
          <w:tcPr>
            <w:tcW w:w="1242" w:type="dxa"/>
            <w:tcBorders/>
          </w:tcPr>
          <w:p>
            <w:pPr>
              <w:pStyle w:val="COVERPAGE"/>
              <w:snapToGrid w:val="false"/>
              <w:rPr>
                <w:b/>
                <w:caps/>
              </w:rPr>
            </w:pPr>
            <w:r>
              <w:rPr>
                <w:b/>
                <w:caps/>
              </w:rPr>
            </w:r>
          </w:p>
        </w:tc>
      </w:tr>
    </w:tbl>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sectPr>
          <w:footerReference w:type="default" r:id="rId2"/>
          <w:type w:val="nextPage"/>
          <w:pgSz w:w="11906" w:h="16838"/>
          <w:pgMar w:left="1701" w:right="1701" w:gutter="0" w:header="0" w:top="567" w:footer="1701" w:bottom="1757"/>
          <w:pgNumType w:fmt="decimal"/>
          <w:formProt w:val="false"/>
          <w:textDirection w:val="lrTb"/>
          <w:docGrid w:type="default" w:linePitch="360" w:charSpace="0"/>
        </w:sectPr>
        <w:pStyle w:val="Normal"/>
        <w:ind w:start="360" w:end="0"/>
        <w:jc w:val="center"/>
        <w:rPr>
          <w:b/>
        </w:rPr>
      </w:pPr>
      <w:r>
        <w:rPr>
          <w:b/>
        </w:rPr>
        <w:t>6 DECEMBER 1999</w:t>
      </w:r>
    </w:p>
    <w:tbl>
      <w:tblPr>
        <w:tblW w:w="8720" w:type="dxa"/>
        <w:jc w:val="start"/>
        <w:tblInd w:w="360" w:type="dxa"/>
        <w:tblLayout w:type="fixed"/>
        <w:tblCellMar>
          <w:top w:w="0" w:type="dxa"/>
          <w:start w:w="108" w:type="dxa"/>
          <w:bottom w:w="0" w:type="dxa"/>
          <w:end w:w="108" w:type="dxa"/>
        </w:tblCellMar>
      </w:tblPr>
      <w:tblGrid>
        <w:gridCol w:w="4355"/>
        <w:gridCol w:w="4355"/>
        <w:gridCol w:w="10"/>
      </w:tblGrid>
      <w:tr>
        <w:trPr/>
        <w:tc>
          <w:tcPr>
            <w:tcW w:w="8720" w:type="dxa"/>
            <w:gridSpan w:val="2"/>
            <w:tcBorders/>
          </w:tcPr>
          <w:p>
            <w:pPr>
              <w:pStyle w:val="Normal"/>
              <w:spacing w:before="0" w:after="300"/>
              <w:jc w:val="center"/>
              <w:rPr>
                <w:b/>
              </w:rPr>
            </w:pPr>
            <w:r>
              <w:rPr>
                <w:b/>
              </w:rPr>
              <w:t>CONTENTS</w:t>
            </w:r>
          </w:p>
        </w:tc>
      </w:tr>
      <w:tr>
        <w:trPr/>
        <w:tc>
          <w:tcPr>
            <w:tcW w:w="4355" w:type="dxa"/>
            <w:tcBorders/>
          </w:tcPr>
          <w:p>
            <w:pPr>
              <w:pStyle w:val="Normal"/>
              <w:spacing w:before="0" w:after="300"/>
              <w:jc w:val="start"/>
              <w:rPr>
                <w:b/>
              </w:rPr>
            </w:pPr>
            <w:r>
              <w:rPr>
                <w:b/>
              </w:rPr>
              <w:t>Clause</w:t>
            </w:r>
          </w:p>
        </w:tc>
        <w:tc>
          <w:tcPr>
            <w:tcW w:w="4355" w:type="dxa"/>
            <w:tcBorders/>
          </w:tcPr>
          <w:p>
            <w:pPr>
              <w:pStyle w:val="Normal"/>
              <w:spacing w:before="0" w:after="300"/>
              <w:jc w:val="end"/>
              <w:rPr>
                <w:b/>
              </w:rPr>
            </w:pPr>
            <w:r>
              <w:rPr>
                <w:b/>
              </w:rPr>
              <w:t>Page</w:t>
            </w:r>
          </w:p>
        </w:tc>
      </w:tr>
    </w:tbl>
    <w:sdt>
      <w:sdtPr>
        <w:docPartObj>
          <w:docPartGallery w:val="Table of Contents"/>
          <w:docPartUnique w:val="true"/>
        </w:docPartObj>
      </w:sdtPr>
      <w:sdtContent>
        <w:p>
          <w:pPr>
            <w:pStyle w:val="TOC1"/>
            <w:tabs>
              <w:tab w:val="clear" w:pos="624"/>
              <w:tab w:val="left" w:pos="510" w:leader="none"/>
              <w:tab w:val="right" w:pos="8494" w:leader="dot"/>
            </w:tabs>
            <w:rPr>
              <w:lang w:val="en-CA"/>
            </w:rPr>
          </w:pPr>
          <w:r>
            <w:fldChar w:fldCharType="begin"/>
          </w:r>
          <w:r>
            <w:rPr>
              <w:kern w:val="2"/>
              <w:lang w:val="en-CA"/>
            </w:rPr>
            <w:instrText xml:space="preserve"> TOC \o "1-2" </w:instrText>
          </w:r>
          <w:r>
            <w:rPr>
              <w:kern w:val="2"/>
              <w:lang w:val="en-CA"/>
            </w:rPr>
            <w:fldChar w:fldCharType="separate"/>
          </w:r>
          <w:bookmarkStart w:id="0" w:name="TOC"/>
          <w:bookmarkEnd w:id="0"/>
          <w:r>
            <w:rPr>
              <w:kern w:val="2"/>
              <w:lang w:val="en-CA"/>
            </w:rPr>
            <w:t>1.</w:t>
          </w:r>
          <w:r>
            <w:rPr>
              <w:lang w:val="en-CA"/>
            </w:rPr>
            <w:tab/>
          </w:r>
          <w:r>
            <w:rPr>
              <w:kern w:val="2"/>
              <w:lang w:val="en-CA"/>
            </w:rPr>
            <w:t>INTRODUCTION</w:t>
            <w:tab/>
          </w:r>
          <w:hyperlink w:anchor="__RefHeading___Toc469131276">
            <w:r>
              <w:rPr>
                <w:rStyle w:val="IndexLink"/>
                <w:lang w:val="en-CA"/>
              </w:rPr>
              <w:t>1</w:t>
            </w:r>
          </w:hyperlink>
        </w:p>
        <w:p>
          <w:pPr>
            <w:pStyle w:val="TOC1"/>
            <w:tabs>
              <w:tab w:val="clear" w:pos="624"/>
              <w:tab w:val="left" w:pos="510" w:leader="none"/>
              <w:tab w:val="right" w:pos="8494" w:leader="dot"/>
            </w:tabs>
            <w:rPr>
              <w:lang w:val="en-CA"/>
            </w:rPr>
          </w:pPr>
          <w:r>
            <w:rPr>
              <w:kern w:val="2"/>
              <w:lang w:val="en-CA"/>
            </w:rPr>
            <w:t>2.</w:t>
          </w:r>
          <w:r>
            <w:rPr>
              <w:lang w:val="en-CA"/>
            </w:rPr>
            <w:tab/>
          </w:r>
          <w:r>
            <w:rPr>
              <w:kern w:val="2"/>
              <w:lang w:val="en-CA"/>
            </w:rPr>
            <w:t>SCOPE OF SURVEY</w:t>
          </w:r>
          <w:r>
            <w:rPr>
              <w:lang w:val="en-CA"/>
            </w:rPr>
            <w:tab/>
          </w:r>
          <w:hyperlink w:anchor="__RefHeading___Toc469131277">
            <w:r>
              <w:rPr>
                <w:rStyle w:val="IndexLink"/>
                <w:lang w:val="en-CA"/>
              </w:rPr>
              <w:t>1</w:t>
            </w:r>
          </w:hyperlink>
        </w:p>
        <w:p>
          <w:pPr>
            <w:pStyle w:val="TOC2"/>
            <w:tabs>
              <w:tab w:val="clear" w:pos="624"/>
              <w:tab w:val="left" w:pos="1191" w:leader="none"/>
              <w:tab w:val="right" w:pos="8494" w:leader="dot"/>
            </w:tabs>
            <w:rPr>
              <w:lang w:val="en-CA"/>
            </w:rPr>
          </w:pPr>
          <w:r>
            <w:rPr>
              <w:lang w:val="en-CA"/>
            </w:rPr>
            <w:t>2.1</w:t>
            <w:tab/>
            <w:t>Introduction</w:t>
            <w:tab/>
          </w:r>
          <w:hyperlink w:anchor="__RefHeading___Toc469131278">
            <w:r>
              <w:rPr>
                <w:rStyle w:val="IndexLink"/>
                <w:lang w:val="en-CA"/>
              </w:rPr>
              <w:t>1</w:t>
            </w:r>
          </w:hyperlink>
        </w:p>
        <w:p>
          <w:pPr>
            <w:pStyle w:val="TOC2"/>
            <w:tabs>
              <w:tab w:val="clear" w:pos="624"/>
              <w:tab w:val="left" w:pos="1191" w:leader="none"/>
              <w:tab w:val="right" w:pos="8494" w:leader="dot"/>
            </w:tabs>
            <w:rPr>
              <w:lang w:val="en-CA"/>
            </w:rPr>
          </w:pPr>
          <w:r>
            <w:rPr>
              <w:kern w:val="2"/>
              <w:lang w:val="en-CA"/>
            </w:rPr>
            <w:t>2.2</w:t>
          </w:r>
          <w:r>
            <w:rPr>
              <w:lang w:val="en-CA"/>
            </w:rPr>
            <w:tab/>
          </w:r>
          <w:r>
            <w:rPr>
              <w:kern w:val="2"/>
              <w:lang w:val="en-CA"/>
            </w:rPr>
            <w:t>Extent of survey</w:t>
          </w:r>
          <w:r>
            <w:rPr>
              <w:lang w:val="en-CA"/>
            </w:rPr>
            <w:tab/>
          </w:r>
          <w:hyperlink w:anchor="__RefHeading___Toc469131279">
            <w:r>
              <w:rPr>
                <w:rStyle w:val="IndexLink"/>
                <w:lang w:val="en-CA"/>
              </w:rPr>
              <w:t>1</w:t>
            </w:r>
          </w:hyperlink>
        </w:p>
        <w:p>
          <w:pPr>
            <w:pStyle w:val="TOC2"/>
            <w:tabs>
              <w:tab w:val="clear" w:pos="624"/>
              <w:tab w:val="left" w:pos="1191" w:leader="none"/>
              <w:tab w:val="right" w:pos="8494" w:leader="dot"/>
            </w:tabs>
            <w:rPr>
              <w:lang w:val="en-CA"/>
            </w:rPr>
          </w:pPr>
          <w:r>
            <w:rPr>
              <w:lang w:val="en-CA"/>
            </w:rPr>
            <w:t>2.3</w:t>
            <w:tab/>
            <w:t>Interpretation</w:t>
            <w:tab/>
          </w:r>
          <w:hyperlink w:anchor="__RefHeading___Toc469131280">
            <w:r>
              <w:rPr>
                <w:rStyle w:val="IndexLink"/>
                <w:lang w:val="en-CA"/>
              </w:rPr>
              <w:t>2</w:t>
            </w:r>
          </w:hyperlink>
        </w:p>
        <w:p>
          <w:pPr>
            <w:pStyle w:val="TOC1"/>
            <w:tabs>
              <w:tab w:val="clear" w:pos="624"/>
              <w:tab w:val="left" w:pos="510" w:leader="none"/>
              <w:tab w:val="right" w:pos="8494" w:leader="dot"/>
            </w:tabs>
            <w:rPr>
              <w:lang w:val="en-CA"/>
            </w:rPr>
          </w:pPr>
          <w:r>
            <w:rPr>
              <w:kern w:val="2"/>
              <w:lang w:val="en-CA"/>
            </w:rPr>
            <w:t>3.</w:t>
          </w:r>
          <w:r>
            <w:rPr>
              <w:lang w:val="en-CA"/>
            </w:rPr>
            <w:tab/>
          </w:r>
          <w:r>
            <w:rPr>
              <w:kern w:val="2"/>
              <w:lang w:val="en-CA"/>
            </w:rPr>
            <w:t>EXECUTIVE SUMMARY</w:t>
          </w:r>
          <w:r>
            <w:rPr>
              <w:lang w:val="en-CA"/>
            </w:rPr>
            <w:tab/>
          </w:r>
          <w:hyperlink w:anchor="__RefHeading___Toc469131281">
            <w:r>
              <w:rPr>
                <w:rStyle w:val="IndexLink"/>
                <w:lang w:val="en-CA"/>
              </w:rPr>
              <w:t>3</w:t>
            </w:r>
          </w:hyperlink>
        </w:p>
        <w:p>
          <w:pPr>
            <w:pStyle w:val="TOC2"/>
            <w:tabs>
              <w:tab w:val="clear" w:pos="624"/>
              <w:tab w:val="left" w:pos="1191" w:leader="none"/>
              <w:tab w:val="right" w:pos="8494" w:leader="dot"/>
            </w:tabs>
            <w:rPr>
              <w:lang w:val="en-CA"/>
            </w:rPr>
          </w:pPr>
          <w:r>
            <w:rPr>
              <w:kern w:val="2"/>
              <w:lang w:val="en-CA"/>
            </w:rPr>
            <w:t>3.1</w:t>
          </w:r>
          <w:r>
            <w:rPr>
              <w:lang w:val="en-CA"/>
            </w:rPr>
            <w:tab/>
          </w:r>
          <w:r>
            <w:rPr>
              <w:kern w:val="2"/>
              <w:lang w:val="en-CA"/>
            </w:rPr>
            <w:t>Telecommunications Licensing</w:t>
          </w:r>
          <w:r>
            <w:rPr>
              <w:lang w:val="en-CA"/>
            </w:rPr>
            <w:tab/>
          </w:r>
          <w:hyperlink w:anchor="__RefHeading___Toc469131282">
            <w:r>
              <w:rPr>
                <w:rStyle w:val="IndexLink"/>
                <w:lang w:val="en-CA"/>
              </w:rPr>
              <w:t>3</w:t>
            </w:r>
          </w:hyperlink>
        </w:p>
        <w:p>
          <w:pPr>
            <w:pStyle w:val="TOC2"/>
            <w:tabs>
              <w:tab w:val="clear" w:pos="624"/>
              <w:tab w:val="left" w:pos="1191" w:leader="none"/>
              <w:tab w:val="right" w:pos="8494" w:leader="dot"/>
            </w:tabs>
            <w:rPr>
              <w:lang w:val="en-CA"/>
            </w:rPr>
          </w:pPr>
          <w:r>
            <w:rPr>
              <w:lang w:val="en-CA"/>
            </w:rPr>
            <w:t>3.2</w:t>
            <w:tab/>
            <w:t>Financial Market or Exchange</w:t>
            <w:tab/>
          </w:r>
          <w:hyperlink w:anchor="__RefHeading___Toc469131283">
            <w:r>
              <w:rPr>
                <w:rStyle w:val="IndexLink"/>
                <w:lang w:val="en-CA"/>
              </w:rPr>
              <w:t>4</w:t>
            </w:r>
          </w:hyperlink>
        </w:p>
        <w:p>
          <w:pPr>
            <w:pStyle w:val="TOC2"/>
            <w:tabs>
              <w:tab w:val="clear" w:pos="624"/>
              <w:tab w:val="left" w:pos="1191" w:leader="none"/>
              <w:tab w:val="right" w:pos="8494" w:leader="dot"/>
            </w:tabs>
            <w:rPr>
              <w:lang w:val="en-CA"/>
            </w:rPr>
          </w:pPr>
          <w:r>
            <w:rPr>
              <w:lang w:val="en-CA"/>
            </w:rPr>
            <w:t>3.3</w:t>
            <w:tab/>
            <w:t>Competition Law</w:t>
            <w:tab/>
          </w:r>
          <w:hyperlink w:anchor="__RefHeading___Toc469131284">
            <w:r>
              <w:rPr>
                <w:rStyle w:val="IndexLink"/>
                <w:lang w:val="en-CA"/>
              </w:rPr>
              <w:t>4</w:t>
            </w:r>
          </w:hyperlink>
        </w:p>
        <w:p>
          <w:pPr>
            <w:pStyle w:val="TOC1"/>
            <w:tabs>
              <w:tab w:val="clear" w:pos="624"/>
              <w:tab w:val="left" w:pos="510" w:leader="none"/>
              <w:tab w:val="right" w:pos="8494" w:leader="dot"/>
            </w:tabs>
            <w:rPr>
              <w:lang w:val="en-CA"/>
            </w:rPr>
          </w:pPr>
          <w:r>
            <w:rPr>
              <w:kern w:val="2"/>
              <w:lang w:val="en-CA"/>
            </w:rPr>
            <w:t>4.</w:t>
          </w:r>
          <w:r>
            <w:rPr>
              <w:lang w:val="en-CA"/>
            </w:rPr>
            <w:tab/>
          </w:r>
          <w:r>
            <w:rPr>
              <w:kern w:val="2"/>
              <w:lang w:val="en-CA"/>
            </w:rPr>
            <w:t>SECTION 1 - BANDWIDTH TRADING TRANSACTIONS</w:t>
          </w:r>
          <w:r>
            <w:rPr>
              <w:lang w:val="en-CA"/>
            </w:rPr>
            <w:tab/>
          </w:r>
          <w:hyperlink w:anchor="__RefHeading___Toc469131285">
            <w:r>
              <w:rPr>
                <w:rStyle w:val="IndexLink"/>
                <w:lang w:val="en-CA"/>
              </w:rPr>
              <w:t>4</w:t>
            </w:r>
          </w:hyperlink>
        </w:p>
        <w:p>
          <w:pPr>
            <w:pStyle w:val="TOC2"/>
            <w:tabs>
              <w:tab w:val="clear" w:pos="624"/>
              <w:tab w:val="left" w:pos="1191" w:leader="none"/>
              <w:tab w:val="right" w:pos="8494" w:leader="dot"/>
            </w:tabs>
            <w:rPr>
              <w:lang w:val="en-CA"/>
            </w:rPr>
          </w:pPr>
          <w:r>
            <w:rPr>
              <w:lang w:val="en-CA"/>
            </w:rPr>
            <w:t>4.1</w:t>
            <w:tab/>
            <w:t>Assumptions</w:t>
            <w:tab/>
          </w:r>
          <w:hyperlink w:anchor="__RefHeading___Toc469131286">
            <w:r>
              <w:rPr>
                <w:rStyle w:val="IndexLink"/>
                <w:lang w:val="en-CA"/>
              </w:rPr>
              <w:t>4</w:t>
            </w:r>
          </w:hyperlink>
        </w:p>
        <w:p>
          <w:pPr>
            <w:pStyle w:val="TOC2"/>
            <w:tabs>
              <w:tab w:val="clear" w:pos="624"/>
              <w:tab w:val="left" w:pos="1191" w:leader="none"/>
              <w:tab w:val="left" w:pos="2410" w:leader="none"/>
              <w:tab w:val="right" w:pos="8494" w:leader="dot"/>
            </w:tabs>
            <w:rPr>
              <w:lang w:val="en-CA"/>
            </w:rPr>
          </w:pPr>
          <w:r>
            <w:rPr>
              <w:lang w:val="en-CA"/>
            </w:rPr>
            <w:t>4.2</w:t>
            <w:tab/>
            <w:t xml:space="preserve">Section 1A:   </w:t>
            <w:tab/>
            <w:t>Licensing and Organisation</w:t>
            <w:tab/>
          </w:r>
          <w:hyperlink w:anchor="__RefHeading___Toc469131287">
            <w:r>
              <w:rPr>
                <w:rStyle w:val="IndexLink"/>
                <w:lang w:val="en-CA"/>
              </w:rPr>
              <w:t>5</w:t>
            </w:r>
          </w:hyperlink>
        </w:p>
        <w:p>
          <w:pPr>
            <w:pStyle w:val="TOC2"/>
            <w:tabs>
              <w:tab w:val="clear" w:pos="624"/>
              <w:tab w:val="left" w:pos="1191" w:leader="none"/>
              <w:tab w:val="left" w:pos="2410" w:leader="none"/>
              <w:tab w:val="right" w:pos="8494" w:leader="dot"/>
            </w:tabs>
            <w:rPr>
              <w:lang w:val="en-CA"/>
            </w:rPr>
          </w:pPr>
          <w:r>
            <w:rPr>
              <w:lang w:val="en-CA"/>
            </w:rPr>
            <w:t>4.3</w:t>
            <w:tab/>
            <w:t xml:space="preserve">Section 1B: </w:t>
            <w:tab/>
            <w:t>Capacity and Authority</w:t>
            <w:tab/>
          </w:r>
          <w:hyperlink w:anchor="__RefHeading___Toc469131288">
            <w:r>
              <w:rPr>
                <w:rStyle w:val="IndexLink"/>
                <w:lang w:val="en-CA"/>
              </w:rPr>
              <w:t>17</w:t>
            </w:r>
          </w:hyperlink>
        </w:p>
        <w:p>
          <w:pPr>
            <w:pStyle w:val="TOC2"/>
            <w:tabs>
              <w:tab w:val="clear" w:pos="624"/>
              <w:tab w:val="left" w:pos="1191" w:leader="none"/>
              <w:tab w:val="left" w:pos="2410" w:leader="none"/>
              <w:tab w:val="right" w:pos="8494" w:leader="dot"/>
            </w:tabs>
            <w:rPr>
              <w:lang w:val="en-CA"/>
            </w:rPr>
          </w:pPr>
          <w:r>
            <w:rPr>
              <w:lang w:val="en-CA"/>
            </w:rPr>
            <w:t>4.4</w:t>
            <w:tab/>
            <w:t xml:space="preserve">Section 1C:   </w:t>
            <w:tab/>
            <w:t>General Contractual Terms and Formalities</w:t>
            <w:tab/>
          </w:r>
          <w:hyperlink w:anchor="__RefHeading___Toc469131289">
            <w:r>
              <w:rPr>
                <w:rStyle w:val="IndexLink"/>
                <w:lang w:val="en-CA"/>
              </w:rPr>
              <w:t>19</w:t>
            </w:r>
          </w:hyperlink>
        </w:p>
        <w:p>
          <w:pPr>
            <w:pStyle w:val="TOC2"/>
            <w:tabs>
              <w:tab w:val="clear" w:pos="624"/>
              <w:tab w:val="left" w:pos="1191" w:leader="none"/>
              <w:tab w:val="left" w:pos="2410" w:leader="none"/>
              <w:tab w:val="right" w:pos="8494" w:leader="dot"/>
            </w:tabs>
            <w:rPr>
              <w:lang w:val="en-CA"/>
            </w:rPr>
          </w:pPr>
          <w:r>
            <w:rPr>
              <w:lang w:val="en-CA"/>
            </w:rPr>
            <w:t>4.5</w:t>
            <w:tab/>
            <w:t xml:space="preserve">Section 1D: </w:t>
            <w:tab/>
            <w:t>Jurisdiction and Enforcement</w:t>
            <w:tab/>
          </w:r>
          <w:hyperlink w:anchor="__RefHeading___Toc469131290">
            <w:r>
              <w:rPr>
                <w:rStyle w:val="IndexLink"/>
                <w:lang w:val="en-CA"/>
              </w:rPr>
              <w:t>30</w:t>
            </w:r>
          </w:hyperlink>
        </w:p>
        <w:p>
          <w:pPr>
            <w:pStyle w:val="TOC2"/>
            <w:tabs>
              <w:tab w:val="clear" w:pos="624"/>
              <w:tab w:val="left" w:pos="1191" w:leader="none"/>
              <w:tab w:val="left" w:pos="2410" w:leader="none"/>
              <w:tab w:val="right" w:pos="8494" w:leader="dot"/>
            </w:tabs>
            <w:rPr>
              <w:lang w:val="en-CA"/>
            </w:rPr>
          </w:pPr>
          <w:r>
            <w:rPr>
              <w:lang w:val="en-CA"/>
            </w:rPr>
            <w:t>4.6</w:t>
            <w:tab/>
            <w:t xml:space="preserve">Section 1E: </w:t>
            <w:tab/>
            <w:t>Events of Default, Insolvency and Early Termination</w:t>
            <w:tab/>
          </w:r>
          <w:hyperlink w:anchor="__RefHeading___Toc469131291">
            <w:r>
              <w:rPr>
                <w:rStyle w:val="IndexLink"/>
                <w:lang w:val="en-CA"/>
              </w:rPr>
              <w:t>40</w:t>
            </w:r>
          </w:hyperlink>
        </w:p>
        <w:p>
          <w:pPr>
            <w:pStyle w:val="TOC2"/>
            <w:tabs>
              <w:tab w:val="clear" w:pos="624"/>
              <w:tab w:val="left" w:pos="1191" w:leader="none"/>
              <w:tab w:val="left" w:pos="2410" w:leader="none"/>
              <w:tab w:val="right" w:pos="8494" w:leader="dot"/>
            </w:tabs>
            <w:rPr>
              <w:lang w:val="en-CA"/>
            </w:rPr>
          </w:pPr>
          <w:r>
            <w:rPr>
              <w:lang w:val="en-CA"/>
            </w:rPr>
            <w:t>4.7</w:t>
            <w:tab/>
            <w:t xml:space="preserve">Section 1F:   </w:t>
            <w:tab/>
            <w:t>Liquidated Damages Provisions</w:t>
            <w:tab/>
          </w:r>
          <w:hyperlink w:anchor="__RefHeading___Toc469131292">
            <w:r>
              <w:rPr>
                <w:rStyle w:val="IndexLink"/>
                <w:lang w:val="en-CA"/>
              </w:rPr>
              <w:t>46</w:t>
            </w:r>
          </w:hyperlink>
        </w:p>
        <w:p>
          <w:pPr>
            <w:pStyle w:val="TOC2"/>
            <w:tabs>
              <w:tab w:val="clear" w:pos="624"/>
              <w:tab w:val="left" w:pos="1191" w:leader="none"/>
              <w:tab w:val="left" w:pos="2410" w:leader="none"/>
              <w:tab w:val="right" w:pos="8494" w:leader="dot"/>
            </w:tabs>
            <w:rPr>
              <w:lang w:val="en-CA"/>
            </w:rPr>
          </w:pPr>
          <w:r>
            <w:rPr>
              <w:lang w:val="en-CA"/>
            </w:rPr>
            <w:t>4.8</w:t>
            <w:tab/>
            <w:t xml:space="preserve">Section 1G:  </w:t>
            <w:tab/>
            <w:t>Taxation</w:t>
            <w:tab/>
          </w:r>
          <w:hyperlink w:anchor="__RefHeading___Toc469131293">
            <w:r>
              <w:rPr>
                <w:rStyle w:val="IndexLink"/>
                <w:lang w:val="en-CA"/>
              </w:rPr>
              <w:t>48</w:t>
            </w:r>
          </w:hyperlink>
        </w:p>
        <w:p>
          <w:pPr>
            <w:pStyle w:val="TOC2"/>
            <w:tabs>
              <w:tab w:val="clear" w:pos="624"/>
              <w:tab w:val="left" w:pos="1191" w:leader="none"/>
              <w:tab w:val="left" w:pos="2410" w:leader="none"/>
              <w:tab w:val="right" w:pos="8494" w:leader="dot"/>
            </w:tabs>
            <w:rPr>
              <w:lang w:val="en-CA"/>
            </w:rPr>
          </w:pPr>
          <w:r>
            <w:rPr>
              <w:lang w:val="en-CA"/>
            </w:rPr>
            <w:t>4.9</w:t>
            <w:tab/>
            <w:t xml:space="preserve">Section 1H: </w:t>
            <w:tab/>
            <w:t>Miscellaneous</w:t>
            <w:tab/>
          </w:r>
          <w:hyperlink w:anchor="__RefHeading___Toc469131294">
            <w:r>
              <w:rPr>
                <w:rStyle w:val="IndexLink"/>
                <w:lang w:val="en-CA"/>
              </w:rPr>
              <w:t>48</w:t>
            </w:r>
          </w:hyperlink>
        </w:p>
        <w:p>
          <w:pPr>
            <w:pStyle w:val="TOC1"/>
            <w:tabs>
              <w:tab w:val="clear" w:pos="624"/>
              <w:tab w:val="left" w:pos="510" w:leader="none"/>
              <w:tab w:val="right" w:pos="8494" w:leader="dot"/>
            </w:tabs>
            <w:rPr>
              <w:lang w:val="en-CA"/>
            </w:rPr>
          </w:pPr>
          <w:r>
            <w:rPr>
              <w:kern w:val="2"/>
              <w:lang w:val="en-CA"/>
            </w:rPr>
            <w:t>5.</w:t>
          </w:r>
          <w:r>
            <w:rPr>
              <w:lang w:val="en-CA"/>
            </w:rPr>
            <w:tab/>
          </w:r>
          <w:r>
            <w:rPr>
              <w:kern w:val="2"/>
              <w:lang w:val="en-CA"/>
            </w:rPr>
            <w:t>SECTION 2 - TRADING BANDWIDTH WITHOUT ACTUAL PHYSICAL DELIVERY</w:t>
          </w:r>
          <w:r>
            <w:rPr>
              <w:lang w:val="en-CA"/>
            </w:rPr>
            <w:tab/>
          </w:r>
          <w:hyperlink w:anchor="__RefHeading___Toc469131295">
            <w:r>
              <w:rPr>
                <w:rStyle w:val="IndexLink"/>
                <w:lang w:val="en-CA"/>
              </w:rPr>
              <w:t>54</w:t>
            </w:r>
          </w:hyperlink>
        </w:p>
        <w:p>
          <w:pPr>
            <w:pStyle w:val="TOC1"/>
            <w:tabs>
              <w:tab w:val="clear" w:pos="624"/>
              <w:tab w:val="left" w:pos="510" w:leader="none"/>
              <w:tab w:val="right" w:pos="8494" w:leader="dot"/>
            </w:tabs>
            <w:rPr>
              <w:lang w:val="en-CA"/>
            </w:rPr>
          </w:pPr>
          <w:r>
            <w:rPr>
              <w:kern w:val="2"/>
              <w:lang w:val="en-CA"/>
            </w:rPr>
            <w:t>6.</w:t>
          </w:r>
          <w:r>
            <w:rPr>
              <w:lang w:val="en-CA"/>
            </w:rPr>
            <w:tab/>
          </w:r>
          <w:r>
            <w:rPr>
              <w:kern w:val="2"/>
              <w:lang w:val="en-CA"/>
            </w:rPr>
            <w:t>SECTION 3 - ESTABLISHMENT OF POOLING POINTS AND CONNECTION OF TELECOMMUNICATIONS NETWORKS TO POOLING POINTS</w:t>
          </w:r>
          <w:r>
            <w:rPr>
              <w:lang w:val="en-CA"/>
            </w:rPr>
            <w:tab/>
          </w:r>
          <w:hyperlink w:anchor="__RefHeading___Toc469131296">
            <w:r>
              <w:rPr>
                <w:rStyle w:val="IndexLink"/>
                <w:lang w:val="en-CA"/>
              </w:rPr>
              <w:t>55</w:t>
            </w:r>
          </w:hyperlink>
        </w:p>
        <w:p>
          <w:pPr>
            <w:pStyle w:val="TOC2"/>
            <w:tabs>
              <w:tab w:val="clear" w:pos="624"/>
              <w:tab w:val="left" w:pos="1191" w:leader="none"/>
              <w:tab w:val="left" w:pos="2410" w:leader="none"/>
              <w:tab w:val="right" w:pos="8494" w:leader="dot"/>
            </w:tabs>
            <w:ind w:hanging="1899" w:start="2410" w:end="0"/>
            <w:rPr>
              <w:lang w:val="en-CA"/>
            </w:rPr>
          </w:pPr>
          <w:r>
            <w:rPr>
              <w:lang w:val="en-CA"/>
            </w:rPr>
            <w:t>6.1</w:t>
            <w:tab/>
            <w:t xml:space="preserve">Section 3A:  </w:t>
            <w:tab/>
            <w:tab/>
            <w:t>Establishment of a Pooling Point in England and Wales by a Pooling Point Operator</w:t>
            <w:tab/>
          </w:r>
          <w:hyperlink w:anchor="__RefHeading___Toc469131297">
            <w:r>
              <w:rPr>
                <w:rStyle w:val="IndexLink"/>
                <w:lang w:val="en-CA"/>
              </w:rPr>
              <w:t>55</w:t>
            </w:r>
          </w:hyperlink>
        </w:p>
        <w:p>
          <w:pPr>
            <w:pStyle w:val="TOC2"/>
            <w:tabs>
              <w:tab w:val="clear" w:pos="624"/>
              <w:tab w:val="left" w:pos="1191" w:leader="none"/>
              <w:tab w:val="left" w:pos="2410" w:leader="none"/>
              <w:tab w:val="right" w:pos="8494" w:leader="dot"/>
            </w:tabs>
            <w:rPr>
              <w:lang w:val="en-CA"/>
            </w:rPr>
          </w:pPr>
          <w:r>
            <w:rPr>
              <w:lang w:val="en-CA"/>
            </w:rPr>
            <w:t>6.2</w:t>
            <w:tab/>
            <w:t xml:space="preserve">Section 3B: </w:t>
            <w:tab/>
            <w:t>Connection of a Telecommunications Network to the Pooling Point</w:t>
            <w:tab/>
          </w:r>
          <w:hyperlink w:anchor="__RefHeading___Toc469131298">
            <w:r>
              <w:rPr>
                <w:rStyle w:val="IndexLink"/>
                <w:lang w:val="en-CA"/>
              </w:rPr>
              <w:t>65</w:t>
            </w:r>
          </w:hyperlink>
        </w:p>
        <w:p>
          <w:pPr>
            <w:pStyle w:val="TOC1"/>
            <w:tabs>
              <w:tab w:val="clear" w:pos="624"/>
              <w:tab w:val="left" w:pos="510" w:leader="none"/>
              <w:tab w:val="right" w:pos="8494" w:leader="dot"/>
            </w:tabs>
            <w:rPr>
              <w:lang w:val="en-CA"/>
            </w:rPr>
          </w:pPr>
          <w:r>
            <w:rPr>
              <w:kern w:val="2"/>
              <w:lang w:val="en-CA"/>
            </w:rPr>
            <w:t>7.</w:t>
          </w:r>
          <w:r>
            <w:rPr>
              <w:lang w:val="en-CA"/>
            </w:rPr>
            <w:tab/>
          </w:r>
          <w:r>
            <w:rPr>
              <w:kern w:val="2"/>
              <w:lang w:val="en-CA"/>
            </w:rPr>
            <w:t>SECTION 4 - TRANSACTIONS OVER A SEGMENT BETWEEN POOLING POINTS, EITHER OR BOTH OF WHICH MAY BE LOCATED IN ENGLAND AND WALES</w:t>
          </w:r>
          <w:r>
            <w:rPr>
              <w:lang w:val="en-CA"/>
            </w:rPr>
            <w:tab/>
          </w:r>
          <w:hyperlink w:anchor="__RefHeading___Toc469131299">
            <w:r>
              <w:rPr>
                <w:rStyle w:val="IndexLink"/>
                <w:lang w:val="en-CA"/>
              </w:rPr>
              <w:t>71</w:t>
            </w:r>
          </w:hyperlink>
          <w:r>
            <w:rPr>
              <w:rStyle w:val="IndexLink"/>
              <w:lang w:val="en-CA"/>
            </w:rPr>
            <w:fldChar w:fldCharType="end"/>
          </w:r>
        </w:p>
      </w:sdtContent>
    </w:sdt>
    <w:p>
      <w:pPr>
        <w:pStyle w:val="CommentText"/>
        <w:tabs>
          <w:tab w:val="clear" w:pos="624"/>
          <w:tab w:val="right" w:pos="8505" w:leader="dot"/>
        </w:tabs>
        <w:spacing w:before="0" w:after="200"/>
        <w:ind w:start="360" w:end="0"/>
        <w:rPr>
          <w:lang w:val="en-CA"/>
        </w:rPr>
      </w:pPr>
      <w:r>
        <w:rPr>
          <w:lang w:val="en-CA"/>
        </w:rPr>
      </w:r>
    </w:p>
    <w:p>
      <w:pPr>
        <w:pStyle w:val="TOC1"/>
        <w:tabs>
          <w:tab w:val="clear" w:pos="624"/>
          <w:tab w:val="left" w:pos="510" w:leader="none"/>
          <w:tab w:val="right" w:pos="8494" w:leader="dot"/>
        </w:tabs>
        <w:rPr>
          <w:lang w:val="en-CA"/>
        </w:rPr>
      </w:pPr>
      <w:r>
        <w:rPr>
          <w:lang w:val="en-CA"/>
        </w:rPr>
        <w:t>ANNEX 1</w:t>
        <w:tab/>
        <w:t>74</w:t>
      </w:r>
    </w:p>
    <w:p>
      <w:pPr>
        <w:pStyle w:val="TOC1"/>
        <w:tabs>
          <w:tab w:val="clear" w:pos="624"/>
          <w:tab w:val="left" w:pos="510" w:leader="none"/>
          <w:tab w:val="right" w:pos="8494" w:leader="dot"/>
        </w:tabs>
        <w:rPr>
          <w:lang w:val="en-CA"/>
        </w:rPr>
      </w:pPr>
      <w:r>
        <w:rPr>
          <w:lang w:val="en-CA"/>
        </w:rPr>
        <w:t>ANNEX 2</w:t>
        <w:tab/>
        <w:t>75</w:t>
      </w:r>
    </w:p>
    <w:p>
      <w:pPr>
        <w:sectPr>
          <w:headerReference w:type="default" r:id="rId3"/>
          <w:footerReference w:type="default" r:id="rId4"/>
          <w:footerReference w:type="first" r:id="rId5"/>
          <w:type w:val="nextPage"/>
          <w:pgSz w:w="11906" w:h="16838"/>
          <w:pgMar w:left="1701" w:right="1701" w:gutter="0" w:header="720" w:top="1440" w:footer="283" w:bottom="1134"/>
          <w:pgNumType w:start="1" w:fmt="decimal"/>
          <w:formProt w:val="false"/>
          <w:textDirection w:val="lrTb"/>
          <w:docGrid w:type="default" w:linePitch="360" w:charSpace="0"/>
        </w:sectPr>
        <w:pStyle w:val="TOC1"/>
        <w:tabs>
          <w:tab w:val="clear" w:pos="624"/>
          <w:tab w:val="left" w:pos="510" w:leader="none"/>
          <w:tab w:val="right" w:pos="8494" w:leader="dot"/>
        </w:tabs>
        <w:rPr>
          <w:lang w:val="en-CA"/>
        </w:rPr>
      </w:pPr>
      <w:r>
        <w:rPr>
          <w:lang w:val="en-CA"/>
        </w:rPr>
        <w:t>ANNEX 3</w:t>
        <w:tab/>
        <w:t>80</w:t>
      </w:r>
    </w:p>
    <w:p>
      <w:pPr>
        <w:pStyle w:val="RightTab"/>
        <w:ind w:start="360" w:end="0"/>
        <w:rPr>
          <w:kern w:val="2"/>
        </w:rPr>
      </w:pPr>
      <w:r>
        <w:rPr>
          <w:kern w:val="2"/>
        </w:rPr>
        <w:tab/>
        <w:t>6 December 1999</w:t>
      </w:r>
    </w:p>
    <w:p>
      <w:pPr>
        <w:pStyle w:val="Normal"/>
        <w:ind w:start="360" w:end="0"/>
        <w:rPr>
          <w:kern w:val="2"/>
        </w:rPr>
      </w:pPr>
      <w:r>
        <w:rPr>
          <w:kern w:val="2"/>
        </w:rPr>
      </w:r>
    </w:p>
    <w:p>
      <w:pPr>
        <w:pStyle w:val="COVERPAGE"/>
        <w:ind w:start="360" w:end="0"/>
        <w:jc w:val="center"/>
        <w:rPr>
          <w:b/>
          <w:caps/>
        </w:rPr>
      </w:pPr>
      <w:r>
        <w:rPr>
          <w:b/>
          <w:caps/>
        </w:rPr>
        <w:t>ENRON COMMUNICATIONS, INC.</w:t>
      </w:r>
    </w:p>
    <w:p>
      <w:pPr>
        <w:pStyle w:val="COVERPAGE"/>
        <w:ind w:start="360" w:end="0"/>
        <w:jc w:val="center"/>
        <w:rPr>
          <w:b/>
          <w:caps/>
        </w:rPr>
      </w:pPr>
      <w:r>
        <w:rPr>
          <w:b/>
          <w:caps/>
        </w:rPr>
      </w:r>
    </w:p>
    <w:p>
      <w:pPr>
        <w:pStyle w:val="COVERPAGE"/>
        <w:ind w:start="360" w:end="0"/>
        <w:jc w:val="center"/>
        <w:rPr>
          <w:b/>
          <w:caps/>
        </w:rPr>
      </w:pPr>
      <w:r>
        <w:rPr>
          <w:b/>
          <w:caps/>
        </w:rPr>
        <w:t>SURVEY OF THE LAWS OF ENGLAND and WALES</w:t>
      </w:r>
    </w:p>
    <w:p>
      <w:pPr>
        <w:pStyle w:val="Normal"/>
        <w:ind w:start="360" w:end="0"/>
        <w:jc w:val="center"/>
        <w:rPr>
          <w:kern w:val="2"/>
        </w:rPr>
      </w:pPr>
      <w:r>
        <w:rPr>
          <w:b/>
          <w:caps/>
        </w:rPr>
        <w:t>REGARDING TRADING OF BANDWIDTH AND ESTABLISHMENT OF BANDWIDTH TRADING POINTS</w:t>
      </w:r>
    </w:p>
    <w:p>
      <w:pPr>
        <w:pStyle w:val="Heading1"/>
        <w:ind w:hanging="0" w:start="0"/>
        <w:rPr>
          <w:kern w:val="2"/>
        </w:rPr>
      </w:pPr>
      <w:bookmarkStart w:id="1" w:name="__RefHeading___Toc469131276"/>
      <w:bookmarkEnd w:id="1"/>
      <w:r>
        <w:rPr>
          <w:kern w:val="2"/>
        </w:rPr>
        <w:t>INTRODUCTION</w:t>
      </w:r>
    </w:p>
    <w:p>
      <w:pPr>
        <w:pStyle w:val="BodyText"/>
        <w:rPr/>
      </w:pPr>
      <w:r>
        <w:rPr/>
        <w:t>Enron Communications, Inc. ("</w:t>
      </w:r>
      <w:r>
        <w:rPr>
          <w:b/>
        </w:rPr>
        <w:t>ECI</w:t>
      </w:r>
      <w:r>
        <w:rPr/>
        <w:t>") has asked that we provide responses to the questions set out in the Survey of the Laws of England and Wales regarding Trading of Bandwidth and Establishment of Bandwidth Pooling Points (the "</w:t>
      </w:r>
      <w:r>
        <w:rPr>
          <w:b/>
        </w:rPr>
        <w:t>Survey Questionnaire</w:t>
      </w:r>
      <w:r>
        <w:rPr/>
        <w:t>", attached as Annex 1 to this Report), in connection with the establishment of a forward commodity market for the trading of telecommunications bandwidth.</w:t>
      </w:r>
    </w:p>
    <w:p>
      <w:pPr>
        <w:pStyle w:val="Heading1"/>
        <w:ind w:hanging="0" w:start="0"/>
        <w:rPr>
          <w:kern w:val="2"/>
        </w:rPr>
      </w:pPr>
      <w:bookmarkStart w:id="2" w:name="__RefHeading___Toc469131277"/>
      <w:bookmarkEnd w:id="2"/>
      <w:r>
        <w:rPr>
          <w:kern w:val="2"/>
        </w:rPr>
        <w:t>SCOPE OF SURVEY</w:t>
      </w:r>
    </w:p>
    <w:p>
      <w:pPr>
        <w:pStyle w:val="Heading2"/>
        <w:ind w:hanging="0" w:start="0"/>
        <w:rPr/>
      </w:pPr>
      <w:bookmarkStart w:id="3" w:name="__RefHeading___Toc469131278"/>
      <w:r>
        <w:rPr/>
        <w:t>Introduction</w:t>
      </w:r>
      <w:bookmarkEnd w:id="3"/>
      <w:r>
        <w:rPr/>
        <w:t xml:space="preserve"> </w:t>
      </w:r>
    </w:p>
    <w:p>
      <w:pPr>
        <w:pStyle w:val="BodyText"/>
        <w:rPr>
          <w:kern w:val="2"/>
        </w:rPr>
      </w:pPr>
      <w:r>
        <w:rPr>
          <w:kern w:val="2"/>
        </w:rPr>
        <w:t xml:space="preserve">We have conducted the survey of the laws of England and Wales in accordance with the Survey Questionnaire, and on the basis of our review of the documents and information provided by ECI.  This Report sets out our responses to the Survey Questionnaire. </w:t>
      </w:r>
    </w:p>
    <w:p>
      <w:pPr>
        <w:pStyle w:val="BodyText"/>
        <w:rPr>
          <w:kern w:val="2"/>
        </w:rPr>
      </w:pPr>
      <w:r>
        <w:rPr>
          <w:kern w:val="2"/>
        </w:rPr>
        <w:t xml:space="preserve">This Report should be used by ECI solely for its use in connection with the establishment of a market for trading telecommunications bandwidth and ECI should not rely on it for any other purpose.  </w:t>
      </w:r>
    </w:p>
    <w:p>
      <w:pPr>
        <w:pStyle w:val="Heading2"/>
        <w:ind w:hanging="0" w:start="0"/>
        <w:rPr>
          <w:kern w:val="2"/>
        </w:rPr>
      </w:pPr>
      <w:bookmarkStart w:id="4" w:name="__RefHeading___Toc469131279"/>
      <w:bookmarkEnd w:id="4"/>
      <w:r>
        <w:rPr>
          <w:kern w:val="2"/>
        </w:rPr>
        <w:t>Extent of survey</w:t>
      </w:r>
    </w:p>
    <w:p>
      <w:pPr>
        <w:pStyle w:val="BodyText"/>
        <w:rPr>
          <w:kern w:val="2"/>
        </w:rPr>
      </w:pPr>
      <w:r>
        <w:rPr>
          <w:kern w:val="2"/>
        </w:rPr>
        <w:t>We have discussed with you the extent of the legal survey and it has been agreed that the survey should be conducted by Clifford Chance with the following guidelines in mind:</w:t>
      </w:r>
    </w:p>
    <w:p>
      <w:pPr>
        <w:pStyle w:val="ListAlpha2"/>
        <w:numPr>
          <w:ilvl w:val="1"/>
          <w:numId w:val="15"/>
        </w:numPr>
        <w:ind w:hanging="0" w:start="0"/>
        <w:rPr>
          <w:kern w:val="2"/>
        </w:rPr>
      </w:pPr>
      <w:r>
        <w:rPr>
          <w:kern w:val="2"/>
        </w:rPr>
        <w:t>You do not wish us to provide responses to the questions in the Survey Questionnaire on taxation, nor to consider taxation, accounting or other financial aspects of the survey questions.</w:t>
      </w:r>
    </w:p>
    <w:p>
      <w:pPr>
        <w:pStyle w:val="ListAlpha2"/>
        <w:numPr>
          <w:ilvl w:val="1"/>
          <w:numId w:val="15"/>
        </w:numPr>
        <w:ind w:hanging="0" w:start="0"/>
        <w:rPr>
          <w:kern w:val="2"/>
        </w:rPr>
      </w:pPr>
      <w:r>
        <w:rPr>
          <w:kern w:val="2"/>
        </w:rPr>
        <w:t>You do not wish us to advise on any financial or security law regulatory aspects, except in so far as the trading of Bandwidth may be regarded as constituting the operation of a financial market or exchange which is subject to financial market supervision, and where such supervision may impinge upon the implementation of the Proposal in England and Wales.  However, while we have not examined any financial services issues arising out of the Survey Questionnaire other than as so described, we have for your assistance made passing reference to areas where such issues may arise.</w:t>
      </w:r>
    </w:p>
    <w:p>
      <w:pPr>
        <w:pStyle w:val="BodyText"/>
        <w:rPr>
          <w:kern w:val="2"/>
        </w:rPr>
      </w:pPr>
      <w:r>
        <w:rPr>
          <w:kern w:val="2"/>
        </w:rPr>
        <w:t>The survey responses have been prepared on the basis of the information contained in the Documents, and we have assumed that the Documents contain all factual information which has a bearing on the questions in the Survey Questionnaire.</w:t>
      </w:r>
    </w:p>
    <w:p>
      <w:pPr>
        <w:pStyle w:val="BodyText"/>
        <w:rPr>
          <w:kern w:val="2"/>
        </w:rPr>
      </w:pPr>
      <w:r>
        <w:rPr>
          <w:kern w:val="2"/>
        </w:rPr>
        <w:t xml:space="preserve">The Documents include materials which are not governed by English law.  We have not advised on the laws of any jurisdiction in this Report other than those of England and Wales which are in effect at the date of this Report.  </w:t>
      </w:r>
    </w:p>
    <w:p>
      <w:pPr>
        <w:pStyle w:val="Heading2"/>
        <w:ind w:hanging="0" w:start="0"/>
        <w:rPr/>
      </w:pPr>
      <w:bookmarkStart w:id="5" w:name="__RefHeading___Toc469131280"/>
      <w:bookmarkEnd w:id="5"/>
      <w:r>
        <w:rPr/>
        <w:t>Interpretation</w:t>
      </w:r>
    </w:p>
    <w:p>
      <w:pPr>
        <w:pStyle w:val="Heading3"/>
        <w:ind w:hanging="0" w:start="0"/>
        <w:rPr>
          <w:b w:val="false"/>
          <w:i w:val="false"/>
          <w:i w:val="false"/>
          <w:kern w:val="2"/>
        </w:rPr>
      </w:pPr>
      <w:r>
        <w:rPr>
          <w:rFonts w:eastAsia="CG Times"/>
          <w:kern w:val="2"/>
        </w:rPr>
        <w:t xml:space="preserve">  </w:t>
      </w:r>
      <w:r>
        <w:rPr>
          <w:b w:val="false"/>
          <w:i w:val="false"/>
          <w:kern w:val="2"/>
        </w:rPr>
        <w:t>In this Report, the following words and expressions have the meanings set out below (and as set out in the Survey Questionnaire):</w:t>
      </w:r>
    </w:p>
    <w:p>
      <w:pPr>
        <w:pStyle w:val="BodyText2"/>
        <w:rPr/>
      </w:pPr>
      <w:r>
        <w:rPr/>
        <w:t>"</w:t>
      </w:r>
      <w:r>
        <w:rPr>
          <w:b/>
        </w:rPr>
        <w:t>Bandwidth</w:t>
      </w:r>
      <w:r>
        <w:rPr/>
        <w:t xml:space="preserve">" means the capacity, measured in Mbps (million bits per second), of an electronically continuous path (e.g., by way of fibre optic or other forms of circuits) over a Segment, which path is designed for the electrical transfer of a signal, message or other form of data from and between such locations without loss of information content due to attenuation, distortion or noise. </w:t>
      </w:r>
    </w:p>
    <w:p>
      <w:pPr>
        <w:pStyle w:val="BodyText2"/>
        <w:rPr/>
      </w:pPr>
      <w:r>
        <w:rPr/>
        <w:t>Please note, though, that from the descriptions in the Documents we have, in addition, assumed that the Bandwidth will be provided as an unswitched point-to-point link across some form of terrestrial or submarine cable or fibre, and not, for example, by way of satellite transponder or microwave fixed link.  We have, nonetheless, highlighted some additional telecommunications regulatory issues that might arise if Bandwidth is provided using radio frequencies rather than via fixed line systems.</w:t>
      </w:r>
    </w:p>
    <w:p>
      <w:pPr>
        <w:pStyle w:val="BodyText2"/>
        <w:rPr/>
      </w:pPr>
      <w:r>
        <w:rPr/>
        <w:t>"</w:t>
      </w:r>
      <w:r>
        <w:rPr>
          <w:b/>
        </w:rPr>
        <w:t>BTO</w:t>
      </w:r>
      <w:r>
        <w:rPr/>
        <w:t>" means the Bandwidth Trading Organisation.</w:t>
      </w:r>
    </w:p>
    <w:p>
      <w:pPr>
        <w:pStyle w:val="BodyText2"/>
        <w:rPr/>
      </w:pPr>
      <w:r>
        <w:rPr/>
        <w:t>"</w:t>
      </w:r>
      <w:r>
        <w:rPr>
          <w:b/>
        </w:rPr>
        <w:t>Documents</w:t>
      </w:r>
      <w:r>
        <w:rPr/>
        <w:t>" means the Survey Questionnaire (including the annexed Master Agreement and GTCs) and the paper copy and CD-Rom version of the Enron "Market Starter Kit".</w:t>
      </w:r>
    </w:p>
    <w:p>
      <w:pPr>
        <w:pStyle w:val="BodyText2"/>
        <w:rPr/>
      </w:pPr>
      <w:r>
        <w:rPr/>
        <w:t>"</w:t>
      </w:r>
      <w:r>
        <w:rPr>
          <w:b/>
        </w:rPr>
        <w:t>GTCs</w:t>
      </w:r>
      <w:r>
        <w:rPr/>
        <w:t>" means the General Terms and Conditions for Bandwidth Trading appended to the Survey Questionnaire.</w:t>
      </w:r>
    </w:p>
    <w:p>
      <w:pPr>
        <w:pStyle w:val="BodyText2"/>
        <w:rPr/>
      </w:pPr>
      <w:r>
        <w:rPr/>
        <w:t>"</w:t>
      </w:r>
      <w:r>
        <w:rPr>
          <w:b/>
        </w:rPr>
        <w:t>Master Agreement</w:t>
      </w:r>
      <w:r>
        <w:rPr/>
        <w:t>" means the Master Agreement for Bandwidth Trading appended to the Survey Questionnaire.</w:t>
      </w:r>
    </w:p>
    <w:p>
      <w:pPr>
        <w:pStyle w:val="BodyText2"/>
        <w:rPr/>
      </w:pPr>
      <w:r>
        <w:rPr/>
        <w:t>"</w:t>
      </w:r>
      <w:r>
        <w:rPr>
          <w:b/>
        </w:rPr>
        <w:t>Pooling Point</w:t>
      </w:r>
      <w:r>
        <w:rPr/>
        <w:t>" means a type of telecommunications equipment (and all hardware and software ancillary thereto) either owned and/or operated and/or administered by an entity or entities (collectively termed a "</w:t>
      </w:r>
      <w:r>
        <w:rPr>
          <w:b/>
        </w:rPr>
        <w:t>Pooling Point Developer</w:t>
      </w:r>
      <w:r>
        <w:rPr/>
        <w:t>"), which provides for the interconnection between various telecommunications networks, equipment, facilities or circuits (which themselves are owned, leased or operated independently of the Pooling Point) and which also provides, inter alia, for the routing of data and of other information in electronic form between such telecommunications networks, equipment, facilities or circuits.</w:t>
      </w:r>
    </w:p>
    <w:p>
      <w:pPr>
        <w:pStyle w:val="BodyText2"/>
        <w:rPr/>
      </w:pPr>
      <w:r>
        <w:rPr/>
        <w:t>"</w:t>
      </w:r>
      <w:r>
        <w:rPr>
          <w:b/>
        </w:rPr>
        <w:t>Proposal</w:t>
      </w:r>
      <w:r>
        <w:rPr/>
        <w:t>" means the Transactions and establishment of Pooling Points, as described in the Documents.</w:t>
      </w:r>
    </w:p>
    <w:p>
      <w:pPr>
        <w:pStyle w:val="BodyText2"/>
        <w:rPr/>
      </w:pPr>
      <w:r>
        <w:rPr/>
        <w:t>"</w:t>
      </w:r>
      <w:r>
        <w:rPr>
          <w:b/>
        </w:rPr>
        <w:t>Segment</w:t>
      </w:r>
      <w:r>
        <w:rPr/>
        <w:t>" means the electronically continuous path between two geographical reference points.</w:t>
      </w:r>
    </w:p>
    <w:p>
      <w:pPr>
        <w:pStyle w:val="BodyText2"/>
        <w:rPr/>
      </w:pPr>
      <w:r>
        <w:rPr/>
        <w:t>"</w:t>
      </w:r>
      <w:r>
        <w:rPr>
          <w:b/>
        </w:rPr>
        <w:t>Telecommunications Act</w:t>
      </w:r>
      <w:r>
        <w:rPr/>
        <w:t xml:space="preserve">" means the Telecommunications Act 1984; </w:t>
      </w:r>
    </w:p>
    <w:p>
      <w:pPr>
        <w:pStyle w:val="BodyText2"/>
        <w:rPr/>
      </w:pPr>
      <w:r>
        <w:rPr/>
        <w:t>"</w:t>
      </w:r>
      <w:r>
        <w:rPr>
          <w:b/>
        </w:rPr>
        <w:t>Transaction</w:t>
      </w:r>
      <w:r>
        <w:rPr/>
        <w:t>" means a transaction between ECI and a third party (the "</w:t>
      </w:r>
      <w:r>
        <w:rPr>
          <w:b/>
        </w:rPr>
        <w:t>Local Counterparty</w:t>
      </w:r>
      <w:r>
        <w:rPr/>
        <w:t>") for the sale or purchase of a specified quantity of Bandwidth over a Segment for a specified duration of time for physical delivery in return for monetary consideration.</w:t>
      </w:r>
    </w:p>
    <w:p>
      <w:pPr>
        <w:pStyle w:val="Heading3"/>
        <w:ind w:hanging="0" w:start="0"/>
        <w:rPr>
          <w:b w:val="false"/>
          <w:i w:val="false"/>
          <w:i w:val="false"/>
        </w:rPr>
      </w:pPr>
      <w:r>
        <w:rPr>
          <w:rFonts w:eastAsia="CG Times"/>
          <w:b w:val="false"/>
          <w:i w:val="false"/>
        </w:rPr>
        <w:t xml:space="preserve">  </w:t>
      </w:r>
      <w:r>
        <w:rPr>
          <w:b w:val="false"/>
          <w:i w:val="false"/>
        </w:rPr>
        <w:t>Terms defined in the Master Agreement and/or GTCs have the same meanings (where capitalised) in this Report.</w:t>
      </w:r>
    </w:p>
    <w:p>
      <w:pPr>
        <w:pStyle w:val="Heading1"/>
        <w:ind w:hanging="0" w:start="0"/>
        <w:rPr>
          <w:kern w:val="2"/>
        </w:rPr>
      </w:pPr>
      <w:bookmarkStart w:id="6" w:name="__RefHeading___Toc469131281"/>
      <w:bookmarkEnd w:id="6"/>
      <w:r>
        <w:rPr>
          <w:kern w:val="2"/>
        </w:rPr>
        <w:t>EXECUTIVE SUMMARY</w:t>
      </w:r>
    </w:p>
    <w:p>
      <w:pPr>
        <w:pStyle w:val="BodyText"/>
        <w:rPr>
          <w:kern w:val="2"/>
        </w:rPr>
      </w:pPr>
      <w:r>
        <w:rPr>
          <w:kern w:val="2"/>
        </w:rPr>
        <w:t>This executive summary highlights those issues identified by the legal survey which we consider may be of particular interest to ECI, having regard to the discussions which we have had with you regarding the extent of the survey, and the stated three key objectives of the Survey Questionnaire (being to obtain advice on: the telecommunications regulatory regime, whether trading Bandwidth constitutes a financial market or exchange and the possible impact of competition law).</w:t>
      </w:r>
    </w:p>
    <w:p>
      <w:pPr>
        <w:pStyle w:val="Heading2"/>
        <w:ind w:hanging="0" w:start="0"/>
        <w:rPr>
          <w:kern w:val="2"/>
        </w:rPr>
      </w:pPr>
      <w:bookmarkStart w:id="7" w:name="__RefHeading___Toc469131282"/>
      <w:bookmarkEnd w:id="7"/>
      <w:r>
        <w:rPr>
          <w:kern w:val="2"/>
        </w:rPr>
        <w:t>Telecommunications Licensing</w:t>
      </w:r>
    </w:p>
    <w:p>
      <w:pPr>
        <w:pStyle w:val="Normal"/>
        <w:ind w:start="624" w:end="0"/>
        <w:rPr/>
      </w:pPr>
      <w:r>
        <w:rPr/>
        <w:t xml:space="preserve">The most important aspect of the telecommunications regulatory regime in relation to the Proposal is arguably the need to obtain a telecommunications licence.  Under the Telecommunications Act, a person only requires a licence for the "running" of a "telecommunications  system". </w:t>
      </w:r>
    </w:p>
    <w:p>
      <w:pPr>
        <w:pStyle w:val="Normal"/>
        <w:ind w:start="624" w:end="0"/>
        <w:rPr/>
      </w:pPr>
      <w:r>
        <w:rPr/>
        <w:t xml:space="preserve">If, under the Transactions, ECI or the Local Counterparty is simply reselling Bandwidth across a telecommunications network run by a third party (i.e. ECI and the Local Counterparty are mere traders or system-less providers of network services), this test would not in our view be satisfied.  </w:t>
      </w:r>
    </w:p>
    <w:p>
      <w:pPr>
        <w:pStyle w:val="Normal"/>
        <w:ind w:start="624" w:end="0"/>
        <w:rPr/>
      </w:pPr>
      <w:r>
        <w:rPr/>
        <w:t>If, however, the Transactions concern Bandwidth across a Segment which passes over a telecommunications network or circuit run by ECI or the Local Counterparty in the UK, then that party would need to hold a Telecommunications Act licence in order to run such system (and thereby deliver the Bandwidth across the system in accordance with the Transaction documents).</w:t>
      </w:r>
    </w:p>
    <w:p>
      <w:pPr>
        <w:pStyle w:val="Normal"/>
        <w:ind w:start="624" w:end="0"/>
        <w:rPr/>
      </w:pPr>
      <w:r>
        <w:rPr/>
        <w:t>The Pooling Point is likely to constitute a "telecommunications system" for the purposes of the Telecommunications Act.  Therefore "running" the Pooling Point will probably require a telecommunications licence.  Furthermore, only those telecommunications systems and apparatus that are authorised in such licence may be connected to the Pooling Point.</w:t>
      </w:r>
    </w:p>
    <w:p>
      <w:pPr>
        <w:pStyle w:val="Normal"/>
        <w:ind w:start="624" w:end="0"/>
        <w:rPr/>
      </w:pPr>
      <w:r>
        <w:rPr/>
        <w:t>It is unclear, however, who "runs" the Pooling Point: it may be the Pooling Point Developer, but if the Pooling Point Developer only acts on and in accordance with the instructions of a third party, then that third party would be likely to "run" the system for the purposes of the Telecommunications Act.  It is only the person "running" the system who requires a telecommunications licence.</w:t>
      </w:r>
    </w:p>
    <w:p>
      <w:pPr>
        <w:pStyle w:val="Heading2"/>
        <w:ind w:hanging="0" w:start="0"/>
        <w:rPr>
          <w:b w:val="false"/>
        </w:rPr>
      </w:pPr>
      <w:bookmarkStart w:id="8" w:name="__RefHeading___Toc469131283"/>
      <w:bookmarkEnd w:id="8"/>
      <w:r>
        <w:rPr/>
        <w:t>Financial Market or Exchange</w:t>
      </w:r>
    </w:p>
    <w:p>
      <w:pPr>
        <w:pStyle w:val="Normal"/>
        <w:ind w:start="624" w:end="0"/>
        <w:rPr/>
      </w:pPr>
      <w:r>
        <w:rPr/>
        <w:t xml:space="preserve">The key issue raised by the Survey Questionnaire is whether the trading of Bandwidth would constitute a financial market or exchange.  The question of what constitutes a financial market or exchange is not clear under English law.  The Financial Services Act 1986, however, contains procedures for becoming a "Recognised Investment Exchange".  </w:t>
      </w:r>
    </w:p>
    <w:p>
      <w:pPr>
        <w:pStyle w:val="Normal"/>
        <w:ind w:start="624" w:end="0"/>
        <w:rPr/>
      </w:pPr>
      <w:r>
        <w:rPr/>
        <w:t xml:space="preserve">Although there is no requirement for Bandwidth trading </w:t>
      </w:r>
      <w:r>
        <w:rPr>
          <w:i/>
        </w:rPr>
        <w:t>per se</w:t>
      </w:r>
      <w:r>
        <w:rPr/>
        <w:t xml:space="preserve"> to be carried out by entities with "Recognised Investment Exchange" status, it is likely that entities trading certain types of financial contracts will need to be authorised to conduct "investment business", unless exempt.  One possible ground of exemption would be that the relevant entity has obtained "Recognised Investment Exchange" status.</w:t>
      </w:r>
    </w:p>
    <w:p>
      <w:pPr>
        <w:pStyle w:val="BodyText"/>
        <w:rPr/>
      </w:pPr>
      <w:r>
        <w:rPr/>
        <w:t>Other financial services regulations are likely to be relevant, e.g. in relation to advertising and marketing (which you have asked us not to consider for the purposes of this Report).</w:t>
      </w:r>
    </w:p>
    <w:p>
      <w:pPr>
        <w:pStyle w:val="Heading2"/>
        <w:ind w:hanging="0" w:start="0"/>
        <w:rPr/>
      </w:pPr>
      <w:bookmarkStart w:id="9" w:name="__RefHeading___Toc469131284"/>
      <w:bookmarkEnd w:id="9"/>
      <w:r>
        <w:rPr/>
        <w:t>Competition Law</w:t>
      </w:r>
    </w:p>
    <w:p>
      <w:pPr>
        <w:pStyle w:val="BodyText"/>
        <w:rPr/>
      </w:pPr>
      <w:r>
        <w:rPr/>
        <w:t xml:space="preserve">You have also highlighted competition law as a key concern.  Prohibitions on anti-competitive concerted practices and abuses of a dominant position are contained in Articles 81 and 82 of the EC Treaty, Chapters I and II of the Competition Act 1998 and also in telecommunications licences granted under the Telecommunications Act. Competition issues relating to these prohibitions could arise in relation to BTO's control over Bandwidth trading, depending on the operation in practice of the BTO and the Bandwidth trading market, and on the terms upon which participants have access to that market. </w:t>
      </w:r>
    </w:p>
    <w:p>
      <w:pPr>
        <w:pStyle w:val="BodyText"/>
        <w:rPr/>
      </w:pPr>
      <w:r>
        <w:rPr/>
        <w:t>In respect of the Proposal, merger control issues may also arise in respect of the formation of the BTO (depending on participants' turnover).</w:t>
      </w:r>
    </w:p>
    <w:p>
      <w:pPr>
        <w:pStyle w:val="Heading1"/>
        <w:ind w:hanging="0" w:start="0"/>
        <w:rPr>
          <w:kern w:val="2"/>
        </w:rPr>
      </w:pPr>
      <w:bookmarkStart w:id="10" w:name="__RefHeading___Toc469131285"/>
      <w:bookmarkEnd w:id="10"/>
      <w:r>
        <w:rPr>
          <w:kern w:val="2"/>
        </w:rPr>
        <w:t>SECTION 1 - BANDWIDTH TRADING TRANSACTIONS</w:t>
      </w:r>
    </w:p>
    <w:p>
      <w:pPr>
        <w:pStyle w:val="Heading2"/>
        <w:keepNext w:val="true"/>
        <w:ind w:hanging="0" w:start="0"/>
        <w:rPr/>
      </w:pPr>
      <w:bookmarkStart w:id="11" w:name="__RefHeading___Toc469131286"/>
      <w:bookmarkEnd w:id="11"/>
      <w:r>
        <w:rPr/>
        <w:t>Assumptions</w:t>
      </w:r>
    </w:p>
    <w:p>
      <w:pPr>
        <w:pStyle w:val="BodyText"/>
        <w:keepNext w:val="true"/>
        <w:rPr>
          <w:kern w:val="2"/>
        </w:rPr>
      </w:pPr>
      <w:r>
        <w:rPr>
          <w:kern w:val="2"/>
        </w:rPr>
        <w:t>You have asked us to assume for the purposes of this section that:</w:t>
      </w:r>
    </w:p>
    <w:p>
      <w:pPr>
        <w:pStyle w:val="ListAlpha2"/>
        <w:numPr>
          <w:ilvl w:val="1"/>
          <w:numId w:val="28"/>
        </w:numPr>
        <w:ind w:hanging="652" w:start="1276" w:end="0"/>
        <w:rPr/>
      </w:pPr>
      <w:r>
        <w:rPr/>
        <w:t>each Local Counterparty is either incorporated, or has a branch or other presence, in England or Wales;</w:t>
      </w:r>
    </w:p>
    <w:p>
      <w:pPr>
        <w:pStyle w:val="ListAlpha2"/>
        <w:numPr>
          <w:ilvl w:val="1"/>
          <w:numId w:val="15"/>
        </w:numPr>
        <w:ind w:hanging="652" w:start="1276" w:end="0"/>
        <w:rPr/>
      </w:pPr>
      <w:r>
        <w:rPr/>
        <w:t>ECI is not incorporated in England and Wales and does not have a branch or other presence in England or Wales (except that it might, possibly, have trading personnel in London);</w:t>
      </w:r>
    </w:p>
    <w:p>
      <w:pPr>
        <w:pStyle w:val="ListAlpha2"/>
        <w:numPr>
          <w:ilvl w:val="1"/>
          <w:numId w:val="15"/>
        </w:numPr>
        <w:ind w:hanging="652" w:start="1276" w:end="0"/>
        <w:rPr/>
      </w:pPr>
      <w:r>
        <w:rPr/>
        <w:t>either or both of ECI or a Local Counterparty may or may not be owners or operators of any telecommunications networks, equipment, facilities or circuits or providers of telecommunications services located in England or Wales or elsewhere;</w:t>
      </w:r>
    </w:p>
    <w:p>
      <w:pPr>
        <w:pStyle w:val="ListAlpha2"/>
        <w:numPr>
          <w:ilvl w:val="1"/>
          <w:numId w:val="15"/>
        </w:numPr>
        <w:ind w:hanging="652" w:start="1276" w:end="0"/>
        <w:rPr/>
      </w:pPr>
      <w:r>
        <w:rPr/>
        <w:t>occasionally representatives of ECI may visit potential or actual Local Counterparties in England and Wales with a view to marketing the concept of the Transactions to such Local Counterparties and with a view to soliciting such Local Counterparties to enter into the Transactions;</w:t>
      </w:r>
    </w:p>
    <w:p>
      <w:pPr>
        <w:pStyle w:val="ListAlpha2"/>
        <w:numPr>
          <w:ilvl w:val="1"/>
          <w:numId w:val="15"/>
        </w:numPr>
        <w:ind w:hanging="652" w:start="1276" w:end="0"/>
        <w:rPr/>
      </w:pPr>
      <w:r>
        <w:rPr/>
        <w:t xml:space="preserve">the Transactions are in respect of a Segment which is between specific addresses each of which is located </w:t>
      </w:r>
      <w:r>
        <w:rPr>
          <w:i/>
        </w:rPr>
        <w:t>outside</w:t>
      </w:r>
      <w:r>
        <w:rPr/>
        <w:t xml:space="preserve"> of England and Wales; and</w:t>
      </w:r>
    </w:p>
    <w:p>
      <w:pPr>
        <w:pStyle w:val="ListAlpha2"/>
        <w:numPr>
          <w:ilvl w:val="1"/>
          <w:numId w:val="15"/>
        </w:numPr>
        <w:ind w:hanging="652" w:start="1276" w:end="0"/>
        <w:rPr/>
      </w:pPr>
      <w:r>
        <w:rPr/>
        <w:t>the Local Counterparties may be corporations or partnerships, utilities, municipalities, government-owned entitles or financial institutions, but they will not be individuals.</w:t>
      </w:r>
    </w:p>
    <w:p>
      <w:pPr>
        <w:pStyle w:val="Heading2"/>
        <w:ind w:hanging="0" w:start="0"/>
        <w:rPr/>
      </w:pPr>
      <w:bookmarkStart w:id="12" w:name="__RefHeading___Toc469131287"/>
      <w:bookmarkEnd w:id="12"/>
      <w:r>
        <w:rPr/>
        <w:t xml:space="preserve">Section 1A:  </w:t>
        <w:tab/>
        <w:t>Licensing and Organisation</w:t>
      </w:r>
    </w:p>
    <w:p>
      <w:pPr>
        <w:pStyle w:val="BodyText"/>
        <w:keepNext w:val="true"/>
        <w:rPr/>
      </w:pPr>
      <w:r>
        <w:rPr/>
        <w:t>As you have highlighted telecommunications regulation as a key area of concern and interest, we have included in the Report a short section setting out a brief overview on the telecommunications regulatory regime in the EU and UK.</w:t>
      </w:r>
    </w:p>
    <w:p>
      <w:pPr>
        <w:pStyle w:val="BodyText"/>
        <w:keepNext w:val="true"/>
        <w:rPr>
          <w:b/>
          <w:i/>
          <w:i/>
        </w:rPr>
      </w:pPr>
      <w:r>
        <w:rPr>
          <w:b/>
          <w:i/>
        </w:rPr>
        <w:t>Overview of EU and UK telecommunications regulation</w:t>
      </w:r>
    </w:p>
    <w:p>
      <w:pPr>
        <w:pStyle w:val="BodyText"/>
        <w:rPr/>
      </w:pPr>
      <w:r>
        <w:rPr/>
        <w:t>In Europe, the telecommunications sector is regulated both by EU and national legislation and by national telecommunications regulatory authorities.  Recent EU directives have required Member States to liberalise telecommunications markets (although in the UK telecommunications markets were in fact liberalised well in advance of EU liberalisation requirements) and to harmonise the principles and conditions for access to and use of such markets.  National regulatory authorities are responsible for regulating the installation and operation of telecommunications networks and the provision of telecommunications services in each Member State.</w:t>
      </w:r>
    </w:p>
    <w:p>
      <w:pPr>
        <w:pStyle w:val="BodyText"/>
        <w:rPr/>
      </w:pPr>
      <w:r>
        <w:rPr/>
        <w:t>In the UK, the Post Office prior to 1981 had a virtual monopoly over the provision of telecommunications services and apparatus.  The British Telecommunications Act 1981 established British Telecommunications as a public corporation and transferred to it the exclusive right to run telecommunications systems in the UK, subject to the power of the Secretary of State for Trade and Industry to license other operators.  In 1982, the Secretary of State so licensed Mercury Communications Limited to provide basic switched telecommunications services and (subsequently) international telecommunications services.  In 1983, the Government stated it did not intend to license any other operators to provide basic telecommunication services for seven years, which statement became known as the "Duopoly Policy".  Since 1990, the Government has progressively made available licences to provide different types of telecommunications services and to operate different types of telecommunications systems.  All telecommunications markets in the UK are now liberalised.</w:t>
      </w:r>
    </w:p>
    <w:p>
      <w:pPr>
        <w:pStyle w:val="BodyText"/>
        <w:rPr/>
      </w:pPr>
      <w:r>
        <w:rPr/>
        <w:t>The primary legislation now regulating the telecommunications sector in the UK is the Telecommunications Act,</w:t>
      </w:r>
      <w:r>
        <w:rPr>
          <w:rStyle w:val="FootnoteCharacters"/>
          <w:rStyle w:val="FootnoteReference"/>
        </w:rPr>
        <w:footnoteReference w:id="2"/>
      </w:r>
      <w:r>
        <w:rPr/>
        <w:t xml:space="preserve"> which formally abolished British Telecommunications' exclusive privilege to run telecommunications systems, transferred British Telecommunications to British Telecommunications plc ("</w:t>
      </w:r>
      <w:r>
        <w:rPr>
          <w:b/>
        </w:rPr>
        <w:t>BT</w:t>
      </w:r>
      <w:r>
        <w:rPr/>
        <w:t>") and established a new regulatory framework for the telecommunications sector in the UK.</w:t>
      </w:r>
    </w:p>
    <w:p>
      <w:pPr>
        <w:pStyle w:val="BodyText"/>
        <w:ind w:hanging="652" w:start="1276" w:end="0"/>
        <w:rPr/>
      </w:pPr>
      <w:r>
        <w:rPr>
          <w:rFonts w:eastAsia="CG Times"/>
        </w:rPr>
        <w:t xml:space="preserve"> </w:t>
      </w:r>
      <w:r>
        <w:rPr/>
        <w:t>(a)(i)</w:t>
        <w:tab/>
      </w:r>
      <w:r>
        <w:rPr>
          <w:b/>
          <w:i/>
        </w:rPr>
        <w:t>How would the Transactions fall to be examined or categorised under the telecoms regulatory regime in England and Wales and what would be the impact of such categorisation?</w:t>
      </w:r>
    </w:p>
    <w:p>
      <w:pPr>
        <w:pStyle w:val="BodyText"/>
        <w:ind w:start="1239" w:end="0"/>
        <w:rPr/>
      </w:pPr>
      <w:r>
        <w:rPr/>
        <w:t>The telecommunications regulatory regime in the UK is concerned primarily with the running of "telecommunications systems" (and the connection of equipment to, and provision of telecommunications services across, such systems).</w:t>
      </w:r>
    </w:p>
    <w:p>
      <w:pPr>
        <w:pStyle w:val="BodyText"/>
        <w:ind w:start="1239" w:end="0"/>
        <w:rPr/>
      </w:pPr>
      <w:r>
        <w:rPr/>
        <w:t>The Transactions themselves would be regarded in the UK simply as commercial contracts.  They are not regulated or otherwise "categorised" under the UK telecommunications regulatory regime, except insofar as they involve the running of a "telecommunications system" (see below paragraph (a)(ii)).</w:t>
      </w:r>
    </w:p>
    <w:p>
      <w:pPr>
        <w:pStyle w:val="BodyText"/>
        <w:ind w:hanging="615" w:start="1239" w:end="0"/>
        <w:rPr/>
      </w:pPr>
      <w:r>
        <w:rPr/>
        <w:t>(a)(ii)</w:t>
        <w:tab/>
      </w:r>
      <w:r>
        <w:rPr>
          <w:b/>
          <w:i/>
        </w:rPr>
        <w:t>What forms of telecommunications licences would be required, if any, by either or both of ECI and the Local Counterparty in respect of the Transactions and how would this be obtained.</w:t>
      </w:r>
    </w:p>
    <w:p>
      <w:pPr>
        <w:pStyle w:val="Normal"/>
        <w:ind w:start="1239" w:end="0"/>
        <w:rPr/>
      </w:pPr>
      <w:r>
        <w:rPr/>
        <w:t>The Telecommunications Act requires every person running a telecommunications system within the UK to be authorised by a licence granted under the Telecommunications Act.  Running a telecommunications system without a licence is a criminal offence.  Furthermore, a person who is licensed to run a telecommunications system within the UK is also guilty of an offence if:</w:t>
      </w:r>
    </w:p>
    <w:p>
      <w:pPr>
        <w:pStyle w:val="bullet"/>
        <w:numPr>
          <w:ilvl w:val="0"/>
          <w:numId w:val="25"/>
        </w:numPr>
        <w:tabs>
          <w:tab w:val="clear" w:pos="624"/>
          <w:tab w:val="left" w:pos="1959" w:leader="none"/>
        </w:tabs>
        <w:ind w:hanging="720" w:start="1959" w:end="0"/>
        <w:rPr/>
      </w:pPr>
      <w:r>
        <w:rPr/>
        <w:t>there is connected to that system any other telecommunications system or apparatus not authorised by the licence; or</w:t>
      </w:r>
    </w:p>
    <w:p>
      <w:pPr>
        <w:pStyle w:val="bullet"/>
        <w:numPr>
          <w:ilvl w:val="0"/>
          <w:numId w:val="25"/>
        </w:numPr>
        <w:tabs>
          <w:tab w:val="clear" w:pos="624"/>
          <w:tab w:val="left" w:pos="1959" w:leader="none"/>
        </w:tabs>
        <w:ind w:hanging="720" w:start="1959" w:end="0"/>
        <w:rPr/>
      </w:pPr>
      <w:r>
        <w:rPr/>
        <w:t>if telecommunications services are provided across that system that are not authorised by the licence.</w:t>
      </w:r>
    </w:p>
    <w:p>
      <w:pPr>
        <w:pStyle w:val="bullet"/>
        <w:numPr>
          <w:ilvl w:val="0"/>
          <w:numId w:val="0"/>
        </w:numPr>
        <w:ind w:hanging="0" w:start="1239" w:end="0"/>
        <w:rPr/>
      </w:pPr>
      <w:r>
        <w:rPr/>
        <w:t>"Telecommunications system" is defined in Section 4(1) of the Telecommunications Act as a system for conveyance, through the agency of electric, magnetic, electro-magnetic, electro-chemical or electro-mechanical energy, of speech, music, sounds, visual images and signals.  In addition, telecommunications apparatus which is situated in the UK and which is connected to, but not comprised in, a telecommunications system is also treated as a "telecommunications system" for the purposes of the Telecommunications Act, and any person who controls that apparatus shall be regarded as "running" that system.</w:t>
      </w:r>
    </w:p>
    <w:p>
      <w:pPr>
        <w:pStyle w:val="BodyText"/>
        <w:keepNext w:val="true"/>
        <w:ind w:start="1239" w:end="0"/>
        <w:rPr/>
      </w:pPr>
      <w:r>
        <w:rPr/>
        <w:t>The  verb "to run" is not defined in the Telecommunications Act, and its meaning in this context has not to date been tested by the courts.  Nevertheless, informal licensing guidelines issued by the Department of Trade and Industry (the "</w:t>
      </w:r>
      <w:r>
        <w:rPr>
          <w:b/>
        </w:rPr>
        <w:t>DTI</w:t>
      </w:r>
      <w:r>
        <w:rPr/>
        <w:t>") indicate that:</w:t>
      </w:r>
    </w:p>
    <w:p>
      <w:pPr>
        <w:pStyle w:val="BodyText"/>
        <w:ind w:hanging="615" w:start="1854" w:end="0"/>
        <w:rPr/>
      </w:pPr>
      <w:r>
        <w:rPr>
          <w:rFonts w:eastAsia="Symbol" w:cs="Symbol" w:ascii="Symbol" w:hAnsi="Symbol"/>
        </w:rPr>
        <w:sym w:font="Symbol" w:char="f0b7"/>
      </w:r>
      <w:r>
        <w:rPr/>
        <w:tab/>
        <w:t>"run" does not refer to the day-to-day operation of a telecommunications system (e.g. by a facilities management company contracted to provide day-to-day operational services to a telecommunications operator);</w:t>
      </w:r>
    </w:p>
    <w:p>
      <w:pPr>
        <w:pStyle w:val="BodyText"/>
        <w:ind w:hanging="615" w:start="1854" w:end="0"/>
        <w:rPr/>
      </w:pPr>
      <w:r>
        <w:rPr>
          <w:rFonts w:eastAsia="Symbol" w:cs="Symbol" w:ascii="Symbol" w:hAnsi="Symbol"/>
        </w:rPr>
        <w:sym w:font="Symbol" w:char="f0b7"/>
      </w:r>
      <w:r>
        <w:rPr/>
        <w:tab/>
        <w:t>"run" instead refers to having authority over a telecommunications system and, in particular, to having control over how the system is made up and how and for what purposes it is to be used; and</w:t>
      </w:r>
    </w:p>
    <w:p>
      <w:pPr>
        <w:pStyle w:val="BodyText"/>
        <w:ind w:hanging="615" w:start="1854" w:end="0"/>
        <w:rPr/>
      </w:pPr>
      <w:r>
        <w:rPr>
          <w:rFonts w:eastAsia="Symbol" w:cs="Symbol" w:ascii="Symbol" w:hAnsi="Symbol"/>
        </w:rPr>
        <w:sym w:font="Symbol" w:char="f0b7"/>
      </w:r>
      <w:r>
        <w:rPr/>
        <w:tab/>
        <w:t>the owner of a telecommunications system may not necessarily be the person who "runs" the system.</w:t>
      </w:r>
    </w:p>
    <w:p>
      <w:pPr>
        <w:pStyle w:val="Normal"/>
        <w:ind w:start="1239" w:end="0"/>
        <w:rPr/>
      </w:pPr>
      <w:r>
        <w:rPr/>
        <w:t xml:space="preserve">Assuming that neither ECI nor the Local Counterparty runs telecommunications networks, equipment, facilities or circuits in the UK (either because the Segments do not cross UK territory or because the telecommunications systems across which the Bandwidth is provided are run by third parties and not ECI/the Local Counterparty) the licensing requirements of the Telecommunications Act would not apply to ECI or the Local Counterparty.  Therefore, the Transactions </w:t>
      </w:r>
      <w:r>
        <w:rPr>
          <w:i/>
        </w:rPr>
        <w:t>per se</w:t>
      </w:r>
      <w:r>
        <w:rPr/>
        <w:t xml:space="preserve"> would in those circumstances not require ECI or a Local Counterparty to obtain a telecommunications licence under the Telecommunications Act.</w:t>
      </w:r>
    </w:p>
    <w:p>
      <w:pPr>
        <w:pStyle w:val="Normal"/>
        <w:ind w:start="1239" w:end="0"/>
        <w:rPr/>
      </w:pPr>
      <w:r>
        <w:rPr/>
        <w:t>However, if the Transactions concern Bandwidth on a Segment crossing a telecommunications network or circuit run by ECI or the Local Counterparty in the UK (despite the fact that you have asked us to assume that the Segment end-points and the Pooling Points are located outside the UK), then that party would need to hold a Telecommunications Act licence in order to run such system (and thereby deliver the Bandwidth across the system in accordance with its obligations under the Transaction documents).</w:t>
      </w:r>
    </w:p>
    <w:p>
      <w:pPr>
        <w:pStyle w:val="BodyText"/>
        <w:ind w:start="1239" w:end="0"/>
        <w:rPr/>
      </w:pPr>
      <w:r>
        <w:rPr/>
        <w:t xml:space="preserve">The UK licensing process operates within the wider framework of the EU Licensing Directive (97/13/EC), which sets out a common framework for the granting of "authorisations" (i.e. individual licences and licences applying to a class of operators) for the establishment and operation of telecommunications networks and the provision of telecommunications services, and for the conditions that may be included in such authorisations.  </w:t>
      </w:r>
    </w:p>
    <w:p>
      <w:pPr>
        <w:pStyle w:val="BodyText"/>
        <w:ind w:start="1239" w:end="0"/>
        <w:rPr/>
      </w:pPr>
      <w:r>
        <w:rPr/>
        <w:t>The Directive requires Member States to grant individual licences through open, transparent and non-discriminatory procedures and within reasonable time periods.  In particular, Member States must inform applicants of their decision as soon as possible, but not more than six weeks after receiving the application (although this may be extended to up to four months in objectively justified cases, which must be defined in the national implementing legislation).  Any applicant that fulfils the published licence criteria, and who is able to produce evidence of this, should be entitled to receive an individual licence.  Conditions in individual licences must be non-discriminatory, which essentially requires individual licences to be standardised, except where differences are objectively justifiable.</w:t>
      </w:r>
    </w:p>
    <w:p>
      <w:pPr>
        <w:pStyle w:val="Normal"/>
        <w:ind w:start="1239" w:end="0"/>
        <w:rPr/>
      </w:pPr>
      <w:r>
        <w:rPr/>
        <w:t>The type of licence required in such case would depend on the nature and extent of the telecommunications system that ECI or the Local Counterparty wishes to run.  As described below under paragraph (a)(iii), if the system is situated in and/or connected to 20 or fewer sets of premises, then the network operator would in most cases (e.g. provided the network did not involved any radio links requiring use of radio frequencies) be able to operate within the ambit of a class licence called the Telecommunications Services Licence ("</w:t>
      </w:r>
      <w:r>
        <w:rPr>
          <w:b/>
        </w:rPr>
        <w:t>TSL</w:t>
      </w:r>
      <w:r>
        <w:rPr/>
        <w:t>").  Class licences apply automatically (i.e. without any need for notification, registration or application) to those whose systems and activities fall within their ambit.</w:t>
      </w:r>
    </w:p>
    <w:p>
      <w:pPr>
        <w:pStyle w:val="BodyText"/>
        <w:ind w:start="1239" w:end="0"/>
        <w:rPr/>
      </w:pPr>
      <w:r>
        <w:rPr/>
        <w:t xml:space="preserve">If ECI or the Local Counterparty intends to run a telecommunications system for the provision of telecommunications services falling outside the various class licences (e.g. if the telecommunications transmission infrastructure is situated in or connects more than 20 premises or utilises radio frequencies), then an individual licence must be applied for and obtained.  Again, the type of licence needed would depend on the type of network or circuits run by ECI/the Local Counterparty, and the extent to which ECI/the Local Counterparty wishes to avail itself of special powers to install equipment on public and private land.  </w:t>
      </w:r>
    </w:p>
    <w:p>
      <w:pPr>
        <w:pStyle w:val="BodyText"/>
        <w:ind w:start="1239" w:end="0"/>
        <w:rPr/>
      </w:pPr>
      <w:r>
        <w:rPr/>
        <w:t>Individual licences are obtained by submitting an application to the Secretary of State for Trade and Industry, via the DTI.  In practice, the applicant usually first discusses its requirements and application with DTI and OFTEL (the main telecommunications regulatory authority in the UK) and, if radio frequencies are involved, with the Radiocommunications Agency.</w:t>
      </w:r>
    </w:p>
    <w:p>
      <w:pPr>
        <w:pStyle w:val="BodyText"/>
        <w:ind w:start="1239" w:end="0"/>
        <w:rPr/>
      </w:pPr>
      <w:r>
        <w:rPr/>
        <w:t xml:space="preserve">The Secretary of State (through the DTI) then considers the application in light of the duties placed upon him under the Telecommunications Act and the principles under the EU Licensing Directive.  The Secretary of State may refuse to issue a licence where the applicant fails to provide any information which the Secretary of State reasonably requires in order to satisfy himself or herself that the applicant will be able to comply with the conditions in the relevant licence.  </w:t>
      </w:r>
    </w:p>
    <w:p>
      <w:pPr>
        <w:pStyle w:val="BodyText"/>
        <w:ind w:start="1239" w:end="0"/>
        <w:rPr/>
      </w:pPr>
      <w:r>
        <w:rPr/>
        <w:t>The DTI usually deals with applications for individual licences within six weeks of receipt, but the licensing process can in certain circumstances take up to four months.  The Secretary of State (via the DTI) can, however, grant a temporary licence pending grant of the individual licence.</w:t>
      </w:r>
    </w:p>
    <w:p>
      <w:pPr>
        <w:pStyle w:val="BodyText"/>
        <w:ind w:start="1239" w:end="0"/>
        <w:rPr/>
      </w:pPr>
      <w:r>
        <w:rPr/>
        <w:t>Licences can include any conditions that the Secretary of State/the Director General of Telecommunications (who heads OFTEL, the "</w:t>
      </w:r>
      <w:r>
        <w:rPr>
          <w:b/>
        </w:rPr>
        <w:t>DGT</w:t>
      </w:r>
      <w:r>
        <w:rPr/>
        <w:t>") consider requisite or expedient having regard to their functions and duties under the Telecommunications Act and regulations and the principles under the EU Licensing Directive.</w:t>
      </w:r>
    </w:p>
    <w:p>
      <w:pPr>
        <w:pStyle w:val="BodyText"/>
        <w:ind w:start="1239" w:end="0"/>
        <w:rPr/>
      </w:pPr>
      <w:r>
        <w:rPr/>
        <w:t xml:space="preserve">An initial licence fee and an annual renewal fee (which vary depending on the type of individual licence sought) are payable for individual licences.  </w:t>
      </w:r>
    </w:p>
    <w:p>
      <w:pPr>
        <w:pStyle w:val="Normal"/>
        <w:ind w:hanging="612" w:start="1236" w:end="0"/>
        <w:rPr/>
      </w:pPr>
      <w:r>
        <w:rPr/>
        <w:t>(a)(iii)</w:t>
        <w:tab/>
      </w:r>
      <w:r>
        <w:rPr>
          <w:b/>
          <w:i/>
        </w:rPr>
        <w:t>Which type of licence would the Transactions operate under, e.g. individual licence, class licence or exemption?</w:t>
      </w:r>
    </w:p>
    <w:p>
      <w:pPr>
        <w:pStyle w:val="Normal"/>
        <w:ind w:hanging="40" w:start="1276" w:end="0"/>
        <w:rPr/>
      </w:pPr>
      <w:r>
        <w:rPr/>
        <w:t xml:space="preserve">As discussed above, the Transactions </w:t>
      </w:r>
      <w:r>
        <w:rPr>
          <w:i/>
        </w:rPr>
        <w:t>per se</w:t>
      </w:r>
      <w:r>
        <w:rPr/>
        <w:t xml:space="preserve"> would not require a telecommunications licence, but ECI/the Local Counterparty would need a licence if they intend to run the underlying telecommunications system in the UK.</w:t>
      </w:r>
    </w:p>
    <w:p>
      <w:pPr>
        <w:pStyle w:val="Normal"/>
        <w:ind w:start="1239" w:end="0"/>
        <w:rPr/>
      </w:pPr>
      <w:r>
        <w:rPr/>
        <w:t>The type of licence required would depend on the type and extent of the relevant telecommunications system being run (including, for example, how many sets of premises are linked/used, the type of infrastructure and whether any radio frequencies are used).</w:t>
      </w:r>
    </w:p>
    <w:p>
      <w:pPr>
        <w:pStyle w:val="BodyText"/>
        <w:ind w:start="1239" w:end="0"/>
        <w:rPr/>
      </w:pPr>
      <w:r>
        <w:rPr/>
        <w:t>The Telecommunications Act provides for two main categories of licences that may be granted in the UK: individual licences (which require an individual application) and class licences (which apply automatically to all persons performing activities within their scope, and for which no application or licence fee is required).</w:t>
      </w:r>
    </w:p>
    <w:p>
      <w:pPr>
        <w:pStyle w:val="BodyText"/>
        <w:ind w:start="1239" w:end="0"/>
        <w:rPr/>
      </w:pPr>
      <w:r>
        <w:rPr/>
        <w:t>The type of class licence most likely to be relevant, depending on the type and extent of telecommunications system run by ECI/the Local Counterparty, would be the TSL class licence, which permits a range of telecommunications services to be provided to third parties, but only if the telecommunications systems are situated in and/or connect no more than 20 separate sets of premises.  For the purposes of calculating the permitted "20" sets of linked premises, a single set of premises must have a single contiguous boundary under a common management regime.  The TSL is often used where the licensee is operating a small network.</w:t>
      </w:r>
    </w:p>
    <w:p>
      <w:pPr>
        <w:pStyle w:val="BodyText"/>
        <w:ind w:start="1239" w:end="0"/>
        <w:rPr/>
      </w:pPr>
      <w:r>
        <w:rPr/>
        <w:t>If ECI/the Local Counterparty requires an individual licence for its telecommunications system (because the telecommunications system or its intended uses fall outside the scope of the available class licences), the most likely licence required (depending on the nature of and technologies used in the relevant telecommunications system) would be a Public Telecommunications Operator ("</w:t>
      </w:r>
      <w:r>
        <w:rPr>
          <w:b/>
        </w:rPr>
        <w:t>PTO</w:t>
      </w:r>
      <w:r>
        <w:rPr/>
        <w:t xml:space="preserve">") Licence.  Certain licensees holding a PTO Licence may be designated by the Secretary of State as operating a "public telecommunications system", which may give rise to additional rights and obligations under the regulatory regime. </w:t>
      </w:r>
    </w:p>
    <w:p>
      <w:pPr>
        <w:pStyle w:val="Normal"/>
        <w:keepNext w:val="true"/>
        <w:ind w:hanging="624" w:start="1247" w:end="0"/>
        <w:rPr/>
      </w:pPr>
      <w:r>
        <w:rPr/>
        <w:t>(b)</w:t>
        <w:tab/>
      </w:r>
      <w:r>
        <w:rPr>
          <w:b/>
          <w:i/>
        </w:rPr>
        <w:t>Which other elements of the telecommunications regulatory regime in England and Wales would affect the Transactions between ECI and the Local Counterparty?</w:t>
      </w:r>
    </w:p>
    <w:p>
      <w:pPr>
        <w:pStyle w:val="Normal"/>
        <w:ind w:start="1247" w:end="0"/>
        <w:rPr/>
      </w:pPr>
      <w:r>
        <w:rPr/>
        <w:t>A number of obligations could be imposed on ECI/the Local Counterparty under the UK telecommunications regulatory regime depending on their status (as licensees or as public telecommunications operators operating public telecommunications systems).</w:t>
      </w:r>
    </w:p>
    <w:p>
      <w:pPr>
        <w:pStyle w:val="Normal"/>
        <w:ind w:start="1247" w:end="0"/>
        <w:rPr/>
      </w:pPr>
      <w:r>
        <w:rPr/>
        <w:t>Telecommunications regulatory requirements relating to interconnection and access, tariffs, quality of service, publication of terms and conditions (including charges) and so forth are mostly contained in telecommunications licences.  Therefore, these requirements would in general only apply to ECI and the Local Counterparty to the extent that they are running a telecommunications system in the UK pursuant to a telecommunications licence (see paragraph (a) above).  Furthermore, many of the obligations and conditions set out in telecommunications licences only apply if the relevant licensee:</w:t>
      </w:r>
    </w:p>
    <w:p>
      <w:pPr>
        <w:pStyle w:val="bullet"/>
        <w:numPr>
          <w:ilvl w:val="0"/>
          <w:numId w:val="25"/>
        </w:numPr>
        <w:tabs>
          <w:tab w:val="clear" w:pos="624"/>
          <w:tab w:val="left" w:pos="1967" w:leader="none"/>
        </w:tabs>
        <w:ind w:hanging="720" w:start="1967" w:end="0"/>
        <w:rPr/>
      </w:pPr>
      <w:r>
        <w:rPr/>
        <w:t>has market influence;</w:t>
      </w:r>
    </w:p>
    <w:p>
      <w:pPr>
        <w:pStyle w:val="bullet"/>
        <w:numPr>
          <w:ilvl w:val="0"/>
          <w:numId w:val="25"/>
        </w:numPr>
        <w:tabs>
          <w:tab w:val="clear" w:pos="624"/>
          <w:tab w:val="left" w:pos="1967" w:leader="none"/>
        </w:tabs>
        <w:ind w:hanging="720" w:start="1967" w:end="0"/>
        <w:rPr/>
      </w:pPr>
      <w:r>
        <w:rPr/>
        <w:t>has significant market power in the relevant market;</w:t>
      </w:r>
    </w:p>
    <w:p>
      <w:pPr>
        <w:pStyle w:val="bullet"/>
        <w:numPr>
          <w:ilvl w:val="0"/>
          <w:numId w:val="25"/>
        </w:numPr>
        <w:tabs>
          <w:tab w:val="clear" w:pos="624"/>
          <w:tab w:val="left" w:pos="1967" w:leader="none"/>
        </w:tabs>
        <w:ind w:hanging="720" w:start="1967" w:end="0"/>
        <w:rPr/>
      </w:pPr>
      <w:r>
        <w:rPr/>
        <w:t>runs a public telecommunications system; or</w:t>
      </w:r>
    </w:p>
    <w:p>
      <w:pPr>
        <w:pStyle w:val="bullet"/>
        <w:numPr>
          <w:ilvl w:val="0"/>
          <w:numId w:val="25"/>
        </w:numPr>
        <w:tabs>
          <w:tab w:val="clear" w:pos="624"/>
          <w:tab w:val="left" w:pos="1967" w:leader="none"/>
        </w:tabs>
        <w:ind w:hanging="720" w:start="1967" w:end="0"/>
        <w:rPr/>
      </w:pPr>
      <w:r>
        <w:rPr/>
        <w:t>provides publicly available telecommunications services.</w:t>
      </w:r>
    </w:p>
    <w:p>
      <w:pPr>
        <w:pStyle w:val="bullet"/>
        <w:numPr>
          <w:ilvl w:val="0"/>
          <w:numId w:val="0"/>
        </w:numPr>
        <w:ind w:hanging="0" w:start="1247" w:end="0"/>
        <w:rPr/>
      </w:pPr>
      <w:r>
        <w:rPr/>
        <w:t>The type of licence which either ECI or the Local Counterparty would need to run its telecommunications system (if any) would depend on the type and extent of telecommunications system to be run by ECI/the Local Counterparty in the UK.  We summarise, however, some regulatory requirements that may apply (depending on the type of licence held and market position of the licensee) in Section 3A(c) below.</w:t>
      </w:r>
    </w:p>
    <w:p>
      <w:pPr>
        <w:pStyle w:val="Normal"/>
        <w:ind w:hanging="624" w:start="1248" w:end="0"/>
        <w:rPr/>
      </w:pPr>
      <w:r>
        <w:rPr/>
        <w:t>(c)(i)</w:t>
      </w:r>
      <w:r>
        <w:rPr>
          <w:b/>
          <w:i/>
        </w:rPr>
        <w:tab/>
        <w:t>Are different licences necessary in England and Wales for those who operate networks as opposed to those who merely provide services over those networks and which category(ies) would ECI, on the one hand, and the Local Counterparties, on the other hand, as parties to the Transactions fall into?</w:t>
      </w:r>
    </w:p>
    <w:p>
      <w:pPr>
        <w:pStyle w:val="Normal"/>
        <w:ind w:start="1248" w:end="0"/>
        <w:rPr/>
      </w:pPr>
      <w:r>
        <w:rPr/>
        <w:t>The Secretary of State for Trade and Industry (through the DTI) only licenses those who "run" a telecommunications system.  Those who do not run a system, for example system-less service providers who provide only telecommunications services, are not licensed under the UK telecommunications licensing regime.</w:t>
      </w:r>
      <w:r>
        <w:rPr>
          <w:rStyle w:val="FootnoteCharacters"/>
          <w:rStyle w:val="FootnoteReference"/>
        </w:rPr>
        <w:footnoteReference w:id="3"/>
      </w:r>
      <w:r>
        <w:rPr/>
        <w:t xml:space="preserve"> The type of telecommunications system to be run by ECI/the Local Counterparty (if any) would determine whether ECI/the Local Counterparty would require a licence to perform their supply obligations as Seller, or to receive, resell and/or use the Bandwidth as Buyer, under the Transactions.</w:t>
      </w:r>
    </w:p>
    <w:p>
      <w:pPr>
        <w:pStyle w:val="Normal"/>
        <w:ind w:hanging="624" w:start="1248" w:end="0"/>
        <w:rPr/>
      </w:pPr>
      <w:r>
        <w:rPr/>
        <w:t>(c)(ii)</w:t>
        <w:tab/>
      </w:r>
      <w:r>
        <w:rPr>
          <w:b/>
          <w:i/>
        </w:rPr>
        <w:t>Does the status of the parties to the Transaction affect the terms of trade between them as a result of the telecommunications regulatory regime in England and Wales?</w:t>
      </w:r>
    </w:p>
    <w:p>
      <w:pPr>
        <w:pStyle w:val="Normal"/>
        <w:ind w:start="1248" w:end="0"/>
        <w:rPr/>
      </w:pPr>
      <w:r>
        <w:rPr/>
        <w:t xml:space="preserve">We have understood "status" in this context to refer to whether ECI or the Local Counterparty is unlicensed or licensed as an individual licensee or under a class licence.  </w:t>
      </w:r>
    </w:p>
    <w:p>
      <w:pPr>
        <w:pStyle w:val="Normal"/>
        <w:ind w:start="1248" w:end="0"/>
        <w:rPr/>
      </w:pPr>
      <w:r>
        <w:rPr/>
        <w:t>The status of the parties to the Transaction would not affect the terms of trade under the Transactions as a result of the telecommunications regulatory regime in England and Wales.  However, ECI should ensure that its Local Counterparty holds all telecommunications licences necessary to supply or receive the capacity.</w:t>
      </w:r>
    </w:p>
    <w:p>
      <w:pPr>
        <w:pStyle w:val="Normal"/>
        <w:keepNext w:val="true"/>
        <w:ind w:hanging="624" w:start="1248" w:end="0"/>
        <w:rPr/>
      </w:pPr>
      <w:r>
        <w:rPr/>
        <w:t>(c)(iii)</w:t>
      </w:r>
      <w:r>
        <w:rPr>
          <w:b/>
          <w:i/>
        </w:rPr>
        <w:tab/>
        <w:t>Is either of the above two positions (Section 1A(c)(i) and (c)(ii)) altered if the ownership of the facility and the operation of it are not done by one and the same entity?</w:t>
      </w:r>
    </w:p>
    <w:p>
      <w:pPr>
        <w:pStyle w:val="Normal"/>
        <w:keepNext w:val="true"/>
        <w:ind w:start="1248" w:end="0"/>
        <w:rPr/>
      </w:pPr>
      <w:r>
        <w:rPr/>
        <w:t xml:space="preserve">Mere ownership </w:t>
      </w:r>
      <w:r>
        <w:rPr>
          <w:i/>
        </w:rPr>
        <w:t>per se</w:t>
      </w:r>
      <w:r>
        <w:rPr/>
        <w:t xml:space="preserve"> of telecommunications systems, circuits and equipment is not regulated under the telecommunications regime; only the person </w:t>
      </w:r>
      <w:r>
        <w:rPr>
          <w:i/>
        </w:rPr>
        <w:t>running</w:t>
      </w:r>
      <w:r>
        <w:rPr/>
        <w:t xml:space="preserve"> the telecommunications system (as described above) is required to be licensed.  Therefore, the responses to paragraphs (c)(i) and (c)(ii) above would be unchanged.</w:t>
      </w:r>
    </w:p>
    <w:p>
      <w:pPr>
        <w:pStyle w:val="Normal"/>
        <w:ind w:hanging="624" w:start="1248" w:end="0"/>
        <w:rPr/>
      </w:pPr>
      <w:r>
        <w:rPr/>
        <w:t>(d)(i)</w:t>
        <w:tab/>
      </w:r>
      <w:r>
        <w:rPr>
          <w:b/>
          <w:i/>
        </w:rPr>
        <w:t>To the extent not already covered by the questions in Section 1A(a) to (c) above, are any other licences, permits, consents or other governmental  approvals required in England and Wales (and, if so, by whom) in order for ECI to enter into the Transactions with the Local Counterparties?</w:t>
      </w:r>
    </w:p>
    <w:p>
      <w:pPr>
        <w:pStyle w:val="Normal"/>
        <w:ind w:start="1248" w:end="0"/>
        <w:rPr/>
      </w:pPr>
      <w:r>
        <w:rPr/>
        <w:t xml:space="preserve">Except as set out in paragraphs (a) to (c) above and paragraph (f)(i) below, no other licences, permits, consents or governmental approvals under the telecommunications regime would be required in England and Wales in order for ECI to enter into the Transactions.  </w:t>
      </w:r>
    </w:p>
    <w:p>
      <w:pPr>
        <w:pStyle w:val="Normal"/>
        <w:ind w:start="1248" w:end="0"/>
        <w:rPr/>
      </w:pPr>
      <w:r>
        <w:rPr/>
        <w:t>However, if ECI wishes to install and operate a telecommunications network in the UK in order to supply Bandwidth pursuant to a Transaction, ECI may require various planning consents and approvals or rights of way in order to install and access its telecommunications infrastructure.  We have insufficient information about ECI's proposed or existing telecommunications network in the UK to advise on the specific licences, permits, consents or other approvals required.</w:t>
      </w:r>
    </w:p>
    <w:p>
      <w:pPr>
        <w:pStyle w:val="Normal"/>
        <w:ind w:start="1248" w:end="0"/>
        <w:rPr/>
      </w:pPr>
      <w:r>
        <w:rPr/>
      </w:r>
    </w:p>
    <w:p>
      <w:pPr>
        <w:pStyle w:val="Normal"/>
        <w:keepNext w:val="true"/>
        <w:ind w:hanging="624" w:start="1248" w:end="0"/>
        <w:rPr/>
      </w:pPr>
      <w:r>
        <w:rPr/>
        <w:t>(d)(ii)</w:t>
      </w:r>
      <w:r>
        <w:rPr>
          <w:b/>
          <w:i/>
        </w:rPr>
        <w:tab/>
        <w:t>To the extent not already covered by the questions in Section 1A(a) to (c) above, would ECI (or any of its personnel) need to be licensed (i) to visit England and Wales to market Transactions to Local Counterparties and/or (ii) for ECI to buy or sell Bandwidth from or to Local Counterparties, under local law in England and Wales?</w:t>
      </w:r>
    </w:p>
    <w:p>
      <w:pPr>
        <w:pStyle w:val="Normal"/>
        <w:keepNext w:val="true"/>
        <w:ind w:start="1247" w:end="0"/>
        <w:rPr/>
      </w:pPr>
      <w:r>
        <w:rPr/>
        <w:t>Except as set out in paragraphs (a) to (c) above and paragraph (f)(i) below, neither ECI nor its personnel would need to be licensed to market the Transactions or to buy or sell Bandwidth from or to Local Counterparties in England and Wales.</w:t>
      </w:r>
    </w:p>
    <w:p>
      <w:pPr>
        <w:pStyle w:val="Normal"/>
        <w:keepNext w:val="true"/>
        <w:ind w:hanging="624" w:start="1247" w:end="0"/>
        <w:rPr/>
      </w:pPr>
      <w:r>
        <w:rPr/>
        <w:t>(d)(iii)</w:t>
      </w:r>
      <w:r>
        <w:rPr>
          <w:b/>
          <w:i/>
        </w:rPr>
        <w:tab/>
        <w:t>To the extent not already covered by the questions in Section 1A(a) to (c) above, would Local Counterparty (or any of its personnel) need to be licensed in England and Wales to buy or sell Bandwidth from or to ECI and/or other counterparties?</w:t>
      </w:r>
    </w:p>
    <w:p>
      <w:pPr>
        <w:pStyle w:val="Normal"/>
        <w:keepNext w:val="true"/>
        <w:ind w:start="1247" w:end="0"/>
        <w:rPr/>
      </w:pPr>
      <w:r>
        <w:rPr/>
        <w:t>Except as set out in paragraphs (a) to (c) above and paragraph (f)(i) below, neither the Local Counterparty nor its personnel would need to be licensed in England and Wales to buy or sell Bandwidth in England and Wales.</w:t>
      </w:r>
    </w:p>
    <w:p>
      <w:pPr>
        <w:pStyle w:val="Normal"/>
        <w:ind w:hanging="624" w:start="1248" w:end="0"/>
        <w:rPr/>
      </w:pPr>
      <w:r>
        <w:rPr/>
        <w:t>(e)(i)</w:t>
        <w:tab/>
      </w:r>
      <w:r>
        <w:rPr>
          <w:b/>
          <w:i/>
        </w:rPr>
        <w:t>To the extent not already covered by the questions in Section 1A(a) to (c) above, under local law in England and Wales, would ECI, or the Local Counterparty, be under any obligation to provide periodic reports or information to any regulatory or governmental or other body if they engaged in the Transactions, or to a Local Counterparty?</w:t>
      </w:r>
    </w:p>
    <w:p>
      <w:pPr>
        <w:pStyle w:val="Normal"/>
        <w:ind w:start="1248" w:end="0"/>
        <w:rPr/>
      </w:pPr>
      <w:r>
        <w:rPr/>
        <w:t xml:space="preserve">While the Transactions </w:t>
      </w:r>
      <w:r>
        <w:rPr>
          <w:i/>
        </w:rPr>
        <w:t>per se</w:t>
      </w:r>
      <w:r>
        <w:rPr/>
        <w:t xml:space="preserve"> would not require either ECI or the Local Counterparty to provide information to a regulatory or governmental body in the UK, it may be required to provide information pursuant to any telecommunications licence it may hold.  For example, if either party holds an individual licence or is relying on a TSL class licence to run its telecommunications system, the licensee must provide the DGT with such information (whether documents, accounts, estimates, returns or any other information) that the DGT may reasonably require for the purpose of verifying that the licensee is complying with the licence or for statistical purposes.</w:t>
      </w:r>
    </w:p>
    <w:p>
      <w:pPr>
        <w:pStyle w:val="Normal"/>
        <w:ind w:start="1248" w:end="0"/>
        <w:rPr/>
      </w:pPr>
      <w:r>
        <w:rPr/>
        <w:t>Furthermore, such a licensee is required to keep certain basic information (such as its name, principal office and all public telecommunications systems to which its telecommunications system is to be connected) available for inspection by the DGT or the operator of any public telecommunications system to which its system is connected.</w:t>
      </w:r>
    </w:p>
    <w:p>
      <w:pPr>
        <w:pStyle w:val="Normal"/>
        <w:ind w:start="1248" w:end="0"/>
        <w:rPr/>
      </w:pPr>
      <w:r>
        <w:rPr/>
        <w:t>On entering into or amending an interconnection agreement, the licensee under an individual PTO Licence or a TSL class licence is required to send a copy of that agreement to the DGT.</w:t>
      </w:r>
    </w:p>
    <w:p>
      <w:pPr>
        <w:pStyle w:val="Normal"/>
        <w:ind w:start="1248" w:end="0"/>
        <w:rPr/>
      </w:pPr>
      <w:r>
        <w:rPr/>
        <w:t>If the Local Counterparty is a company incorporated in England and Wales, it would also need to comply with the accounting provisions in the Companies Act 1985.</w:t>
      </w:r>
    </w:p>
    <w:p>
      <w:pPr>
        <w:pStyle w:val="Normal"/>
        <w:ind w:start="1248" w:end="0"/>
        <w:rPr/>
      </w:pPr>
      <w:r>
        <w:rPr/>
        <w:t>There may in addition be obligations to provide transaction reporting to the Financial Services Authority (the "</w:t>
      </w:r>
      <w:r>
        <w:rPr>
          <w:b/>
        </w:rPr>
        <w:t>FSA</w:t>
      </w:r>
      <w:r>
        <w:rPr/>
        <w:t>") by ECI and the Local Counterparty, but you have asked us not to address these issues in this Report.  Please see further paragraph (f)(i) below regarding authorisation/exemption requirements under the Financial Services Act 1986 (the "</w:t>
      </w:r>
      <w:r>
        <w:rPr>
          <w:b/>
        </w:rPr>
        <w:t>FSAct</w:t>
      </w:r>
      <w:r>
        <w:rPr/>
        <w:t>").</w:t>
      </w:r>
    </w:p>
    <w:p>
      <w:pPr>
        <w:pStyle w:val="Normal"/>
        <w:keepNext w:val="true"/>
        <w:ind w:hanging="624" w:start="1248" w:end="0"/>
        <w:rPr/>
      </w:pPr>
      <w:r>
        <w:rPr/>
        <w:t>(e)(ii)</w:t>
        <w:tab/>
      </w:r>
      <w:r>
        <w:rPr>
          <w:b/>
          <w:i/>
        </w:rPr>
        <w:t xml:space="preserve">To the extent not already covered by the questions in Section 1A(a) to (c) above, would ECI or the Local Counterparty be subject to any form of governmental regulation in England and Wales in respect of Transactions between them and, if so, what?  </w:t>
      </w:r>
    </w:p>
    <w:p>
      <w:pPr>
        <w:pStyle w:val="Normal"/>
        <w:ind w:start="1248" w:end="0"/>
        <w:rPr/>
      </w:pPr>
      <w:r>
        <w:rPr/>
        <w:t>Other governmental regulation in England and Wales in respect of the Transactions is discussed in paragraph (f)(i) below.</w:t>
      </w:r>
    </w:p>
    <w:p>
      <w:pPr>
        <w:pStyle w:val="Normal"/>
        <w:ind w:hanging="624" w:start="1248" w:end="0"/>
        <w:rPr/>
      </w:pPr>
      <w:r>
        <w:rPr/>
        <w:t>(f)(i)</w:t>
      </w:r>
      <w:r>
        <w:rPr>
          <w:b/>
          <w:i/>
        </w:rPr>
        <w:tab/>
        <w:t>Would the trading of Bandwidth by way of the Transactions be construed as a financial or securities market or exchange in England and Wales and, if so, why?</w:t>
      </w:r>
    </w:p>
    <w:p>
      <w:pPr>
        <w:pStyle w:val="Normal"/>
        <w:ind w:start="1248" w:end="0"/>
        <w:rPr/>
      </w:pPr>
      <w:r>
        <w:rPr/>
        <w:t>The question of what constitutes an exchange or financial market is not clear under English law and there are no definitions as to what constitutes an exchange or financial market nor any definitive explanation of what is required to be done to become a financial market or an exchange.  The FSAct, however, contains a procedure for becoming a "Recognised Investment Exchange" ("</w:t>
      </w:r>
      <w:r>
        <w:rPr>
          <w:b/>
        </w:rPr>
        <w:t>RIE</w:t>
      </w:r>
      <w:r>
        <w:rPr/>
        <w:t xml:space="preserve">"), although it gives no explanation of what constitutes an exchange.  </w:t>
      </w:r>
    </w:p>
    <w:p>
      <w:pPr>
        <w:pStyle w:val="Normal"/>
        <w:ind w:start="1248" w:end="0"/>
        <w:rPr/>
      </w:pPr>
      <w:r>
        <w:rPr/>
        <w:t>The main requirements for recognition as an RIE are set out in Schedule 4 to the FSAct.  We attach this as Annex 2 of this Report for your assistance.  The main requirements are that the entity applying for RIE status must have:</w:t>
      </w:r>
    </w:p>
    <w:p>
      <w:pPr>
        <w:pStyle w:val="bullet"/>
        <w:numPr>
          <w:ilvl w:val="0"/>
          <w:numId w:val="25"/>
        </w:numPr>
        <w:tabs>
          <w:tab w:val="clear" w:pos="624"/>
          <w:tab w:val="left" w:pos="1968" w:leader="none"/>
        </w:tabs>
        <w:ind w:hanging="720" w:start="1968" w:end="0"/>
        <w:rPr/>
      </w:pPr>
      <w:r>
        <w:rPr/>
        <w:t xml:space="preserve">default rules;  </w:t>
      </w:r>
    </w:p>
    <w:p>
      <w:pPr>
        <w:pStyle w:val="bullet"/>
        <w:numPr>
          <w:ilvl w:val="0"/>
          <w:numId w:val="25"/>
        </w:numPr>
        <w:tabs>
          <w:tab w:val="clear" w:pos="624"/>
          <w:tab w:val="left" w:pos="1968" w:leader="none"/>
        </w:tabs>
        <w:ind w:hanging="720" w:start="1968" w:end="0"/>
        <w:rPr/>
      </w:pPr>
      <w:r>
        <w:rPr/>
        <w:t xml:space="preserve">arrangements in place for dealing with unsettled market contracts; </w:t>
      </w:r>
    </w:p>
    <w:p>
      <w:pPr>
        <w:pStyle w:val="bullet"/>
        <w:numPr>
          <w:ilvl w:val="0"/>
          <w:numId w:val="25"/>
        </w:numPr>
        <w:tabs>
          <w:tab w:val="clear" w:pos="624"/>
          <w:tab w:val="left" w:pos="1968" w:leader="none"/>
        </w:tabs>
        <w:ind w:hanging="720" w:start="1968" w:end="0"/>
        <w:rPr/>
      </w:pPr>
      <w:r>
        <w:rPr/>
        <w:t xml:space="preserve">sufficient financial resources for the proper performance of its functions; </w:t>
      </w:r>
    </w:p>
    <w:p>
      <w:pPr>
        <w:pStyle w:val="bullet"/>
        <w:numPr>
          <w:ilvl w:val="0"/>
          <w:numId w:val="25"/>
        </w:numPr>
        <w:tabs>
          <w:tab w:val="clear" w:pos="624"/>
          <w:tab w:val="left" w:pos="1968" w:leader="none"/>
        </w:tabs>
        <w:ind w:hanging="720" w:start="1968" w:end="0"/>
        <w:rPr/>
      </w:pPr>
      <w:r>
        <w:rPr/>
        <w:t xml:space="preserve">safeguards for investors including arrangements for ensuring the performance of transactions (or ensuring their performance under arrangements made with a recognised clearing house); </w:t>
      </w:r>
    </w:p>
    <w:p>
      <w:pPr>
        <w:pStyle w:val="bullet"/>
        <w:numPr>
          <w:ilvl w:val="0"/>
          <w:numId w:val="25"/>
        </w:numPr>
        <w:tabs>
          <w:tab w:val="clear" w:pos="624"/>
          <w:tab w:val="left" w:pos="1968" w:leader="none"/>
        </w:tabs>
        <w:ind w:hanging="720" w:start="1968" w:end="0"/>
        <w:rPr/>
      </w:pPr>
      <w:r>
        <w:rPr/>
        <w:t xml:space="preserve">monitoring and enforcement powers; </w:t>
      </w:r>
    </w:p>
    <w:p>
      <w:pPr>
        <w:pStyle w:val="bullet"/>
        <w:numPr>
          <w:ilvl w:val="0"/>
          <w:numId w:val="25"/>
        </w:numPr>
        <w:tabs>
          <w:tab w:val="clear" w:pos="624"/>
          <w:tab w:val="left" w:pos="1968" w:leader="none"/>
        </w:tabs>
        <w:ind w:hanging="720" w:start="1968" w:end="0"/>
        <w:rPr/>
      </w:pPr>
      <w:r>
        <w:rPr/>
        <w:t xml:space="preserve">complaints procedures; and </w:t>
      </w:r>
    </w:p>
    <w:p>
      <w:pPr>
        <w:pStyle w:val="bullet"/>
        <w:numPr>
          <w:ilvl w:val="0"/>
          <w:numId w:val="25"/>
        </w:numPr>
        <w:tabs>
          <w:tab w:val="clear" w:pos="624"/>
          <w:tab w:val="left" w:pos="1968" w:leader="none"/>
        </w:tabs>
        <w:ind w:hanging="720" w:start="1968" w:end="0"/>
        <w:rPr/>
      </w:pPr>
      <w:r>
        <w:rPr/>
        <w:t>high standards of market integrity.</w:t>
      </w:r>
    </w:p>
    <w:p>
      <w:pPr>
        <w:pStyle w:val="Normal"/>
        <w:ind w:start="1248" w:end="0"/>
        <w:rPr/>
      </w:pPr>
      <w:bookmarkStart w:id="13" w:name="_Ref467058790"/>
      <w:r>
        <w:rPr/>
        <w:t xml:space="preserve">There is no requirement for an entity which carries out the functions listed above to apply for RIE status.  However, it is likely that an entity carrying out these types of functions in relation to persons trading in "investments" (as defined in the FSAct) will need to be authorised to conduct investment business, or be exempted from the authorisation requirement under the FSAct.   Obtaining RIE status would mean that the entity would be exempt from the requirement to be authorised.  </w:t>
      </w:r>
    </w:p>
    <w:p>
      <w:pPr>
        <w:pStyle w:val="Normal"/>
        <w:ind w:start="1248" w:end="0"/>
        <w:rPr/>
      </w:pPr>
      <w:bookmarkStart w:id="14" w:name="_Ref467058790"/>
      <w:r>
        <w:rPr/>
        <w:t>It is our view that certain Transactions could amount to "investments"; you should therefore be aware that carrying out investment business in England or Wales without being authorised or exempt under the FSAct carries criminal sanctions.  Accordingly, we have examined the functions of the entities below as we understand them to ascertain whether any of them would be eligible to apply for RIE status, if they wished to do so.  We should mention that, where an entity is conducting investment business in the UK, and it were to be decided not to seek RIE status, authorisation or exemption would be needed.  We have not discussed the procedure by which an entity obtains authorisation to carry on investment business in England and Wales in this Report (or the availability of other exemptions), as you have asked us not to consider this.  Essentially, the decision to apply for RIE status is a commercial decision for the relevant entity, as to whether it wishes to incur the possibly onerous obligations of policing a market, such as daily monitoring, surveillance of positions to detect market abuse and compliance with rules, amongst other things, involved in maintaining RIE status.</w:t>
      </w:r>
      <w:bookmarkEnd w:id="14"/>
    </w:p>
    <w:p>
      <w:pPr>
        <w:pStyle w:val="Normal"/>
        <w:ind w:start="1248" w:end="0"/>
        <w:rPr/>
      </w:pPr>
      <w:r>
        <w:rPr/>
        <w:t>There are four entities which may need to be examined in the context of the preceding paragraphs:</w:t>
      </w:r>
    </w:p>
    <w:p>
      <w:pPr>
        <w:pStyle w:val="Normal"/>
        <w:ind w:start="1248" w:end="0"/>
        <w:rPr>
          <w:b/>
          <w:i/>
          <w:i/>
        </w:rPr>
      </w:pPr>
      <w:r>
        <w:rPr>
          <w:b/>
          <w:i/>
        </w:rPr>
        <w:t>ECI</w:t>
      </w:r>
    </w:p>
    <w:p>
      <w:pPr>
        <w:pStyle w:val="BodyText2"/>
        <w:ind w:start="1276" w:end="0"/>
        <w:rPr/>
      </w:pPr>
      <w:r>
        <w:rPr/>
        <w:t>We understand that ECI will be entering into the Transactions with entities which have a presence in England and Wales. We further understand that ECI will not be incorporated in England or Wales and will not have a presence in England or Wales, although it may have trading personnel in London.  It may also have representatives who will visit England and Wales for marketing and soliciting purposes.</w:t>
      </w:r>
    </w:p>
    <w:p>
      <w:pPr>
        <w:pStyle w:val="BodyText2"/>
        <w:ind w:start="1276" w:end="0"/>
        <w:rPr/>
      </w:pPr>
      <w:r>
        <w:rPr/>
        <w:t>In respect of your question as to whether the activities of ECI described above could be construed as constituting a financial or securities market or exchange, our view is that this would be very unlikely, partly as such activities do not fulfil the criteria which FSA would expect to see in an RIE (although as stated above, the FSAct Schedule 4 criteria is not definitive guidance as to what constitutes an exchange).  ECI will, however, require authorisation from the FSA for its dealing activities under paragraph 12 of the FSAct and there will be applicable rules relating to its solicitation and marketing activities, which you have asked us not to examine further for the purposes of this Report.</w:t>
      </w:r>
    </w:p>
    <w:p>
      <w:pPr>
        <w:pStyle w:val="Normal"/>
        <w:keepNext w:val="true"/>
        <w:ind w:start="1248" w:end="0"/>
        <w:rPr>
          <w:b/>
          <w:i/>
          <w:i/>
        </w:rPr>
      </w:pPr>
      <w:r>
        <w:rPr>
          <w:b/>
          <w:i/>
        </w:rPr>
        <w:t>BTO</w:t>
      </w:r>
    </w:p>
    <w:p>
      <w:pPr>
        <w:pStyle w:val="BodyText2"/>
        <w:keepNext w:val="true"/>
        <w:ind w:start="1276" w:end="0"/>
        <w:rPr/>
      </w:pPr>
      <w:r>
        <w:rPr/>
        <w:t>We understand that the BTO will be a self-governing entity made up of market participants which will establish market rules and a governance system with rules to foster fair trading, but that it would not itself engage in trading.  It would also enter into agreements with other entities responsible for provision of hardware and software and for monitoring performance and delivery (see the paragraphs on the Pooling Point Developer and Pooling Point Administrator below).  We understand that the BTO will have no presence in England and Wales, although it may have members in England and Wales.</w:t>
      </w:r>
    </w:p>
    <w:p>
      <w:pPr>
        <w:pStyle w:val="Normal"/>
        <w:ind w:start="1276" w:end="0"/>
        <w:rPr/>
      </w:pPr>
      <w:r>
        <w:rPr/>
        <w:t>As the BTO will have no presence in England or Wales, it will not be conducting business in England or Wales, and therefore cannot be construed as constituting a financial market or exchange in England or Wales.  It may, however, wish to give consideration to whether to apply for recognition as an overseas investment exchange.</w:t>
      </w:r>
      <w:r>
        <w:rPr>
          <w:sz w:val="20"/>
        </w:rPr>
        <w:t xml:space="preserve">  </w:t>
      </w:r>
      <w:r>
        <w:rPr/>
        <w:t>There is a procedure whereby overseas exchanges (for credibility or other reasons) can obtain recognition as a "Recognised Overseas Investment Exchange" ("</w:t>
      </w:r>
      <w:r>
        <w:rPr>
          <w:b/>
        </w:rPr>
        <w:t>ROIE</w:t>
      </w:r>
      <w:r>
        <w:rPr/>
        <w:t xml:space="preserve">") in accordance with Section 40 of the FSAct.  This is a time-consuming and costly procedure and is usually discouraged by the FSA, unless the entity is determined that it requires such status.  Application is made to Her Majesty's Treasury rather than the FSA.  In determining whether to grant ROIE status, Her Majesty's Treasury will have regard to the extent to which persons in the United Kingdom and other relevant countries have access to the financial markets in each others countries (Section 40(3) of the FSAct).  </w:t>
      </w:r>
    </w:p>
    <w:p>
      <w:pPr>
        <w:pStyle w:val="Normal"/>
        <w:ind w:start="1276" w:end="0"/>
        <w:rPr/>
      </w:pPr>
      <w:r>
        <w:rPr/>
        <w:t>An alternative route if the entity wishes to have formal "exchange" status for their operations is to apply to become a "Designated Investment Exchange" ("</w:t>
      </w:r>
      <w:r>
        <w:rPr>
          <w:b/>
        </w:rPr>
        <w:t>DIE</w:t>
      </w:r>
      <w:r>
        <w:rPr/>
        <w:t>").  Again, this is not a requirement in England and Wales and there is no formal guidance on what is required to become a DIE, but it may be desirable for members of the market, as members of a DIE may be able to obtain more beneficial regulatory capital treatment.  Designation is determined by the FSA and we understand that the FSA will consider issues such as appropriate experience and the legal and operational environment for trading, amongst other elements.  The position may, however, change with the passing of the new Financial Services and Markets Bill currently still in draft form, as it is not yet clear how DIEs will be dealt with under the new regime.</w:t>
      </w:r>
    </w:p>
    <w:p>
      <w:pPr>
        <w:pStyle w:val="Normal"/>
        <w:ind w:start="1248" w:end="0"/>
        <w:rPr>
          <w:b/>
          <w:i/>
          <w:i/>
        </w:rPr>
      </w:pPr>
      <w:bookmarkStart w:id="15" w:name="_Ref467058862"/>
      <w:r>
        <w:rPr>
          <w:b/>
          <w:i/>
        </w:rPr>
        <w:t>The Pooling Point Developer ("PPD")</w:t>
      </w:r>
      <w:bookmarkEnd w:id="15"/>
    </w:p>
    <w:p>
      <w:pPr>
        <w:pStyle w:val="BodyText2"/>
        <w:ind w:start="1276" w:end="0"/>
        <w:rPr/>
      </w:pPr>
      <w:r>
        <w:rPr/>
        <w:t>We understand that PPDs will be set up as operating entities wherever there is a Pooling Point.  The Survey Questionnaire envisages that there will be a Pooling Point set up in England and Wales, which means that there will be a PPD present in England or Wales.  The BTO will enter into a contract with each PPD who will install and operate the hardware and software necessary for interconnection of bandwidth users and that they may subcontract some of their responsibilities to a service and maintenance operator.</w:t>
      </w:r>
    </w:p>
    <w:p>
      <w:pPr>
        <w:pStyle w:val="BodyText2"/>
        <w:ind w:start="1276" w:end="0"/>
        <w:rPr/>
      </w:pPr>
      <w:r>
        <w:rPr/>
        <w:t>While these activities are not sufficient to constitute an exchange in our view, such activities are likely to fall within paragraph 13(b) of Schedule 1 of the FSAct which means the PPD will be carrying out "investment business" in England and Wales for the purposes of the FSAct. This means it has either to obtain authorisation under the FSAct or be exempted from such authorisation. Paragraph 13(b) covers those who make, offer or agree to make "arrangements with a view to a person who participates in the arrangements buying, selling, subscribing for or underwriting investments".  The PPD is providing the software/hardware for the specific purpose of assisting or enabling the user to effect investment transactions and is effectively operating a trading system for the BTO.  For these reasons, the PPD's activities are likely to fall within paragraph 13(b).</w:t>
      </w:r>
    </w:p>
    <w:p>
      <w:pPr>
        <w:pStyle w:val="BodyText2"/>
        <w:ind w:start="1276" w:end="0"/>
        <w:rPr/>
      </w:pPr>
      <w:r>
        <w:rPr/>
        <w:t>Because of the nature of the activities it is performing, it is also likely to fall within Rule 1.15 of the Financial Services (Conduct of Business) Rules 1990 in the FSA's rulebook (formerly the Securities and Investments Board rules).  Rule 1.15 is essentially a light-touch regulatory regime.  Rule 1.15 applies to entities whose activities are confined to those set out in paragraph 13(b) of Schedule 1 of the FSAct.  Rule 1.15 is intended for "service providers" carrying out the sorts of functions that the PPD is carrying out and means that not all the rules that would usually apply to authorised institutions will apply to a Rule 1.15 service provider. In order to fall within Rule 1.15, the service provider shall only provide services for experienced business investors, shall not provide services other than on the terms of business which he submitted with his business plan, nor shall he approve the contents of an investment advertisement to be issued by a customer (Rule 1.15(4)).  To take advantage of this regime it is also important that the arrangements do not "bring about" the Transactions, since in such a case the activities would fall outside paragraph 13(b) and a more onerous regulatory regime would apply.</w:t>
      </w:r>
    </w:p>
    <w:p>
      <w:pPr>
        <w:pStyle w:val="BodyText2"/>
        <w:ind w:start="1276" w:end="0"/>
        <w:rPr/>
      </w:pPr>
      <w:r>
        <w:rPr/>
        <w:t>The rules which do apply to such a service provider relate to commencement provisions (part 1), the provision of a business plan (Rule 2.01), dealing with complaints (Rules 2.10 and 2.11), maintaining proper internal supervision (Rule 2.13), making provision for cessation of business (Rule 2.14) and a requirement to inform FSA or any event of force majeure (Rule 2.16).  The provisions of part 7 relating to investment advertisements will also apply, but not in relation to advertisements issued to the order of a customer or the issue of which takes place automatically upon the initiative of a customer.</w:t>
      </w:r>
    </w:p>
    <w:p>
      <w:pPr>
        <w:pStyle w:val="Normal"/>
        <w:keepNext w:val="true"/>
        <w:ind w:start="1276" w:end="0"/>
        <w:rPr>
          <w:b/>
          <w:i/>
          <w:i/>
        </w:rPr>
      </w:pPr>
      <w:bookmarkStart w:id="16" w:name="_Ref467060607"/>
      <w:r>
        <w:rPr>
          <w:b/>
          <w:i/>
        </w:rPr>
        <w:t>The Pooling Point Administrator ("PPA")</w:t>
      </w:r>
      <w:bookmarkEnd w:id="16"/>
    </w:p>
    <w:p>
      <w:pPr>
        <w:pStyle w:val="BodyText2"/>
        <w:keepNext w:val="true"/>
        <w:ind w:start="1276" w:end="0"/>
        <w:rPr/>
      </w:pPr>
      <w:r>
        <w:rPr/>
        <w:t>We understand that the PPA will be a separate entity, such as PricewaterhouseCoopers, with whom the BTO will enter into an agreement.  A PPA will be located wherever there is a Pooling Point and we understand there may be one or more Pooling Points in England or Wales.  We further understand that the PPA's responsibilities will include real-time monitoring  and verification of performance of trading contracts and administration and enforcement of the market and trading rules in compliance with applicable laws and regulations.</w:t>
      </w:r>
    </w:p>
    <w:p>
      <w:pPr>
        <w:pStyle w:val="BodyText2"/>
        <w:ind w:start="1276" w:end="0"/>
        <w:rPr/>
      </w:pPr>
      <w:r>
        <w:rPr/>
        <w:t>The above monitoring and verification activities which are described as being the responsibility of the PPA seem to imply policing and clearing and settlement functions envisaged in Schedule 4 of the FSAct.  If this is what is meant by the description of such activities, then it is likely that the PPA could apply for RIE status if it wished to do so.  As stated above, there is no requirement for it to do so but if it did not wish to do so, it would still be required to obtain authorisation from the FSA for its activities which are likely to fall within paragraph 13 of Schedule 1 of the FSAct relating to arranging deals.  This is because arrangements to provide trade matching and registration or clearing/settlement services are seen to be carrying out functions which are central to the carrying out of an investment transaction.  In addition, any activities which it carried out in relation to collecting in bids and allocating trades to the highest bidder is also likely to constitute arranging under paragraph 13(a) of Schedule 1 of the FSAct, meaning that the Rule 1.15 regime is unlikely to be available to the PPA.</w:t>
      </w:r>
    </w:p>
    <w:p>
      <w:pPr>
        <w:pStyle w:val="Normal"/>
        <w:ind w:hanging="624" w:start="1248" w:end="0"/>
        <w:rPr/>
      </w:pPr>
      <w:r>
        <w:rPr/>
        <w:t>(f)(ii)</w:t>
      </w:r>
      <w:r>
        <w:rPr>
          <w:b/>
          <w:i/>
        </w:rPr>
        <w:tab/>
        <w:t>If it would be so construed, which market supervisory body, if any, in England and Wales would regulate the Bandwidth market and which rules would apply?</w:t>
      </w:r>
    </w:p>
    <w:p>
      <w:pPr>
        <w:pStyle w:val="Normal"/>
        <w:ind w:hanging="624" w:start="1248" w:end="0"/>
        <w:rPr/>
      </w:pPr>
      <w:r>
        <w:rPr/>
        <w:tab/>
        <w:t>The supervising body responsible for Recognised Investment Exchanges in the UK is the Financial Services Authority.  We have set out relevant applicable rules in paragraph (f)(i) above.</w:t>
      </w:r>
    </w:p>
    <w:p>
      <w:pPr>
        <w:pStyle w:val="Heading2"/>
        <w:keepNext w:val="true"/>
        <w:ind w:hanging="0" w:start="0"/>
        <w:rPr/>
      </w:pPr>
      <w:bookmarkStart w:id="17" w:name="__RefHeading___Toc469131288"/>
      <w:bookmarkEnd w:id="17"/>
      <w:r>
        <w:rPr/>
        <w:t xml:space="preserve">Section 1B: </w:t>
        <w:tab/>
      </w:r>
      <w:r>
        <w:rPr>
          <w:b w:val="false"/>
        </w:rPr>
        <w:t>C</w:t>
      </w:r>
      <w:r>
        <w:rPr/>
        <w:t>apacity and Authority</w:t>
      </w:r>
    </w:p>
    <w:p>
      <w:pPr>
        <w:pStyle w:val="BodyText"/>
        <w:keepNext w:val="true"/>
        <w:ind w:hanging="652" w:start="1276" w:end="0"/>
        <w:rPr/>
      </w:pPr>
      <w:r>
        <w:rPr/>
        <w:t>(a)</w:t>
      </w:r>
      <w:r>
        <w:rPr>
          <w:b/>
          <w:i/>
        </w:rPr>
        <w:tab/>
        <w:t>Under local law in England and Wales, do any entities as Local Counterparties, for example (but not limited to) municipalities or utilities, have any legal restrictions placed on their ability to enter into the Transactions?  If so, please briefly describe.</w:t>
      </w:r>
    </w:p>
    <w:p>
      <w:pPr>
        <w:pStyle w:val="BodyText2"/>
        <w:keepNext w:val="true"/>
        <w:ind w:start="1276" w:end="0"/>
        <w:rPr/>
      </w:pPr>
      <w:r>
        <w:rPr/>
        <w:t>The general answer is no: legal entities such as natural persons of legal age, corporations, municipalities and utilities would be free to enter into the Transactions. There are, however, three main exceptions to this general principle:</w:t>
      </w:r>
    </w:p>
    <w:p>
      <w:pPr>
        <w:pStyle w:val="bullet"/>
        <w:numPr>
          <w:ilvl w:val="0"/>
          <w:numId w:val="25"/>
        </w:numPr>
        <w:tabs>
          <w:tab w:val="clear" w:pos="624"/>
        </w:tabs>
        <w:ind w:hanging="720" w:start="1968" w:end="0"/>
        <w:rPr/>
      </w:pPr>
      <w:r>
        <w:rPr>
          <w:rFonts w:eastAsia="CG Times"/>
          <w:b/>
        </w:rPr>
        <w:t xml:space="preserve"> </w:t>
      </w:r>
      <w:r>
        <w:rPr>
          <w:b/>
        </w:rPr>
        <w:t>Criminal Law</w:t>
      </w:r>
      <w:r>
        <w:rPr/>
        <w:t>:  Contracts are unenforceable if the subject matter is a criminal act or illegal/restricted good.  Bandwidth would not fall into this category.</w:t>
      </w:r>
    </w:p>
    <w:p>
      <w:pPr>
        <w:pStyle w:val="bullet"/>
        <w:numPr>
          <w:ilvl w:val="0"/>
          <w:numId w:val="6"/>
        </w:numPr>
        <w:tabs>
          <w:tab w:val="clear" w:pos="624"/>
          <w:tab w:val="left" w:pos="1968" w:leader="none"/>
        </w:tabs>
        <w:ind w:hanging="720" w:start="1968" w:end="0"/>
        <w:rPr/>
      </w:pPr>
      <w:r>
        <w:rPr>
          <w:b/>
        </w:rPr>
        <w:t>Ultra Vires - Corporations</w:t>
      </w:r>
      <w:r>
        <w:rPr/>
        <w:t xml:space="preserve">: An </w:t>
      </w:r>
      <w:r>
        <w:rPr>
          <w:i/>
        </w:rPr>
        <w:t>ultra vires</w:t>
      </w:r>
      <w:r>
        <w:rPr/>
        <w:t xml:space="preserve"> activity is an activity that is beyond the legal powers of the corporation.  The activities that fall within the scope of the activities that the corporation are able to take on are those usually set out in the objects clause of the Memorandum of Association.  There is a general common law rule in England and Wales, supported and amended by legislation, that </w:t>
      </w:r>
      <w:r>
        <w:rPr>
          <w:i/>
        </w:rPr>
        <w:t xml:space="preserve">ultra vires </w:t>
      </w:r>
      <w:r>
        <w:rPr/>
        <w:t xml:space="preserve">acts by a corporation must be ratified by a special resolution of a meeting of the corporation's shareholders.  In the absence of such ratification, such activities can be challenged by a shareholder who if successful can restrain the corporation from completing that activity. </w:t>
      </w:r>
    </w:p>
    <w:p>
      <w:pPr>
        <w:pStyle w:val="bullet"/>
        <w:numPr>
          <w:ilvl w:val="0"/>
          <w:numId w:val="0"/>
        </w:numPr>
        <w:ind w:hanging="0" w:start="1968" w:end="0"/>
        <w:rPr/>
      </w:pPr>
      <w:r>
        <w:rPr/>
        <w:t>That said, section 35A of the</w:t>
      </w:r>
      <w:r>
        <w:rPr>
          <w:i/>
        </w:rPr>
        <w:t xml:space="preserve"> </w:t>
      </w:r>
      <w:r>
        <w:rPr/>
        <w:t>Companies Act 1985  states that where a person is dealing with a company in good faith, the power of the board of directors to bind the company, or authorise others to do so, is deemed to be free of any limitation under the company’s Memorandum or Articles of Association.  Therefore, there is no obligation to examine a Local Counterparty's Memorandum or Articles of Association prior to entering into a Transaction, provided that ECI is dealing with directors or other authorised persons in good faith.</w:t>
      </w:r>
    </w:p>
    <w:p>
      <w:pPr>
        <w:pStyle w:val="bullet"/>
        <w:numPr>
          <w:ilvl w:val="0"/>
          <w:numId w:val="25"/>
        </w:numPr>
        <w:tabs>
          <w:tab w:val="clear" w:pos="624"/>
          <w:tab w:val="left" w:pos="1968" w:leader="none"/>
        </w:tabs>
        <w:ind w:hanging="720" w:start="1968" w:end="0"/>
        <w:rPr>
          <w:b/>
        </w:rPr>
      </w:pPr>
      <w:r>
        <w:rPr>
          <w:b/>
        </w:rPr>
        <w:t>Ultra Vires - Public Bodies and Public Corporations</w:t>
      </w:r>
      <w:r>
        <w:rPr/>
        <w:t xml:space="preserve">: Public authorities whose powers are defined by statute are subject to the </w:t>
      </w:r>
      <w:r>
        <w:rPr>
          <w:i/>
        </w:rPr>
        <w:t>ultra vires</w:t>
      </w:r>
      <w:r>
        <w:rPr/>
        <w:t xml:space="preserve"> rule.  As with corporations above, this is a general common law rule that transactions are void where they are beyond the capacity of the transacting party.  For public authorities, this will depend on the scope of their powers as defined in the statute.</w:t>
      </w:r>
    </w:p>
    <w:p>
      <w:pPr>
        <w:pStyle w:val="Normal"/>
        <w:ind w:start="1968" w:end="0"/>
        <w:rPr/>
      </w:pPr>
      <w:r>
        <w:rPr/>
        <w:t>In particular, we note that public corporations have no regular form and no specialised function, this depends largely upon the statute under which they were formed or their constitution. Therefore, prior to entering into a Transaction for the first time with any entity other than a private company, or with any company which is a Crown servant (see below Section 4.6), we would recommend you obtain a legal opinion from its legal counsel as to the ability of that entity to enter into the Transaction and to the enforceability of the Transaction.</w:t>
      </w:r>
    </w:p>
    <w:p>
      <w:pPr>
        <w:pStyle w:val="Normal"/>
        <w:ind w:start="1968" w:end="0"/>
        <w:rPr/>
      </w:pPr>
      <w:r>
        <w:rPr/>
        <w:t xml:space="preserve">Section 111 of the Local Government Act 1972 preserves the common law </w:t>
      </w:r>
      <w:r>
        <w:rPr>
          <w:i/>
        </w:rPr>
        <w:t>ultra vires</w:t>
      </w:r>
      <w:r>
        <w:rPr/>
        <w:t xml:space="preserve"> position in relation to local municipalities, but modifies its application.  It states that municipalities are empowered to do anything (whether or not involving the expenditure, borrowing or lending of money or the acquisition or disposal of any property rights) which is calculated to facilitate, or is conducive or incidental to, the discharge of any of their statutory functions.</w:t>
      </w:r>
    </w:p>
    <w:p>
      <w:pPr>
        <w:pStyle w:val="Normal"/>
        <w:ind w:start="1968" w:end="0"/>
        <w:rPr>
          <w:b/>
        </w:rPr>
      </w:pPr>
      <w:r>
        <w:rPr/>
        <w:t xml:space="preserve">The recently enacted Local Government (Contracts) Act 1997 purports to provide certainty over </w:t>
      </w:r>
      <w:r>
        <w:rPr>
          <w:i/>
        </w:rPr>
        <w:t>ultra vires</w:t>
      </w:r>
      <w:r>
        <w:rPr/>
        <w:t xml:space="preserve"> concerns in relation to contracts entered into with entities in the private sector. It states that where a contract has been "self-certified" by a local authority, there is a strong presumption against </w:t>
      </w:r>
      <w:r>
        <w:rPr>
          <w:i/>
        </w:rPr>
        <w:t>ultra vires</w:t>
      </w:r>
      <w:r>
        <w:rPr/>
        <w:t xml:space="preserve"> similar to that for transactions with corporates (i.e. in relation to dealings in good faith).  This covers contracts under which assets or services (or both) are made available in relation to the discharge of the functions of the authority.  This is likely to cover the Transactions as described.  It is important to note, however, that the Local Government (Contracts) Act 1997 provides for special discharge terms (either agreed or imposed) that attempt to compensate the other party if the contract is deemed unlawful because of an </w:t>
      </w:r>
      <w:r>
        <w:rPr>
          <w:i/>
        </w:rPr>
        <w:t xml:space="preserve">ultra vires </w:t>
      </w:r>
      <w:r>
        <w:rPr/>
        <w:t>act.</w:t>
      </w:r>
    </w:p>
    <w:p>
      <w:pPr>
        <w:pStyle w:val="BodyText"/>
        <w:keepNext w:val="true"/>
        <w:ind w:hanging="992" w:start="1276" w:end="0"/>
        <w:rPr/>
      </w:pPr>
      <w:r>
        <w:rPr/>
        <w:t>(b)(i)-(ii)</w:t>
        <w:tab/>
      </w:r>
      <w:r>
        <w:rPr>
          <w:b/>
          <w:i/>
        </w:rPr>
        <w:t>Pursuant to the requirements of local law in England and Wales, would ECI need to enter into the Transactions with Local Counterparties through an ECI-affiliated entity that is incorporated or otherwise organised in, or through a branch in, England and Wales? If it would be so required under local law in England and Wales, please specify what type of entity ECI would be required to establish in England and Wales.</w:t>
      </w:r>
    </w:p>
    <w:p>
      <w:pPr>
        <w:pStyle w:val="Normal"/>
        <w:ind w:start="1248" w:end="0"/>
        <w:rPr/>
      </w:pPr>
      <w:r>
        <w:rPr/>
        <w:t>There is no requirement in the laws of England and Wales for the ECI contracting entity to be incorporated, organised or otherwise located in England or Wales.</w:t>
      </w:r>
    </w:p>
    <w:p>
      <w:pPr>
        <w:pStyle w:val="BodyText"/>
        <w:keepNext w:val="true"/>
        <w:ind w:hanging="652" w:start="1276" w:end="0"/>
        <w:rPr/>
      </w:pPr>
      <w:r>
        <w:rPr/>
        <w:t>(b)(iii</w:t>
      </w:r>
      <w:r>
        <w:rPr>
          <w:b/>
        </w:rPr>
        <w:t>)</w:t>
      </w:r>
      <w:r>
        <w:rPr>
          <w:b/>
          <w:i/>
        </w:rPr>
        <w:tab/>
        <w:t>If ECI established such an entity in England and Wales to enter into the Transactions with Local Counterparties, would your answers to any of the questions set out in Section 1A of the Survey Questionnaire change in any respect and, if so, how?  Are there any limitations on foreign ownership of such an entity?</w:t>
      </w:r>
    </w:p>
    <w:p>
      <w:pPr>
        <w:pStyle w:val="Normal"/>
        <w:keepNext w:val="true"/>
        <w:ind w:start="1248" w:end="0"/>
        <w:rPr/>
      </w:pPr>
      <w:r>
        <w:rPr/>
        <w:t>Our responses to Section 1A of the Survey Questionnaire would not change if ECI established such an entity in England and Wales.  However, if ECI wishes or needs to obtain an individual telecommunications licence (as discussed above in Section 1A), this process may be facilitated if the licence applicant is incorporated in the UK.</w:t>
      </w:r>
    </w:p>
    <w:p>
      <w:pPr>
        <w:pStyle w:val="Normal"/>
        <w:ind w:start="1248" w:end="0"/>
        <w:rPr/>
      </w:pPr>
      <w:r>
        <w:rPr/>
        <w:t>There are no restrictions on foreign ownership of a UK company.</w:t>
      </w:r>
    </w:p>
    <w:p>
      <w:pPr>
        <w:pStyle w:val="Heading2"/>
        <w:ind w:hanging="0" w:start="0"/>
        <w:rPr/>
      </w:pPr>
      <w:bookmarkStart w:id="18" w:name="__RefHeading___Toc469131289"/>
      <w:bookmarkEnd w:id="18"/>
      <w:r>
        <w:rPr/>
        <w:t xml:space="preserve">Section 1C:  </w:t>
        <w:tab/>
        <w:t>General Contractual Terms and Formalities</w:t>
      </w:r>
    </w:p>
    <w:p>
      <w:pPr>
        <w:pStyle w:val="BodyText"/>
        <w:ind w:hanging="652" w:start="1276" w:end="0"/>
        <w:rPr/>
      </w:pPr>
      <w:r>
        <w:rPr/>
        <w:t>(a)(i)</w:t>
      </w:r>
      <w:r>
        <w:rPr>
          <w:b/>
          <w:i/>
        </w:rPr>
        <w:tab/>
        <w:t>In respect of Transactions entered into by way of exchange of electronic messages, do any special laws or regulations exist in England and Wales which would prevent or in any way impact upon marketing or trading of any of the Transactions through the Internet?</w:t>
      </w:r>
    </w:p>
    <w:p>
      <w:pPr>
        <w:pStyle w:val="Normal"/>
        <w:ind w:start="1248" w:end="0"/>
        <w:rPr/>
      </w:pPr>
      <w:r>
        <w:rPr/>
        <w:t>There are no contract enforcement or marketing laws or regulations specific to electronic transactions in England and Wales.  Notwithstanding this general principle, is it worth noting the following:</w:t>
      </w:r>
    </w:p>
    <w:p>
      <w:pPr>
        <w:pStyle w:val="bullet"/>
        <w:numPr>
          <w:ilvl w:val="0"/>
          <w:numId w:val="25"/>
        </w:numPr>
        <w:tabs>
          <w:tab w:val="clear" w:pos="624"/>
          <w:tab w:val="left" w:pos="1968" w:leader="none"/>
        </w:tabs>
        <w:ind w:hanging="720" w:start="1968" w:end="0"/>
        <w:rPr/>
      </w:pPr>
      <w:r>
        <w:rPr>
          <w:b/>
        </w:rPr>
        <w:t>Application of existing contractual laws</w:t>
      </w:r>
      <w:r>
        <w:rPr/>
        <w:t>:</w:t>
      </w:r>
      <w:r>
        <w:rPr>
          <w:b/>
        </w:rPr>
        <w:t xml:space="preserve">  </w:t>
      </w:r>
      <w:r>
        <w:rPr/>
        <w:t xml:space="preserve">Although no special laws are in existence in relation to electronic trading, it is important to consider carefully the application of </w:t>
      </w:r>
      <w:r>
        <w:rPr>
          <w:i/>
        </w:rPr>
        <w:t>existing</w:t>
      </w:r>
      <w:r>
        <w:rPr/>
        <w:t xml:space="preserve"> laws and regulations to trading using electronic messages or via the Internet.  The initial issue to consider is whether, through the application of the existing laws, there is a different legal risk profile in forming contracts electronically as opposed to via the telephone.  The areas of risk which need to be considered include:</w:t>
      </w:r>
    </w:p>
    <w:p>
      <w:pPr>
        <w:pStyle w:val="bullet"/>
        <w:numPr>
          <w:ilvl w:val="0"/>
          <w:numId w:val="7"/>
        </w:numPr>
        <w:tabs>
          <w:tab w:val="clear" w:pos="624"/>
          <w:tab w:val="left" w:pos="2328" w:leader="none"/>
        </w:tabs>
        <w:ind w:hanging="360" w:start="2328" w:end="0"/>
        <w:rPr/>
      </w:pPr>
      <w:r>
        <w:rPr/>
        <w:t>how to evidence the Transaction;</w:t>
      </w:r>
    </w:p>
    <w:p>
      <w:pPr>
        <w:pStyle w:val="BodyText2"/>
        <w:numPr>
          <w:ilvl w:val="0"/>
          <w:numId w:val="5"/>
        </w:numPr>
        <w:tabs>
          <w:tab w:val="clear" w:pos="624"/>
          <w:tab w:val="left" w:pos="2328" w:leader="none"/>
        </w:tabs>
        <w:ind w:hanging="360" w:start="2328" w:end="0"/>
        <w:rPr/>
      </w:pPr>
      <w:r>
        <w:rPr/>
        <w:t>how to validate the identity of the other party to the Transaction;</w:t>
      </w:r>
    </w:p>
    <w:p>
      <w:pPr>
        <w:pStyle w:val="BodyText2"/>
        <w:numPr>
          <w:ilvl w:val="0"/>
          <w:numId w:val="21"/>
        </w:numPr>
        <w:tabs>
          <w:tab w:val="clear" w:pos="624"/>
          <w:tab w:val="left" w:pos="2328" w:leader="none"/>
        </w:tabs>
        <w:ind w:hanging="360" w:start="2328" w:end="0"/>
        <w:rPr/>
      </w:pPr>
      <w:r>
        <w:rPr/>
        <w:t>how to ensure that there is a meeting of the minds in that the offer for the Transaction is exactly matched by the acceptance; and</w:t>
      </w:r>
    </w:p>
    <w:p>
      <w:pPr>
        <w:pStyle w:val="BodyText2"/>
        <w:numPr>
          <w:ilvl w:val="0"/>
          <w:numId w:val="2"/>
        </w:numPr>
        <w:tabs>
          <w:tab w:val="clear" w:pos="624"/>
          <w:tab w:val="left" w:pos="2328" w:leader="none"/>
        </w:tabs>
        <w:ind w:hanging="360" w:start="2328" w:end="0"/>
        <w:rPr/>
      </w:pPr>
      <w:r>
        <w:rPr/>
        <w:t xml:space="preserve">how to ensure that the terms and conditions, and consideration for the Transaction have been clearly agreed.  </w:t>
      </w:r>
    </w:p>
    <w:p>
      <w:pPr>
        <w:pStyle w:val="Normal"/>
        <w:ind w:start="1968" w:end="0"/>
        <w:rPr/>
      </w:pPr>
      <w:r>
        <w:rPr/>
        <w:t>It is important to have an agreed procedure between the parties for satisfying the above requirements.  Therefore we would recommend amending the Master Agreement and GTCs accordingly, or otherwise providing for terms and conditions which establish the procedure for the formation of Transactions electronically.</w:t>
      </w:r>
    </w:p>
    <w:p>
      <w:pPr>
        <w:pStyle w:val="bullet"/>
        <w:numPr>
          <w:ilvl w:val="0"/>
          <w:numId w:val="25"/>
        </w:numPr>
        <w:tabs>
          <w:tab w:val="clear" w:pos="624"/>
          <w:tab w:val="left" w:pos="1968" w:leader="none"/>
        </w:tabs>
        <w:ind w:hanging="720" w:start="1968" w:end="0"/>
        <w:rPr/>
      </w:pPr>
      <w:r>
        <w:rPr>
          <w:b/>
        </w:rPr>
        <w:t>Application of existing marketing laws</w:t>
      </w:r>
      <w:r>
        <w:rPr/>
        <w:t>:</w:t>
      </w:r>
      <w:r>
        <w:rPr>
          <w:b/>
        </w:rPr>
        <w:t xml:space="preserve"> </w:t>
      </w:r>
      <w:r>
        <w:rPr/>
        <w:t>Marketing laws and regulations in England and Wales apply to promotional activities irrespective of whether such activities are undertaken electronically or by more traditional means.  The majority of rules and regulations on advertising and marketing literature in the UK are contained in the British Codes of Advertising and Sales Promotion (the “</w:t>
      </w:r>
      <w:r>
        <w:rPr>
          <w:b/>
        </w:rPr>
        <w:t>Code</w:t>
      </w:r>
      <w:r>
        <w:rPr/>
        <w:t>”).</w:t>
      </w:r>
    </w:p>
    <w:p>
      <w:pPr>
        <w:pStyle w:val="Normal"/>
        <w:ind w:start="1968" w:end="0"/>
        <w:rPr/>
      </w:pPr>
      <w:r>
        <w:rPr/>
        <w:t>The Code is not legally binding, but is a code of practice designed to establish and maintain standards for the sales promotion industry in the UK.  It provides detailed rules about many aspects of advertising such as sales promotions and price indications. Below are some examples of some of the most important underlying principles set out in the Code:</w:t>
      </w:r>
      <w:r>
        <w:rPr>
          <w:rStyle w:val="FootnoteCharacters"/>
          <w:rStyle w:val="FootnoteReference"/>
        </w:rPr>
        <w:footnoteReference w:id="4"/>
      </w:r>
    </w:p>
    <w:p>
      <w:pPr>
        <w:pStyle w:val="squarebullet"/>
        <w:numPr>
          <w:ilvl w:val="0"/>
          <w:numId w:val="17"/>
        </w:numPr>
        <w:tabs>
          <w:tab w:val="clear" w:pos="624"/>
          <w:tab w:val="left" w:pos="2328" w:leader="none"/>
        </w:tabs>
        <w:ind w:hanging="360" w:start="2328" w:end="0"/>
        <w:rPr/>
      </w:pPr>
      <w:r>
        <w:rPr/>
        <w:t>Advertisements must state the full name and address of the advertiser.</w:t>
      </w:r>
    </w:p>
    <w:p>
      <w:pPr>
        <w:pStyle w:val="squarebullet"/>
        <w:numPr>
          <w:ilvl w:val="0"/>
          <w:numId w:val="17"/>
        </w:numPr>
        <w:tabs>
          <w:tab w:val="clear" w:pos="624"/>
          <w:tab w:val="left" w:pos="2328" w:leader="none"/>
        </w:tabs>
        <w:ind w:hanging="360" w:start="2328" w:end="0"/>
        <w:rPr/>
      </w:pPr>
      <w:r>
        <w:rPr/>
        <w:t>Advertisements must include the main characteristics of the product, whether any VAT is payable, any limitation on offers, payment arrangement, delivery arrangements etc.</w:t>
      </w:r>
    </w:p>
    <w:p>
      <w:pPr>
        <w:pStyle w:val="squarebullet"/>
        <w:numPr>
          <w:ilvl w:val="0"/>
          <w:numId w:val="17"/>
        </w:numPr>
        <w:tabs>
          <w:tab w:val="clear" w:pos="624"/>
          <w:tab w:val="left" w:pos="2328" w:leader="none"/>
        </w:tabs>
        <w:ind w:hanging="360" w:start="2328" w:end="0"/>
        <w:rPr/>
      </w:pPr>
      <w:r>
        <w:rPr/>
        <w:t>Advertisements must be legal, decent, honest, truthful and should represent the principles of fair competition and should not bring advertising into disrepute.</w:t>
      </w:r>
    </w:p>
    <w:p>
      <w:pPr>
        <w:pStyle w:val="squarebullet"/>
        <w:numPr>
          <w:ilvl w:val="0"/>
          <w:numId w:val="17"/>
        </w:numPr>
        <w:tabs>
          <w:tab w:val="clear" w:pos="624"/>
          <w:tab w:val="left" w:pos="2328" w:leader="none"/>
        </w:tabs>
        <w:ind w:hanging="360" w:start="2328" w:end="0"/>
        <w:rPr/>
      </w:pPr>
      <w:r>
        <w:rPr/>
        <w:t>Care must be taken in using specific terms (such as “environmentally friendly”) as evidence will be needed to support such a claim.</w:t>
      </w:r>
    </w:p>
    <w:p>
      <w:pPr>
        <w:pStyle w:val="squarebullet"/>
        <w:numPr>
          <w:ilvl w:val="0"/>
          <w:numId w:val="17"/>
        </w:numPr>
        <w:tabs>
          <w:tab w:val="clear" w:pos="624"/>
          <w:tab w:val="left" w:pos="2328" w:leader="none"/>
        </w:tabs>
        <w:ind w:hanging="360" w:start="2328" w:end="0"/>
        <w:rPr/>
      </w:pPr>
      <w:r>
        <w:rPr/>
        <w:t>Extravagant language and bogus or confusing scientific terms should be avoided and the advertisements must not exaggerate claims.</w:t>
      </w:r>
    </w:p>
    <w:p>
      <w:pPr>
        <w:pStyle w:val="BodyText3"/>
        <w:ind w:start="1968" w:end="0"/>
        <w:rPr/>
      </w:pPr>
      <w:r>
        <w:rPr/>
        <w:t>Whilst the Code is non-binding, any breach of it could have serious repercussions in the form of adverse publicity or withdrawal of advertising space in other media.</w:t>
      </w:r>
    </w:p>
    <w:p>
      <w:pPr>
        <w:pStyle w:val="BodyText3"/>
        <w:ind w:start="1968" w:end="0"/>
        <w:rPr/>
      </w:pPr>
      <w:r>
        <w:rPr/>
        <w:t xml:space="preserve">Regulations also provide minimum standards of protection against misleading claims in advertisements addressed to consumers.  Although this does not directly apply to Local Counterparties as they are unlikely to be deemed to be consumers, it is nonetheless important to exclude all misleading statements and statements that may create confusion from any marketing material included on any website used during entry into the Transactions.  In providing the advice above, we assume that marketing related to the Transactions will not involve comparative advertising.   </w:t>
      </w:r>
    </w:p>
    <w:p>
      <w:pPr>
        <w:pStyle w:val="bullet"/>
        <w:numPr>
          <w:ilvl w:val="0"/>
          <w:numId w:val="25"/>
        </w:numPr>
        <w:tabs>
          <w:tab w:val="clear" w:pos="624"/>
          <w:tab w:val="left" w:pos="1968" w:leader="none"/>
        </w:tabs>
        <w:ind w:hanging="720" w:start="1968" w:end="0"/>
        <w:rPr/>
      </w:pPr>
      <w:r>
        <w:rPr>
          <w:b/>
        </w:rPr>
        <w:t>Future Legislative Changes (European)</w:t>
      </w:r>
      <w:r>
        <w:rPr/>
        <w:t>:</w:t>
      </w:r>
      <w:r>
        <w:rPr>
          <w:b/>
        </w:rPr>
        <w:t xml:space="preserve">  </w:t>
      </w:r>
      <w:r>
        <w:rPr/>
        <w:t xml:space="preserve">The European Commission is currently debating and finalising a directive with potential impact on certain legal aspects of electronic commerce in the European Union (the E-Commerce Directive).  If implemented in a form similar to drafts currently available, this could have the impact of establishing certain criteria and procedures for the formation of contracts using electronic means.  There are general exceptions to these procedures for parties described as </w:t>
      </w:r>
      <w:r>
        <w:rPr>
          <w:i/>
        </w:rPr>
        <w:t>"</w:t>
      </w:r>
      <w:r>
        <w:rPr/>
        <w:t>Professional Persons</w:t>
      </w:r>
      <w:r>
        <w:rPr>
          <w:i/>
        </w:rPr>
        <w:t>",</w:t>
      </w:r>
      <w:r>
        <w:rPr/>
        <w:t xml:space="preserve"> however the final extent of these exemptions or what must be done commercially and legally to take advantage of these exceptions is currently unclear.  It is difficult to estimate either when the E-Commerce Directive will be finalised by the Commission and when enabling legislation will be passed in England and Wales. That said, it is conceivable that some of the principles of the E-Commerce Directive could be law in some European jurisdictions, including England and Wales by the end of 2000.  </w:t>
      </w:r>
    </w:p>
    <w:p>
      <w:pPr>
        <w:pStyle w:val="bullet"/>
        <w:numPr>
          <w:ilvl w:val="0"/>
          <w:numId w:val="25"/>
        </w:numPr>
        <w:tabs>
          <w:tab w:val="clear" w:pos="624"/>
          <w:tab w:val="left" w:pos="1968" w:leader="none"/>
        </w:tabs>
        <w:ind w:hanging="720" w:start="1968" w:end="0"/>
        <w:rPr/>
      </w:pPr>
      <w:r>
        <w:rPr>
          <w:b/>
        </w:rPr>
        <w:t>Future Legislative Changes (England and Wales)</w:t>
      </w:r>
      <w:r>
        <w:rPr/>
        <w:t>: The Electronic Communications Bill is currently before the House of Commons (its second reading was scheduled for 29 November 1999).  This Bill currently provides for:</w:t>
      </w:r>
    </w:p>
    <w:p>
      <w:pPr>
        <w:pStyle w:val="squarebullet"/>
        <w:numPr>
          <w:ilvl w:val="0"/>
          <w:numId w:val="17"/>
        </w:numPr>
        <w:tabs>
          <w:tab w:val="clear" w:pos="624"/>
        </w:tabs>
        <w:ind w:hanging="425" w:start="2410" w:end="0"/>
        <w:rPr/>
      </w:pPr>
      <w:r>
        <w:rPr/>
        <w:t>a statutory approval scheme for businesses and other organisations providing cryptography services, such as electronic signature services and confidentiality services;</w:t>
      </w:r>
    </w:p>
    <w:p>
      <w:pPr>
        <w:pStyle w:val="squarebullet"/>
        <w:numPr>
          <w:ilvl w:val="0"/>
          <w:numId w:val="17"/>
        </w:numPr>
        <w:tabs>
          <w:tab w:val="clear" w:pos="624"/>
        </w:tabs>
        <w:ind w:hanging="425" w:start="2410" w:end="0"/>
        <w:rPr/>
      </w:pPr>
      <w:r>
        <w:rPr/>
        <w:t>the legal recognition of electronic signatures; and</w:t>
      </w:r>
    </w:p>
    <w:p>
      <w:pPr>
        <w:pStyle w:val="squarebullet"/>
        <w:numPr>
          <w:ilvl w:val="0"/>
          <w:numId w:val="17"/>
        </w:numPr>
        <w:tabs>
          <w:tab w:val="clear" w:pos="624"/>
        </w:tabs>
        <w:ind w:hanging="425" w:start="2410" w:end="0"/>
        <w:rPr/>
      </w:pPr>
      <w:r>
        <w:rPr/>
        <w:t>the removal of obstacles in other legislation to the use of electronic communication and storage in place of paper.</w:t>
      </w:r>
    </w:p>
    <w:p>
      <w:pPr>
        <w:pStyle w:val="Normal"/>
        <w:ind w:start="1985" w:end="0"/>
        <w:rPr/>
      </w:pPr>
      <w:r>
        <w:rPr/>
        <w:t>This would not have wide ranging impact on the formation of contracts using electronic communications, but could help clarify a number of outstanding issues in the application of existing contractual rules to contracts formed using electronic communications.</w:t>
      </w:r>
    </w:p>
    <w:p>
      <w:pPr>
        <w:pStyle w:val="bullet"/>
        <w:numPr>
          <w:ilvl w:val="0"/>
          <w:numId w:val="25"/>
        </w:numPr>
        <w:tabs>
          <w:tab w:val="clear" w:pos="624"/>
          <w:tab w:val="left" w:pos="1968" w:leader="none"/>
        </w:tabs>
        <w:ind w:hanging="720" w:start="1968" w:end="0"/>
        <w:rPr>
          <w:b/>
        </w:rPr>
      </w:pPr>
      <w:r>
        <w:rPr>
          <w:b/>
        </w:rPr>
        <w:t>Data protection</w:t>
      </w:r>
      <w:r>
        <w:rPr/>
        <w:t>:  We note that, to the extent marketing or trading of the Transactions involves the creation or use of personal data and databases, these activities may be subject to data protection regulation (see further Section 1C(b)-(d) below).</w:t>
      </w:r>
    </w:p>
    <w:p>
      <w:pPr>
        <w:pStyle w:val="bullet"/>
        <w:numPr>
          <w:ilvl w:val="0"/>
          <w:numId w:val="25"/>
        </w:numPr>
        <w:tabs>
          <w:tab w:val="clear" w:pos="624"/>
          <w:tab w:val="left" w:pos="1968" w:leader="none"/>
        </w:tabs>
        <w:ind w:hanging="720" w:start="1968" w:end="0"/>
        <w:rPr/>
      </w:pPr>
      <w:r>
        <w:rPr>
          <w:b/>
        </w:rPr>
        <w:t>Financial services regulation</w:t>
      </w:r>
      <w:r>
        <w:rPr/>
        <w:t>:</w:t>
      </w:r>
      <w:r>
        <w:rPr>
          <w:b/>
        </w:rPr>
        <w:t xml:space="preserve"> </w:t>
      </w:r>
      <w:r>
        <w:rPr/>
        <w:t xml:space="preserve"> We note also that there are a number of financial services and regulatory issues that relate to investment advertisements and marketing on the Internet, which we have not examined in accordance with your instructions.</w:t>
      </w:r>
    </w:p>
    <w:p>
      <w:pPr>
        <w:pStyle w:val="BodyText"/>
        <w:ind w:hanging="652" w:start="1276" w:end="0"/>
        <w:rPr/>
      </w:pPr>
      <w:r>
        <w:rPr/>
        <w:t>(a)(ii)</w:t>
      </w:r>
      <w:r>
        <w:rPr>
          <w:b/>
          <w:i/>
        </w:rPr>
        <w:tab/>
        <w:t>If the answer to Section 1(C)(a)(i) is "yes", please indicate whether the impact of any relevant laws or regulations will differ depending upon whether (i) the relevant Internet site is maintained in England or Wales or elsewhere; or (ii) the party effecting the marketing/trading through the Internet is locally licensed or benefits from any form of exemption to carry out the relevant business.</w:t>
      </w:r>
    </w:p>
    <w:p>
      <w:pPr>
        <w:pStyle w:val="BodyText"/>
        <w:ind w:hanging="652" w:start="1276" w:end="0"/>
        <w:rPr/>
      </w:pPr>
      <w:r>
        <w:rPr>
          <w:i/>
        </w:rPr>
        <w:tab/>
      </w:r>
      <w:r>
        <w:rPr/>
        <w:t>The application of the existing and proposed (as currently drafted) laws in England and Wales described in paragraph (a)(i) above is not affected by the location of the relevant Internet site, or whether the entity is locally licensed or benefits from any form of exemption to carry out the relevant business.  We note, however, that the location of any databases etc. may impact on the application of data protection requirements (see Section 1C(b)-(d) below).</w:t>
      </w:r>
    </w:p>
    <w:p>
      <w:pPr>
        <w:pStyle w:val="BodyText"/>
        <w:ind w:hanging="652" w:start="1276" w:end="0"/>
        <w:rPr/>
      </w:pPr>
      <w:r>
        <w:rPr>
          <w:rFonts w:eastAsia="CG Times"/>
        </w:rPr>
        <w:t xml:space="preserve"> </w:t>
      </w:r>
      <w:r>
        <w:rPr/>
        <w:t>(a)(iii)</w:t>
      </w:r>
      <w:r>
        <w:rPr>
          <w:b/>
          <w:i/>
        </w:rPr>
        <w:tab/>
        <w:t>Please confirm that by marketing to or trading with Local Counterparties via the Internet, local relevant regulatory bodies/local laws or regulations will not consider the party maintaining the relevant website to have established a physical establishment/branch in your jurisdiction.</w:t>
      </w:r>
    </w:p>
    <w:p>
      <w:pPr>
        <w:pStyle w:val="BodyText"/>
        <w:ind w:hanging="652" w:start="1276" w:end="0"/>
        <w:rPr/>
      </w:pPr>
      <w:r>
        <w:rPr>
          <w:b/>
          <w:i/>
        </w:rPr>
        <w:tab/>
      </w:r>
      <w:r>
        <w:rPr/>
        <w:t>You have asked that we do not consider taxation issues in this Report.  There are no other relevant laws or regulations or regulatory bodies in England and Wales which would consider or deem the person maintaining the website to have established a physical establishment/branch in England or Wales.</w:t>
      </w:r>
    </w:p>
    <w:p>
      <w:pPr>
        <w:pStyle w:val="BodyText"/>
        <w:keepNext w:val="true"/>
        <w:ind w:hanging="652" w:start="1276" w:end="0"/>
        <w:rPr/>
      </w:pPr>
      <w:r>
        <w:rPr/>
        <w:t>(b)</w:t>
      </w:r>
      <w:r>
        <w:rPr>
          <w:b/>
          <w:i/>
        </w:rPr>
        <w:tab/>
        <w:t>ECI's practice is to record the telephone lines of its traders.  Does that give rise to any issues under local law in England and Wales?</w:t>
      </w:r>
    </w:p>
    <w:p>
      <w:pPr>
        <w:pStyle w:val="BodyText2"/>
        <w:keepNext w:val="true"/>
        <w:ind w:start="1276" w:end="0"/>
        <w:rPr/>
      </w:pPr>
      <w:r>
        <w:rPr/>
        <w:t xml:space="preserve">The recording of telephone lines in the UK gives rise to a number of legal issues:  </w:t>
      </w:r>
    </w:p>
    <w:p>
      <w:pPr>
        <w:pStyle w:val="bullet"/>
        <w:numPr>
          <w:ilvl w:val="0"/>
          <w:numId w:val="25"/>
        </w:numPr>
        <w:tabs>
          <w:tab w:val="clear" w:pos="624"/>
          <w:tab w:val="left" w:pos="1968" w:leader="none"/>
        </w:tabs>
        <w:ind w:hanging="720" w:start="1968" w:end="0"/>
        <w:rPr/>
      </w:pPr>
      <w:r>
        <w:rPr>
          <w:b/>
        </w:rPr>
        <w:t>Telecoms Data Protection</w:t>
      </w:r>
      <w:r>
        <w:rPr/>
        <w:t>:</w:t>
      </w:r>
      <w:r>
        <w:rPr>
          <w:b/>
        </w:rPr>
        <w:t xml:space="preserve"> </w:t>
      </w:r>
      <w:r>
        <w:rPr/>
        <w:t xml:space="preserve">The EU Telecoms Data Protection Directive provides that Member States must legislate to prevent unauthorised reception or surveillance of communications without the consent of the users concerned.  This requirement does not have to be implemented by Member States until late 2000.  There is an exception to this requirement for any legally authorised recording of communications in the course of lawful business practice for the purpose of providing evidence of a commercial transaction or of any other business communication.  </w:t>
      </w:r>
    </w:p>
    <w:p>
      <w:pPr>
        <w:pStyle w:val="bullet"/>
        <w:numPr>
          <w:ilvl w:val="0"/>
          <w:numId w:val="25"/>
        </w:numPr>
        <w:tabs>
          <w:tab w:val="clear" w:pos="624"/>
          <w:tab w:val="left" w:pos="1968" w:leader="none"/>
        </w:tabs>
        <w:ind w:hanging="720" w:start="1968" w:end="0"/>
        <w:rPr/>
      </w:pPr>
      <w:r>
        <w:rPr>
          <w:b/>
        </w:rPr>
        <w:t>Interception of Communications Act 1985</w:t>
      </w:r>
      <w:r>
        <w:rPr/>
        <w:t xml:space="preserve">: </w:t>
      </w:r>
      <w:r>
        <w:rPr>
          <w:b/>
        </w:rPr>
        <w:t xml:space="preserve"> </w:t>
      </w:r>
      <w:r>
        <w:rPr/>
        <w:t>Under the Interception of Communications Act 1985 (the "</w:t>
      </w:r>
      <w:r>
        <w:rPr>
          <w:b/>
        </w:rPr>
        <w:t>ICA</w:t>
      </w:r>
      <w:r>
        <w:rPr/>
        <w:t xml:space="preserve">"), "a person who intentionally intercepts a communication in the course of its transmission by post or by means of a public telecommunication system shall be guilty of an offence".  </w:t>
      </w:r>
    </w:p>
    <w:p>
      <w:pPr>
        <w:pStyle w:val="Normal"/>
        <w:ind w:start="1968" w:end="0"/>
        <w:rPr/>
      </w:pPr>
      <w:r>
        <w:rPr/>
        <w:t xml:space="preserve">From the point of view of ECI, however, the important point to note is that the ICA is relevant only where the interception is during the transmission of the message by means of a "public telecommunications system".  All recording of such calls is lawful provided reasonable steps have been taken to inform the parties concerned.  Assuming that ECI will record conversations by means of recording apparatus connected to its own </w:t>
      </w:r>
      <w:r>
        <w:rPr>
          <w:i/>
        </w:rPr>
        <w:t>private</w:t>
      </w:r>
      <w:r>
        <w:rPr/>
        <w:t xml:space="preserve"> telecommunications network (i.e. its internal switchboard and network), the provisions of the ICA would not seem to be relevant.  </w:t>
      </w:r>
    </w:p>
    <w:p>
      <w:pPr>
        <w:pStyle w:val="bullet"/>
        <w:numPr>
          <w:ilvl w:val="0"/>
          <w:numId w:val="25"/>
        </w:numPr>
        <w:tabs>
          <w:tab w:val="clear" w:pos="624"/>
          <w:tab w:val="left" w:pos="1968" w:leader="none"/>
        </w:tabs>
        <w:ind w:hanging="720" w:start="1968" w:end="0"/>
        <w:rPr/>
      </w:pPr>
      <w:r>
        <w:rPr>
          <w:b/>
        </w:rPr>
        <w:t>Telecommunications Act</w:t>
      </w:r>
      <w:r>
        <w:rPr/>
        <w:t>:</w:t>
      </w:r>
      <w:r>
        <w:rPr>
          <w:b/>
        </w:rPr>
        <w:t xml:space="preserve">  </w:t>
      </w:r>
      <w:r>
        <w:rPr/>
        <w:t xml:space="preserve">Private telecommunications systems, such as a company's internal switchboard and network, are usually authorised under a class licence such as the Self Provision Licence (which authorises the running of telecommunications systems for the licensee's own use) or the Telecommunication Services Licence (see discussion in Section 1A(a) above).  </w:t>
      </w:r>
    </w:p>
    <w:p>
      <w:pPr>
        <w:pStyle w:val="bullet"/>
        <w:numPr>
          <w:ilvl w:val="0"/>
          <w:numId w:val="0"/>
        </w:numPr>
        <w:ind w:hanging="0" w:start="1968" w:end="0"/>
        <w:rPr/>
      </w:pPr>
      <w:r>
        <w:rPr/>
        <w:t>If ECI runs a telecommunications system pursuant to a class licence such as the Self Provision Licence or a Telecommunications Services Licence (see Section 1A(a) above), a condition in those class licences prohibits the licensee from using any apparatus in or connected to the system which is capable of recording, silently monitoring or intruding into live speech calls unless the licensee has made every reasonable effort to inform the parties.</w:t>
      </w:r>
    </w:p>
    <w:p>
      <w:pPr>
        <w:pStyle w:val="bullet"/>
        <w:numPr>
          <w:ilvl w:val="0"/>
          <w:numId w:val="0"/>
        </w:numPr>
        <w:ind w:hanging="0" w:start="1968" w:end="0"/>
        <w:rPr/>
      </w:pPr>
      <w:r>
        <w:rPr/>
        <w:t xml:space="preserve">Moreover, Section 5(2) of the Telecommunications Act makes it an offence to connect any piece of apparatus to an internal telephone communication system unless it is authorised by the applicable licence for that system, which in essence requires such apparatus to have been approved for connection to that internal telecommunications system and (indirectly) to public telecommunications systems.  </w:t>
      </w:r>
    </w:p>
    <w:p>
      <w:pPr>
        <w:pStyle w:val="Normal"/>
        <w:ind w:start="1968" w:end="0"/>
        <w:rPr/>
      </w:pPr>
      <w:r>
        <w:rPr/>
        <w:t>Types of recording apparatus have been approved under Section 22 of the Telecommunications Act, but this approval is subject to a requirement that if the equipment allows any unannounced intrusion into, or recording of silent monitoring of, telephone conversations, it must incorporate an audible warning tone.  In the absence of such a tone, parties are entitled to believe that their conversation is private and not being recorded.  In the alternative, all parties to the call must be made aware by being given prior notice or during the call that the call is being or may be recorded.</w:t>
      </w:r>
    </w:p>
    <w:p>
      <w:pPr>
        <w:pStyle w:val="bullet"/>
        <w:numPr>
          <w:ilvl w:val="0"/>
          <w:numId w:val="25"/>
        </w:numPr>
        <w:tabs>
          <w:tab w:val="clear" w:pos="624"/>
          <w:tab w:val="left" w:pos="1968" w:leader="none"/>
        </w:tabs>
        <w:ind w:hanging="720" w:start="1968" w:end="0"/>
        <w:rPr/>
      </w:pPr>
      <w:r>
        <w:rPr>
          <w:b/>
        </w:rPr>
        <w:t>Human Rights Act 1998</w:t>
      </w:r>
      <w:r>
        <w:rPr/>
        <w:t xml:space="preserve">:  Although this Act has yet to be implemented, it is possible that the interception of employees' phone calls may be illegal under the Human Rights Act.  There has to date been little guidance on this issue.  </w:t>
      </w:r>
    </w:p>
    <w:p>
      <w:pPr>
        <w:pStyle w:val="bullet"/>
        <w:numPr>
          <w:ilvl w:val="0"/>
          <w:numId w:val="25"/>
        </w:numPr>
        <w:tabs>
          <w:tab w:val="clear" w:pos="624"/>
        </w:tabs>
        <w:ind w:hanging="720" w:start="1968" w:end="0"/>
        <w:rPr/>
      </w:pPr>
      <w:r>
        <w:rPr>
          <w:rFonts w:eastAsia="CG Times"/>
          <w:b/>
        </w:rPr>
        <w:t xml:space="preserve"> </w:t>
      </w:r>
      <w:r>
        <w:rPr>
          <w:b/>
        </w:rPr>
        <w:t>Data Protection</w:t>
      </w:r>
      <w:r>
        <w:rPr/>
        <w:t>:</w:t>
      </w:r>
      <w:r>
        <w:rPr>
          <w:b/>
        </w:rPr>
        <w:t xml:space="preserve">  </w:t>
      </w:r>
      <w:r>
        <w:rPr/>
        <w:t>At present, the Data Protection Act 1984 (the "</w:t>
      </w:r>
      <w:r>
        <w:rPr>
          <w:b/>
        </w:rPr>
        <w:t>DPA 1984</w:t>
      </w:r>
      <w:r>
        <w:rPr/>
        <w:t>") regulates the way in which personal data may be obtained, uses to which it may be put, the categories of persons to whom it may be disclosed and the rights of data subjects.  However, on 1 March 2000, the DPA 1984 will be replaced by the Data Protection Act 1998 (the "</w:t>
      </w:r>
      <w:r>
        <w:rPr>
          <w:b/>
        </w:rPr>
        <w:t>DPA 1998</w:t>
      </w:r>
      <w:r>
        <w:rPr/>
        <w:t>").  Our advice is given on the bases of the DPA 1998, as it is more onerous than the DPA 1984.</w:t>
      </w:r>
    </w:p>
    <w:p>
      <w:pPr>
        <w:pStyle w:val="Normal"/>
        <w:ind w:start="1968" w:end="0"/>
        <w:rPr/>
      </w:pPr>
      <w:r>
        <w:rPr/>
        <w:t xml:space="preserve">For the purposes of the DPA 1984 and the DPA 1998, personal data are defined as data relating to identifiable living individuals.  Whether a recording of a telephone conversation would be personal data for the purposes of either DPA may depend upon several issues.    </w:t>
      </w:r>
    </w:p>
    <w:p>
      <w:pPr>
        <w:pStyle w:val="Normal"/>
        <w:ind w:start="1968" w:end="0"/>
        <w:rPr/>
      </w:pPr>
      <w:r>
        <w:rPr/>
        <w:t>The DPA 1998 will apply if the recording of a telephone conversation can be processed (i.e. organised etc., retrieved etc., disclosed etc., or erased etc.) and an individual identified as a result.  It will also apply if the information can be processed by reference to the individual using the recording together with another piece of information, e.g. a call log.</w:t>
      </w:r>
    </w:p>
    <w:p>
      <w:pPr>
        <w:pStyle w:val="Normal"/>
        <w:ind w:start="1968" w:end="0"/>
        <w:rPr/>
      </w:pPr>
      <w:r>
        <w:rPr/>
        <w:t xml:space="preserve">If, for example, it is possible using a call log to identify what calls were made at a certain time on a certain line, then the recording of that call is likely to constitute personal data if it relates to an identifiable individual. </w:t>
      </w:r>
    </w:p>
    <w:p>
      <w:pPr>
        <w:pStyle w:val="Normal"/>
        <w:keepNext w:val="true"/>
        <w:ind w:start="1968" w:end="0"/>
        <w:rPr/>
      </w:pPr>
      <w:r>
        <w:rPr/>
        <w:t>The DPA 1998 requires that:</w:t>
      </w:r>
    </w:p>
    <w:p>
      <w:pPr>
        <w:pStyle w:val="squarebullet"/>
        <w:keepNext w:val="true"/>
        <w:numPr>
          <w:ilvl w:val="0"/>
          <w:numId w:val="17"/>
        </w:numPr>
        <w:tabs>
          <w:tab w:val="clear" w:pos="624"/>
          <w:tab w:val="left" w:pos="2328" w:leader="none"/>
        </w:tabs>
        <w:ind w:hanging="360" w:start="2328" w:end="0"/>
        <w:rPr/>
      </w:pPr>
      <w:r>
        <w:rPr/>
        <w:t>the data controller notifies its processing of personal data to the Data Protection Commissioner;</w:t>
      </w:r>
    </w:p>
    <w:p>
      <w:pPr>
        <w:pStyle w:val="squarebullet"/>
        <w:numPr>
          <w:ilvl w:val="0"/>
          <w:numId w:val="17"/>
        </w:numPr>
        <w:tabs>
          <w:tab w:val="clear" w:pos="624"/>
          <w:tab w:val="left" w:pos="2328" w:leader="none"/>
        </w:tabs>
        <w:ind w:hanging="360" w:start="2328" w:end="0"/>
        <w:rPr/>
      </w:pPr>
      <w:r>
        <w:rPr/>
        <w:t>that the data controller obeys the data protection principles; and</w:t>
      </w:r>
    </w:p>
    <w:p>
      <w:pPr>
        <w:pStyle w:val="squarebullet"/>
        <w:numPr>
          <w:ilvl w:val="0"/>
          <w:numId w:val="17"/>
        </w:numPr>
        <w:tabs>
          <w:tab w:val="clear" w:pos="624"/>
          <w:tab w:val="left" w:pos="2328" w:leader="none"/>
        </w:tabs>
        <w:ind w:hanging="360" w:start="2328" w:end="0"/>
        <w:rPr/>
      </w:pPr>
      <w:r>
        <w:rPr/>
        <w:t>the data controller respects data subject rights.</w:t>
      </w:r>
    </w:p>
    <w:p>
      <w:pPr>
        <w:pStyle w:val="Normal"/>
        <w:ind w:start="1968" w:end="0"/>
        <w:rPr/>
      </w:pPr>
      <w:r>
        <w:rPr/>
        <w:t>The most significant data protection principle in this context is the first principle, that personal data be fairly processed, and in particular, fairly obtained.  For this to be the case, the processing must satisfy one of several preconditions.  The most significant here are (summarised):</w:t>
      </w:r>
    </w:p>
    <w:p>
      <w:pPr>
        <w:pStyle w:val="squarebullet"/>
        <w:numPr>
          <w:ilvl w:val="0"/>
          <w:numId w:val="17"/>
        </w:numPr>
        <w:tabs>
          <w:tab w:val="clear" w:pos="624"/>
          <w:tab w:val="left" w:pos="2328" w:leader="none"/>
        </w:tabs>
        <w:ind w:hanging="360" w:start="2328" w:end="0"/>
        <w:rPr/>
      </w:pPr>
      <w:r>
        <w:rPr/>
        <w:t>the individual concerned has given his or her consent to that processing;</w:t>
      </w:r>
    </w:p>
    <w:p>
      <w:pPr>
        <w:pStyle w:val="squarebullet"/>
        <w:numPr>
          <w:ilvl w:val="0"/>
          <w:numId w:val="17"/>
        </w:numPr>
        <w:tabs>
          <w:tab w:val="clear" w:pos="624"/>
          <w:tab w:val="left" w:pos="2328" w:leader="none"/>
        </w:tabs>
        <w:ind w:hanging="360" w:start="2328" w:end="0"/>
        <w:rPr/>
      </w:pPr>
      <w:r>
        <w:rPr/>
        <w:t>the processing is necessary for the performance of a contract to which the individual is a party; or</w:t>
      </w:r>
    </w:p>
    <w:p>
      <w:pPr>
        <w:pStyle w:val="squarebullet"/>
        <w:numPr>
          <w:ilvl w:val="0"/>
          <w:numId w:val="17"/>
        </w:numPr>
        <w:tabs>
          <w:tab w:val="clear" w:pos="624"/>
          <w:tab w:val="left" w:pos="2328" w:leader="none"/>
        </w:tabs>
        <w:ind w:hanging="360" w:start="2328" w:end="0"/>
        <w:rPr/>
      </w:pPr>
      <w:r>
        <w:rPr/>
        <w:t>the processing is in the legitimate interests of the data controller without prejudicing the rights and freedoms of the individual concerned.</w:t>
      </w:r>
    </w:p>
    <w:p>
      <w:pPr>
        <w:pStyle w:val="Normal"/>
        <w:ind w:start="1968" w:end="0"/>
        <w:rPr/>
      </w:pPr>
      <w:r>
        <w:rPr/>
        <w:t>Under the DPA 1998 there is a "balance of interests" test, which requires that the processing is necessary for the purposes of legitimate interests pursued by the data controller or by the third party or parties to whom the data are disclosed, except where the processing is unwarranted in any particular case by reason of prejudice to the rights and freedoms or legitimate interests of the data subject.</w:t>
      </w:r>
    </w:p>
    <w:p>
      <w:pPr>
        <w:pStyle w:val="Normal"/>
        <w:ind w:start="1968" w:end="0"/>
        <w:rPr/>
      </w:pPr>
      <w:r>
        <w:rPr/>
        <w:t>It is unclear whether or not ECI could rely on this to justify phone tapping without consent.</w:t>
      </w:r>
    </w:p>
    <w:p>
      <w:pPr>
        <w:pStyle w:val="Normal"/>
        <w:ind w:start="1968" w:end="0"/>
        <w:rPr/>
      </w:pPr>
      <w:r>
        <w:rPr/>
        <w:t xml:space="preserve">Additionally, subject to certain exceptions, the individual concerned will have various rights in relation to its personal data, including a right of access.  </w:t>
      </w:r>
    </w:p>
    <w:p>
      <w:pPr>
        <w:pStyle w:val="Normal"/>
        <w:ind w:start="1968" w:end="0"/>
        <w:rPr/>
      </w:pPr>
      <w:r>
        <w:rPr/>
        <w:t>The DPA 1998 also requires data processors to provide certain information to the individual concerned, including the identity of the data controller, the purposes of processing, and any other information necessary to ensure the processing is fair.  Therefore, this information would need to be supplied, not only to traders, but also to individuals with whom they have conversations, provided there is some way of accessing their conversations by reference to their name.</w:t>
      </w:r>
    </w:p>
    <w:p>
      <w:pPr>
        <w:pStyle w:val="bullet"/>
        <w:numPr>
          <w:ilvl w:val="0"/>
          <w:numId w:val="25"/>
        </w:numPr>
        <w:tabs>
          <w:tab w:val="clear" w:pos="624"/>
        </w:tabs>
        <w:ind w:hanging="737" w:start="1985" w:end="0"/>
        <w:rPr/>
      </w:pPr>
      <w:r>
        <w:rPr>
          <w:rFonts w:eastAsia="CG Times"/>
          <w:b/>
        </w:rPr>
        <w:t xml:space="preserve"> </w:t>
      </w:r>
      <w:r>
        <w:rPr>
          <w:b/>
        </w:rPr>
        <w:t>Confidentiality</w:t>
      </w:r>
      <w:r>
        <w:rPr/>
        <w:t>:</w:t>
      </w:r>
      <w:r>
        <w:rPr>
          <w:b/>
        </w:rPr>
        <w:t xml:space="preserve">  </w:t>
      </w:r>
      <w:r>
        <w:rPr/>
        <w:t xml:space="preserve">Grounds for action for breach of duty of confidentiality may lie where information given to ECI in confidence during a telephone conversation is subsequently disclosed to a third party without the authority of the person providing the information.  Such confidential information may include personal information but also information in relation to trade secrets and other business interests.   </w:t>
      </w:r>
    </w:p>
    <w:p>
      <w:pPr>
        <w:pStyle w:val="Normal"/>
        <w:ind w:start="1985" w:end="0"/>
        <w:rPr/>
      </w:pPr>
      <w:r>
        <w:rPr/>
        <w:t>A duty of confidentiality may exist where:</w:t>
      </w:r>
    </w:p>
    <w:p>
      <w:pPr>
        <w:pStyle w:val="squarebullet"/>
        <w:numPr>
          <w:ilvl w:val="0"/>
          <w:numId w:val="17"/>
        </w:numPr>
        <w:tabs>
          <w:tab w:val="clear" w:pos="624"/>
          <w:tab w:val="left" w:pos="2345" w:leader="none"/>
        </w:tabs>
        <w:ind w:hanging="360" w:start="2345" w:end="0"/>
        <w:rPr/>
      </w:pPr>
      <w:r>
        <w:rPr/>
        <w:t>the information has the necessary quality of confidence;</w:t>
      </w:r>
    </w:p>
    <w:p>
      <w:pPr>
        <w:pStyle w:val="squarebullet"/>
        <w:numPr>
          <w:ilvl w:val="0"/>
          <w:numId w:val="17"/>
        </w:numPr>
        <w:tabs>
          <w:tab w:val="clear" w:pos="624"/>
          <w:tab w:val="left" w:pos="2345" w:leader="none"/>
        </w:tabs>
        <w:ind w:hanging="360" w:start="2345" w:end="0"/>
        <w:rPr/>
      </w:pPr>
      <w:r>
        <w:rPr/>
        <w:t>the information was provided in circumstances importing an obligation of confidence (whether an obligation of confidence exists depends upon the circumstances); and</w:t>
      </w:r>
    </w:p>
    <w:p>
      <w:pPr>
        <w:pStyle w:val="squarebullet"/>
        <w:numPr>
          <w:ilvl w:val="0"/>
          <w:numId w:val="17"/>
        </w:numPr>
        <w:tabs>
          <w:tab w:val="clear" w:pos="624"/>
          <w:tab w:val="left" w:pos="2345" w:leader="none"/>
        </w:tabs>
        <w:ind w:hanging="360" w:start="2345" w:end="0"/>
        <w:rPr/>
      </w:pPr>
      <w:r>
        <w:rPr/>
        <w:t xml:space="preserve">there is a breach of that obligation of confidence with a resulting detrimental threat of detriment to the owner of the information.  </w:t>
      </w:r>
    </w:p>
    <w:p>
      <w:pPr>
        <w:pStyle w:val="Normal"/>
        <w:ind w:start="1985" w:end="0"/>
        <w:rPr/>
      </w:pPr>
      <w:r>
        <w:rPr/>
        <w:t xml:space="preserve">In certain circumstances the owner of confidential information may be able to obtain an injunction to prevent the disclosure or use of such information.  </w:t>
      </w:r>
    </w:p>
    <w:p>
      <w:pPr>
        <w:pStyle w:val="bullet"/>
        <w:numPr>
          <w:ilvl w:val="0"/>
          <w:numId w:val="25"/>
        </w:numPr>
        <w:tabs>
          <w:tab w:val="clear" w:pos="624"/>
        </w:tabs>
        <w:ind w:hanging="737" w:start="1985" w:end="0"/>
        <w:rPr/>
      </w:pPr>
      <w:r>
        <w:rPr>
          <w:rFonts w:eastAsia="CG Times"/>
          <w:b/>
        </w:rPr>
        <w:t xml:space="preserve"> </w:t>
      </w:r>
      <w:r>
        <w:rPr>
          <w:b/>
        </w:rPr>
        <w:t>Copyright</w:t>
      </w:r>
      <w:r>
        <w:rPr/>
        <w:t xml:space="preserve">: </w:t>
      </w:r>
      <w:r>
        <w:rPr>
          <w:b/>
        </w:rPr>
        <w:t xml:space="preserve"> </w:t>
      </w:r>
      <w:r>
        <w:rPr/>
        <w:t xml:space="preserve">In relation to the recording of a conversation between an employee of ECI and a third party, ECI may hold copyright in the contents of the recording jointly with that third party.  </w:t>
      </w:r>
    </w:p>
    <w:p>
      <w:pPr>
        <w:pStyle w:val="Normal"/>
        <w:ind w:start="1985" w:end="0"/>
        <w:rPr/>
      </w:pPr>
      <w:r>
        <w:rPr/>
        <w:t>ECI should be able to rely on an implied licence to use the rights owned by the third party, provided these uses will be such that the third party may be deemed to have consented to them.</w:t>
      </w:r>
    </w:p>
    <w:p>
      <w:pPr>
        <w:pStyle w:val="bullet"/>
        <w:numPr>
          <w:ilvl w:val="0"/>
          <w:numId w:val="25"/>
        </w:numPr>
        <w:tabs>
          <w:tab w:val="clear" w:pos="624"/>
        </w:tabs>
        <w:ind w:hanging="737" w:start="1985" w:end="0"/>
        <w:rPr/>
      </w:pPr>
      <w:r>
        <w:rPr>
          <w:rFonts w:eastAsia="CG Times"/>
          <w:b/>
        </w:rPr>
        <w:t xml:space="preserve"> </w:t>
      </w:r>
      <w:r>
        <w:rPr>
          <w:b/>
        </w:rPr>
        <w:t>Financial Services Regulation</w:t>
      </w:r>
      <w:r>
        <w:rPr/>
        <w:t>: There are, in addition, a number of rules issued by the Financial Services Authority and the Securities and Futures Authority relating to telephone recording, which we have not considered here in accordance with your instructions.</w:t>
      </w:r>
    </w:p>
    <w:p>
      <w:pPr>
        <w:pStyle w:val="BodyText"/>
        <w:keepNext w:val="true"/>
        <w:ind w:hanging="652" w:start="1276" w:end="0"/>
        <w:rPr/>
      </w:pPr>
      <w:r>
        <w:rPr/>
        <w:t>(c)(i)</w:t>
      </w:r>
      <w:r>
        <w:rPr>
          <w:b/>
          <w:i/>
        </w:rPr>
        <w:tab/>
        <w:t xml:space="preserve">Would any data protection laws in England and Wales apply to the Transactions where ECI or the Local Counterparty have data about each other or their customers? </w:t>
      </w:r>
    </w:p>
    <w:p>
      <w:pPr>
        <w:pStyle w:val="Normal"/>
        <w:keepNext w:val="true"/>
        <w:ind w:start="1276" w:end="0"/>
        <w:rPr/>
      </w:pPr>
      <w:r>
        <w:rPr/>
        <w:t xml:space="preserve">The DPA 1998 replaces the DPA 1984 on 1 March 2000.  As discussed above, our advice is given on the basis of the DPA 1998, as it is more onerous than its predecessor.  </w:t>
      </w:r>
    </w:p>
    <w:p>
      <w:pPr>
        <w:pStyle w:val="Normal"/>
        <w:ind w:start="1276" w:end="0"/>
        <w:rPr/>
      </w:pPr>
      <w:r>
        <w:rPr/>
        <w:t>The DPA 1998 applies to processing of personal data in the UK.  Personal data are data which relate to a living individual who could be identified from those data or from those data and other information which is in the possession of or likely to come into the possession of the data controller (the processing party).</w:t>
      </w:r>
    </w:p>
    <w:p>
      <w:pPr>
        <w:pStyle w:val="Normal"/>
        <w:ind w:start="1276" w:end="0"/>
        <w:rPr/>
      </w:pPr>
      <w:r>
        <w:rPr/>
        <w:t xml:space="preserve">To be subject to the DPA 1998 as a "data controller", an entity must determine the purposes for which and the manner in which it processes data.  "Processing" is defined very widely under the DPA 1998.  However, if ECI (or the Local Counterparty) processes this data solely under instructions from a different entity, then its processing of that data is not regulated by the DPA 1998.  </w:t>
      </w:r>
    </w:p>
    <w:p>
      <w:pPr>
        <w:pStyle w:val="Normal"/>
        <w:ind w:start="1276" w:end="0"/>
        <w:rPr/>
      </w:pPr>
      <w:r>
        <w:rPr/>
        <w:t>Therefore, if any of the information created in a Transaction between ECI and a Local Counterparty relates to a living individual (e.g. their traders), then the data relating to those individuals will be subject to the DPA 1998 (once in force).  The position under the DPA 1984 is broadly similar.</w:t>
      </w:r>
    </w:p>
    <w:p>
      <w:pPr>
        <w:pStyle w:val="BodyText"/>
        <w:ind w:start="1276" w:end="0"/>
        <w:rPr>
          <w:b/>
          <w:i/>
          <w:i/>
        </w:rPr>
      </w:pPr>
      <w:r>
        <w:rPr/>
        <w:t>The DPA 1998 does not apply to information about corporates, unless that information contains personal data.</w:t>
      </w:r>
    </w:p>
    <w:p>
      <w:pPr>
        <w:pStyle w:val="BodyText"/>
        <w:ind w:hanging="652" w:start="1276" w:end="0"/>
        <w:rPr/>
      </w:pPr>
      <w:r>
        <w:rPr/>
        <w:t>(c)(ii)</w:t>
      </w:r>
      <w:r>
        <w:rPr>
          <w:b/>
          <w:i/>
        </w:rPr>
        <w:tab/>
        <w:t>Would either ECI or the Local Counterparty have responsibility in England and Wales for the protection of the data which passes through a telecommunications network, equipment, facilities or circuits as a result of a Transaction and what would be the impact of this?</w:t>
      </w:r>
    </w:p>
    <w:p>
      <w:pPr>
        <w:pStyle w:val="Normal"/>
        <w:ind w:start="1276" w:end="0"/>
        <w:rPr/>
      </w:pPr>
      <w:r>
        <w:rPr/>
        <w:t>The response to this question depends on ECI's (or the Local Counterparty's) role.  There are two possibilities:</w:t>
      </w:r>
    </w:p>
    <w:p>
      <w:pPr>
        <w:pStyle w:val="squarebullet"/>
        <w:numPr>
          <w:ilvl w:val="0"/>
          <w:numId w:val="17"/>
        </w:numPr>
        <w:tabs>
          <w:tab w:val="clear" w:pos="624"/>
        </w:tabs>
        <w:ind w:hanging="425" w:start="1701" w:end="0"/>
        <w:rPr/>
      </w:pPr>
      <w:r>
        <w:rPr/>
        <w:t>where ECI or the Local Counterparty is operating and using the telecommunications network for its own purposes; and</w:t>
      </w:r>
    </w:p>
    <w:p>
      <w:pPr>
        <w:pStyle w:val="squarebullet"/>
        <w:numPr>
          <w:ilvl w:val="0"/>
          <w:numId w:val="17"/>
        </w:numPr>
        <w:tabs>
          <w:tab w:val="clear" w:pos="624"/>
        </w:tabs>
        <w:ind w:hanging="425" w:start="1701" w:end="0"/>
        <w:rPr/>
      </w:pPr>
      <w:r>
        <w:rPr/>
        <w:t>where ECI or the Local Counterparty is operating the telecommunications network for use by others.</w:t>
      </w:r>
    </w:p>
    <w:p>
      <w:pPr>
        <w:pStyle w:val="Normal"/>
        <w:ind w:start="1276" w:end="0"/>
        <w:rPr/>
      </w:pPr>
      <w:r>
        <w:rPr/>
        <w:t xml:space="preserve">If ECI/the Local Counterparty is operating and using the telecommunications network, itself assembling data about individuals and then sending that data across the network, then ECI/the Local Counterparty is likely to be subject to the DPA 1998.  If ECI is the entity that controls or determines the purposes for which or manner in which the data are processed, then it would be a "data controller" for the purposes of the DPA 1998.  </w:t>
      </w:r>
    </w:p>
    <w:p>
      <w:pPr>
        <w:pStyle w:val="Normal"/>
        <w:ind w:start="1276" w:end="0"/>
        <w:rPr/>
      </w:pPr>
      <w:r>
        <w:rPr/>
        <w:t>If, on the other hand, ECI/the Local Counterparty is operating the telecommunications network but transmitting the data under the instructions of a third party and does not itself control or determine the purposes or manner of the transmission, then it is unlikely to be a "data controller", but would be a "data processor" for the purposes of the DPA 1998.  Data processors have no obligations under the DPA 1998 (although would have limited obligations in relation to data security under the DPA 1984).</w:t>
      </w:r>
    </w:p>
    <w:p>
      <w:pPr>
        <w:pStyle w:val="Normal"/>
        <w:ind w:start="1276" w:end="0"/>
        <w:rPr/>
      </w:pPr>
      <w:r>
        <w:rPr/>
        <w:t>Thus, the concepts of "data controller" and "data processor" are vital for an understanding of the applicability of the DPA 1998.</w:t>
      </w:r>
    </w:p>
    <w:p>
      <w:pPr>
        <w:pStyle w:val="Normal"/>
        <w:ind w:start="1276" w:end="0"/>
        <w:rPr/>
      </w:pPr>
      <w:r>
        <w:rPr/>
        <w:t>The definition of "processing" under the DPA 1998 is very broad and includes obtaining, recording or holding data or carrying out any operation or set of operations on the information or data, including organisation, adaptation or alteration, retrieval, consultation, use, disclosure by transmission or dissemination, alignment, combination, blocking, erasure or destruction of the information or data.</w:t>
      </w:r>
    </w:p>
    <w:p>
      <w:pPr>
        <w:pStyle w:val="Normal"/>
        <w:ind w:start="1276" w:end="0"/>
        <w:rPr/>
      </w:pPr>
      <w:r>
        <w:rPr/>
        <w:t>In practice, this will mean that, if ECI/the Local Counterparty is a "data controller", it needs to ensure that its processing complies with the DPA 1998, and in particular conforms with the data protection principles set out in that Act.  This will include the consequences of transferring personal data through a telecoms network etc.</w:t>
      </w:r>
    </w:p>
    <w:p>
      <w:pPr>
        <w:pStyle w:val="Normal"/>
        <w:ind w:start="1276" w:end="0"/>
        <w:rPr/>
      </w:pPr>
      <w:r>
        <w:rPr/>
        <w:t>The eight data protection principles can be summarised as follows:</w:t>
      </w:r>
    </w:p>
    <w:p>
      <w:pPr>
        <w:pStyle w:val="bullet"/>
        <w:numPr>
          <w:ilvl w:val="0"/>
          <w:numId w:val="25"/>
        </w:numPr>
        <w:tabs>
          <w:tab w:val="clear" w:pos="624"/>
          <w:tab w:val="left" w:pos="1996" w:leader="none"/>
        </w:tabs>
        <w:ind w:hanging="720" w:start="1996" w:end="0"/>
        <w:rPr/>
      </w:pPr>
      <w:r>
        <w:rPr/>
        <w:t>Personal data must be processed fairly and lawfully.</w:t>
      </w:r>
    </w:p>
    <w:p>
      <w:pPr>
        <w:pStyle w:val="bullet"/>
        <w:numPr>
          <w:ilvl w:val="0"/>
          <w:numId w:val="25"/>
        </w:numPr>
        <w:tabs>
          <w:tab w:val="clear" w:pos="624"/>
          <w:tab w:val="left" w:pos="1996" w:leader="none"/>
        </w:tabs>
        <w:ind w:hanging="720" w:start="1996" w:end="0"/>
        <w:rPr/>
      </w:pPr>
      <w:r>
        <w:rPr/>
        <w:t>Personal data must be obtained only for specified and lawful purposes.</w:t>
      </w:r>
    </w:p>
    <w:p>
      <w:pPr>
        <w:pStyle w:val="bullet"/>
        <w:numPr>
          <w:ilvl w:val="0"/>
          <w:numId w:val="25"/>
        </w:numPr>
        <w:tabs>
          <w:tab w:val="clear" w:pos="624"/>
          <w:tab w:val="left" w:pos="1996" w:leader="none"/>
        </w:tabs>
        <w:ind w:hanging="720" w:start="1996" w:end="0"/>
        <w:rPr/>
      </w:pPr>
      <w:r>
        <w:rPr/>
        <w:t>Personal data must be adequate, relevant and not excessive.</w:t>
      </w:r>
    </w:p>
    <w:p>
      <w:pPr>
        <w:pStyle w:val="bullet"/>
        <w:numPr>
          <w:ilvl w:val="0"/>
          <w:numId w:val="25"/>
        </w:numPr>
        <w:tabs>
          <w:tab w:val="clear" w:pos="624"/>
          <w:tab w:val="left" w:pos="1996" w:leader="none"/>
        </w:tabs>
        <w:ind w:hanging="720" w:start="1996" w:end="0"/>
        <w:rPr/>
      </w:pPr>
      <w:r>
        <w:rPr/>
        <w:t>Personal data must be accurate and kept up-to-date.</w:t>
      </w:r>
    </w:p>
    <w:p>
      <w:pPr>
        <w:pStyle w:val="bullet"/>
        <w:numPr>
          <w:ilvl w:val="0"/>
          <w:numId w:val="25"/>
        </w:numPr>
        <w:tabs>
          <w:tab w:val="clear" w:pos="624"/>
          <w:tab w:val="left" w:pos="1996" w:leader="none"/>
        </w:tabs>
        <w:ind w:hanging="720" w:start="1996" w:end="0"/>
        <w:rPr/>
      </w:pPr>
      <w:r>
        <w:rPr/>
        <w:t>Personal data must not be kept for longer than is necessary.</w:t>
      </w:r>
    </w:p>
    <w:p>
      <w:pPr>
        <w:pStyle w:val="bullet"/>
        <w:numPr>
          <w:ilvl w:val="0"/>
          <w:numId w:val="25"/>
        </w:numPr>
        <w:tabs>
          <w:tab w:val="clear" w:pos="624"/>
          <w:tab w:val="left" w:pos="1996" w:leader="none"/>
        </w:tabs>
        <w:ind w:hanging="720" w:start="1996" w:end="0"/>
        <w:rPr/>
      </w:pPr>
      <w:r>
        <w:rPr/>
        <w:t>Personal data must be processed in accordance with the rights of data subjects.</w:t>
      </w:r>
    </w:p>
    <w:p>
      <w:pPr>
        <w:pStyle w:val="bullet"/>
        <w:numPr>
          <w:ilvl w:val="0"/>
          <w:numId w:val="25"/>
        </w:numPr>
        <w:tabs>
          <w:tab w:val="clear" w:pos="624"/>
          <w:tab w:val="left" w:pos="1996" w:leader="none"/>
        </w:tabs>
        <w:ind w:hanging="720" w:start="1996" w:end="0"/>
        <w:rPr/>
      </w:pPr>
      <w:r>
        <w:rPr/>
        <w:t>Appropriate technical and organisation shall be taken in respect of data security.</w:t>
      </w:r>
    </w:p>
    <w:p>
      <w:pPr>
        <w:pStyle w:val="bullet"/>
        <w:numPr>
          <w:ilvl w:val="0"/>
          <w:numId w:val="25"/>
        </w:numPr>
        <w:tabs>
          <w:tab w:val="clear" w:pos="624"/>
          <w:tab w:val="left" w:pos="1996" w:leader="none"/>
        </w:tabs>
        <w:ind w:hanging="720" w:start="1996" w:end="0"/>
        <w:rPr/>
      </w:pPr>
      <w:r>
        <w:rPr/>
        <w:t>Personal data must not be transferred to a country or territory outside the European Economic Area ("</w:t>
      </w:r>
      <w:r>
        <w:rPr>
          <w:b/>
        </w:rPr>
        <w:t>EEA</w:t>
      </w:r>
      <w:r>
        <w:rPr/>
        <w:t>") unless that country or territory ensures an adequate level of protection for the rights and freedoms of data subjects in relation to the processing of personal data.</w:t>
      </w:r>
    </w:p>
    <w:p>
      <w:pPr>
        <w:pStyle w:val="Normal"/>
        <w:ind w:start="1276" w:end="0"/>
        <w:rPr/>
      </w:pPr>
      <w:r>
        <w:rPr/>
        <w:t xml:space="preserve">The most significant data protection principle here is the first principle, under which personal data shall be processed fairly and lawfully, and in accordance with certain preconditions.  For the processing to be fair, data controllers must provide certain information to the individual concerned, including the identity of the data controller, the purposes of the data processing and any other information necessary to ensure that the processing is fair.  </w:t>
      </w:r>
    </w:p>
    <w:p>
      <w:pPr>
        <w:pStyle w:val="Normal"/>
        <w:ind w:start="1276" w:end="0"/>
        <w:rPr/>
      </w:pPr>
      <w:r>
        <w:rPr/>
        <w:t>The seventh data protection principle states that appropriate technical and organisational measures shall be taken against unauthorised or unlawful processing of personal data and against accidental loss or destruction of, or damage to personal data.  This needs to be guaranteed by contract if data are passed to a data processor.   If ECI transfers data onto an insecure system it may be liable.</w:t>
      </w:r>
    </w:p>
    <w:p>
      <w:pPr>
        <w:pStyle w:val="Normal"/>
        <w:ind w:start="1276" w:end="0"/>
        <w:rPr/>
      </w:pPr>
      <w:r>
        <w:rPr/>
        <w:t xml:space="preserve">The eighth principle states that personal data shall not be transferred to a country or a territory outside the EEA unless that country or territory ensures an adequate level of protection for the rights and freedoms of data subjects in relation to the processing of personal data.  In general, it is unlikely that the US will be considered to be ensuring an adequate level of protection for personal data.  </w:t>
      </w:r>
    </w:p>
    <w:p>
      <w:pPr>
        <w:pStyle w:val="Normal"/>
        <w:ind w:start="1276" w:end="0"/>
        <w:rPr/>
      </w:pPr>
      <w:r>
        <w:rPr/>
        <w:t>Negotiations are currently under way to create a series of "safe harbour" principles so that a transfer of personal data to a party in the US will be deemed to be to a destination affording an adequate level of protection for the rights and freedoms of the data subjects for those personal data in the particular circumstances.  The recipient will need to inform the Department of Commerce of its compliance with such principle.</w:t>
      </w:r>
    </w:p>
    <w:p>
      <w:pPr>
        <w:pStyle w:val="Normal"/>
        <w:ind w:start="1276" w:end="0"/>
        <w:rPr/>
      </w:pPr>
      <w:r>
        <w:rPr/>
        <w:t>If the processing (e.g. obtaining and disclosing personal data) does not comply with the data protection principles, then ECI or the Local Counterparty will be breaching the DPA 1998 and could be subject to an enforcement notice from the Data Protection Commissioner or be liable for criminal or civil sanctions.</w:t>
      </w:r>
    </w:p>
    <w:p>
      <w:pPr>
        <w:pStyle w:val="BodyText"/>
        <w:ind w:hanging="28" w:start="1276" w:end="0"/>
        <w:rPr/>
      </w:pPr>
      <w:r>
        <w:rPr/>
        <w:t>We emphasise this is very much an overview of applicable data protection legislation and it would be necessary to analyse the nature of the control ECI exercises over the data, the nature of the processing and contractual arrangements with third parties on a case by case basis to give a complete response to this question.</w:t>
      </w:r>
    </w:p>
    <w:p>
      <w:pPr>
        <w:pStyle w:val="Normal"/>
        <w:ind w:start="1276" w:end="0"/>
        <w:rPr/>
      </w:pPr>
      <w:r>
        <w:rPr/>
        <w:t>In addition, under the Telecoms (Data Protection and Privacy) Regulations 1999, organisations providing publicly available telecoms services are required to take appropriate measures to safeguard the security of their services.  The security measures must be appropriate to the security risk involved.  We note, however, that it is not clear whether ECI intends to provide publicly available telecoms services and therefore whether the Telecoms (Data Protection and Privacy) Regulations 1999 would apply.</w:t>
      </w:r>
    </w:p>
    <w:p>
      <w:pPr>
        <w:pStyle w:val="Normal"/>
        <w:ind w:start="1276" w:end="0"/>
        <w:rPr/>
      </w:pPr>
      <w:r>
        <w:rPr/>
        <w:t>Further the Telecoms (Data Protection and Privacy) Regulations 1999 also set out specific rules relating to traffic and billing data.  The Regulations require that traffic data be depersonalised or erased once a telephone call has been made.  Billing data may be held (and processed) for the statutory limitation period of six years, and may be used by a telecommunications service provider for marketing purposes (but only to subscribers and with their consent).</w:t>
      </w:r>
    </w:p>
    <w:p>
      <w:pPr>
        <w:pStyle w:val="BodyText"/>
        <w:keepNext w:val="true"/>
        <w:ind w:hanging="652" w:start="1276" w:end="0"/>
        <w:rPr/>
      </w:pPr>
      <w:r>
        <w:rPr/>
        <w:t>(d)(i)</w:t>
      </w:r>
      <w:r>
        <w:rPr>
          <w:b/>
          <w:i/>
        </w:rPr>
        <w:tab/>
        <w:t>Would it be necessary to register, or make notification of, any Transaction entered into with a Local Counterparty (or the Master Agreement or GTCs to which it would be subject) with/to any governmental or other authority or regulatory body in England and Wales?</w:t>
      </w:r>
      <w:r>
        <w:rPr/>
        <w:t xml:space="preserve"> </w:t>
      </w:r>
    </w:p>
    <w:p>
      <w:pPr>
        <w:pStyle w:val="BodyText"/>
        <w:ind w:hanging="28" w:start="1276" w:end="0"/>
        <w:rPr>
          <w:b/>
          <w:i/>
          <w:i/>
        </w:rPr>
      </w:pPr>
      <w:r>
        <w:rPr/>
        <w:t>Any data controller</w:t>
      </w:r>
      <w:r>
        <w:rPr>
          <w:rStyle w:val="FootnoteCharacters"/>
          <w:rStyle w:val="FootnoteReference"/>
        </w:rPr>
        <w:footnoteReference w:id="5"/>
      </w:r>
      <w:r>
        <w:rPr/>
        <w:t xml:space="preserve"> processing personal data in the UK will need to notify such processing to the Data Protection Registrar (soon to be renamed the Data Protection Commissioner).  A notification must state the types of data processed, the sources of that data, intended transferees and the purposes of processing.  If ECI is not established in the UK nor any other EEA country but carries out "processing" in the UK, then it will need to nominate a representative in the UK for the purposes of the DPA 1998.  That representative will need to make a notification in respect of its processing of personal data.</w:t>
      </w:r>
    </w:p>
    <w:p>
      <w:pPr>
        <w:pStyle w:val="Normal"/>
        <w:ind w:start="1248" w:end="0"/>
        <w:rPr/>
      </w:pPr>
      <w:r>
        <w:rPr/>
        <w:t>In addition, there would be relevant issues under the Financial Services Act 1986, which we have not examined here in accordance with your instructions.</w:t>
      </w:r>
    </w:p>
    <w:p>
      <w:pPr>
        <w:pStyle w:val="BodyText"/>
        <w:ind w:hanging="652" w:start="1276" w:end="0"/>
        <w:rPr/>
      </w:pPr>
      <w:r>
        <w:rPr/>
        <w:t>(d)(ii)</w:t>
      </w:r>
      <w:r>
        <w:rPr>
          <w:b/>
          <w:i/>
        </w:rPr>
        <w:tab/>
        <w:t>If it would be necessary, whose duty would this be, i.e., the buyer's or the seller's under a Transaction?</w:t>
      </w:r>
    </w:p>
    <w:p>
      <w:pPr>
        <w:pStyle w:val="Normal"/>
        <w:ind w:start="1248" w:end="0"/>
        <w:rPr/>
      </w:pPr>
      <w:r>
        <w:rPr/>
        <w:t>In respect of data protection registration, each party that processes personal data as a data controller in the UK (whether the Buyer or the Seller) would need to have a registration/notification under the DPA 1998.</w:t>
      </w:r>
    </w:p>
    <w:p>
      <w:pPr>
        <w:pStyle w:val="BodyText"/>
        <w:keepNext w:val="true"/>
        <w:ind w:hanging="652" w:start="1276" w:end="0"/>
        <w:rPr/>
      </w:pPr>
      <w:r>
        <w:rPr/>
        <w:t>(d)(iii)</w:t>
      </w:r>
      <w:r>
        <w:rPr>
          <w:b/>
          <w:i/>
        </w:rPr>
        <w:tab/>
        <w:t>What would be the consequences of so failing to register or make notification of the Transaction (e.g., would the Transaction be void or voidable or would it have some other consequence)?</w:t>
      </w:r>
    </w:p>
    <w:p>
      <w:pPr>
        <w:pStyle w:val="BodyText"/>
        <w:keepNext w:val="true"/>
        <w:ind w:hanging="28" w:start="1276" w:end="0"/>
        <w:rPr>
          <w:b/>
          <w:i/>
          <w:i/>
        </w:rPr>
      </w:pPr>
      <w:r>
        <w:rPr/>
        <w:t>In respect of data protection registration, any data controller who fails to notify in respect of their processing of personal data will be guilty of an offence under the DPA 1998.  Officers of organisations may also be found guilty of that offence.  In such circumstances, the Transaction is unlikely to be void or voidable, although any contractual terms obliging either party to be compliant with all relevant regulatory requirements will be breached, as will any terms requiring compliance with data protection legislation.  The data controller or its officers, however, may be subject to fines.</w:t>
      </w:r>
    </w:p>
    <w:p>
      <w:pPr>
        <w:pStyle w:val="Heading2"/>
        <w:keepNext w:val="true"/>
        <w:ind w:hanging="0" w:start="0"/>
        <w:rPr/>
      </w:pPr>
      <w:bookmarkStart w:id="19" w:name="__RefHeading___Toc469131290"/>
      <w:bookmarkEnd w:id="19"/>
      <w:r>
        <w:rPr/>
        <w:t>Section 1D:</w:t>
        <w:tab/>
        <w:t>Jurisdiction and Enforcement</w:t>
      </w:r>
    </w:p>
    <w:p>
      <w:pPr>
        <w:pStyle w:val="BodyText"/>
        <w:keepNext w:val="true"/>
        <w:ind w:hanging="652" w:start="1276" w:end="0"/>
        <w:rPr/>
      </w:pPr>
      <w:r>
        <w:rPr/>
        <w:t>For the purposes of this Section 1D, you have asked us to assume the following:</w:t>
      </w:r>
    </w:p>
    <w:p>
      <w:pPr>
        <w:pStyle w:val="bullet"/>
        <w:numPr>
          <w:ilvl w:val="0"/>
          <w:numId w:val="25"/>
        </w:numPr>
        <w:tabs>
          <w:tab w:val="clear" w:pos="624"/>
        </w:tabs>
        <w:ind w:hanging="652" w:start="1276" w:end="0"/>
        <w:rPr/>
      </w:pPr>
      <w:r>
        <w:rPr/>
        <w:t>disputes relating to Transactions between ECI and a Local Counterparty were referred to either:</w:t>
      </w:r>
    </w:p>
    <w:p>
      <w:pPr>
        <w:pStyle w:val="BodyText2"/>
        <w:numPr>
          <w:ilvl w:val="0"/>
          <w:numId w:val="19"/>
        </w:numPr>
        <w:tabs>
          <w:tab w:val="clear" w:pos="624"/>
        </w:tabs>
        <w:ind w:hanging="360" w:start="1636" w:end="0"/>
        <w:rPr/>
      </w:pPr>
      <w:r>
        <w:rPr/>
        <w:t>arbitration governed by the U.S. Federal Arbitration Act ("</w:t>
      </w:r>
      <w:r>
        <w:rPr>
          <w:b/>
        </w:rPr>
        <w:t>FAA</w:t>
      </w:r>
      <w:r>
        <w:rPr/>
        <w:t>") and conducted in accordance with the American Arbitration Association Commercial Arbitration Rules ("</w:t>
      </w:r>
      <w:r>
        <w:rPr>
          <w:b/>
        </w:rPr>
        <w:t>AAA</w:t>
      </w:r>
      <w:r>
        <w:rPr/>
        <w:t>") in New York City; or</w:t>
      </w:r>
    </w:p>
    <w:p>
      <w:pPr>
        <w:pStyle w:val="BodyText2"/>
        <w:numPr>
          <w:ilvl w:val="0"/>
          <w:numId w:val="19"/>
        </w:numPr>
        <w:tabs>
          <w:tab w:val="clear" w:pos="624"/>
        </w:tabs>
        <w:ind w:hanging="360" w:start="1636" w:end="0"/>
        <w:rPr/>
      </w:pPr>
      <w:r>
        <w:rPr/>
        <w:t>international arbitration under the Rules of the International Chamber of Commerce ("</w:t>
      </w:r>
      <w:r>
        <w:rPr>
          <w:b/>
        </w:rPr>
        <w:t>ICC Rules</w:t>
      </w:r>
      <w:r>
        <w:rPr/>
        <w:t>") or of the London Chamber of International Arbitration ("</w:t>
      </w:r>
      <w:r>
        <w:rPr>
          <w:b/>
        </w:rPr>
        <w:t>LCIA</w:t>
      </w:r>
      <w:r>
        <w:rPr/>
        <w:t>"), in either case in London; and</w:t>
      </w:r>
    </w:p>
    <w:p>
      <w:pPr>
        <w:pStyle w:val="bullet"/>
        <w:numPr>
          <w:ilvl w:val="0"/>
          <w:numId w:val="25"/>
        </w:numPr>
        <w:tabs>
          <w:tab w:val="clear" w:pos="624"/>
        </w:tabs>
        <w:ind w:hanging="652" w:start="1276" w:end="0"/>
        <w:rPr/>
      </w:pPr>
      <w:r>
        <w:rPr/>
        <w:t>the governing law of the Master Agreement or GTCs would be New York law but that in certain cases (e.g., where the stipulated dispute resolution forum was changed to London) the governing law may be the laws of England; and</w:t>
      </w:r>
    </w:p>
    <w:p>
      <w:pPr>
        <w:pStyle w:val="bullet"/>
        <w:numPr>
          <w:ilvl w:val="0"/>
          <w:numId w:val="25"/>
        </w:numPr>
        <w:tabs>
          <w:tab w:val="clear" w:pos="624"/>
        </w:tabs>
        <w:ind w:hanging="652" w:start="1276" w:end="0"/>
        <w:rPr/>
      </w:pPr>
      <w:r>
        <w:rPr/>
        <w:t>in all cases, however, that either form of arbitration will be conducted in the English language.</w:t>
      </w:r>
    </w:p>
    <w:p>
      <w:pPr>
        <w:pStyle w:val="Normal"/>
        <w:ind w:start="624" w:end="0"/>
        <w:rPr/>
      </w:pPr>
      <w:r>
        <w:rPr/>
        <w:t>We have also been asked to assume that the Local Counterparty will be based in England or Wales and that ECI, which is based in Houston, Texas (but registered in Oregon), may have personnel in England.  Transactions may be concluded electronically or by telephone. Accordingly the Transactions may take place domestically (between ECI's London office and an English Local Counterparty) or internationally (between ECI in the US and an English Local Counterparty).</w:t>
      </w:r>
    </w:p>
    <w:p>
      <w:pPr>
        <w:pStyle w:val="Normal"/>
        <w:ind w:hanging="624" w:start="1248" w:end="0"/>
        <w:rPr/>
      </w:pPr>
      <w:r>
        <w:rPr/>
        <w:t>(a)</w:t>
        <w:tab/>
      </w:r>
      <w:r>
        <w:rPr>
          <w:b/>
          <w:i/>
        </w:rPr>
        <w:t>Please confirm that the agreement of a Local Counterparty to submit to the substantive law of the State of New York and to submit to either (i) AAA arbitration under the FAA to be held in New York City, or (ii) arbitration under either the ICC or LCIA Rules to be held in London, would be legally valid, binding and enforceable under the laws of England and Wales.</w:t>
      </w:r>
    </w:p>
    <w:p>
      <w:pPr>
        <w:pStyle w:val="Normal"/>
        <w:ind w:hanging="624" w:start="1248" w:end="0"/>
        <w:rPr/>
      </w:pPr>
      <w:r>
        <w:rPr/>
        <w:t>(a)(i)</w:t>
        <w:tab/>
        <w:t>In our view, the first limb of question (a) may be answered in the affirmative. The laws of England and Wales, and the practice of international arbitration, recognise that parties entering into commercial arrangements should be free to select the law applicable to their transaction. This principle of freedom of selection of the substantive law is specifically recognised in the AAA, ICC and LCIA Rules, all of which require arbitrators to determine disputes in accordance with the parties' express selection of a particular municipal law. Where courts have considered choice of substantive law, they have consistently and robustly upheld the rights of commercial parties to exercise freedom of choice in their selection. However, there is a limited number of circumstances in which a tribunal or court would not uphold an express choice of law (see below).  Based on the Documents, we are not aware of any circumstances relevant to the Transactions that would be likely to invoke these exceptions.</w:t>
      </w:r>
    </w:p>
    <w:p>
      <w:pPr>
        <w:pStyle w:val="Normal"/>
        <w:keepNext w:val="true"/>
        <w:ind w:firstLine="624" w:start="624" w:end="0"/>
        <w:rPr>
          <w:b/>
          <w:i/>
          <w:i/>
        </w:rPr>
      </w:pPr>
      <w:r>
        <w:rPr>
          <w:b/>
          <w:i/>
        </w:rPr>
        <w:t>Choice of Substantive Law: the Common Law View</w:t>
      </w:r>
    </w:p>
    <w:p>
      <w:pPr>
        <w:pStyle w:val="ListLegal2"/>
        <w:keepNext w:val="true"/>
        <w:numPr>
          <w:ilvl w:val="0"/>
          <w:numId w:val="0"/>
        </w:numPr>
        <w:ind w:hanging="624" w:start="1872" w:end="0"/>
        <w:rPr/>
      </w:pPr>
      <w:r>
        <w:rPr/>
        <w:t xml:space="preserve">The issue concerning choice of law is actually three-fold: </w:t>
      </w:r>
    </w:p>
    <w:p>
      <w:pPr>
        <w:pStyle w:val="ListBullet"/>
        <w:keepNext w:val="true"/>
        <w:numPr>
          <w:ilvl w:val="0"/>
          <w:numId w:val="20"/>
        </w:numPr>
        <w:rPr/>
      </w:pPr>
      <w:r>
        <w:rPr/>
        <w:t>can the Local Counterparty submit to the substantive law of the State of New York, in circumstances in which the Local Counterparty is based in England and Wales?</w:t>
      </w:r>
    </w:p>
    <w:p>
      <w:pPr>
        <w:pStyle w:val="ListBullet"/>
        <w:numPr>
          <w:ilvl w:val="0"/>
          <w:numId w:val="20"/>
        </w:numPr>
        <w:rPr/>
      </w:pPr>
      <w:r>
        <w:rPr/>
        <w:t xml:space="preserve">can such an agreement provide for AAA Arbitration under the FAA to be held in New York City? </w:t>
      </w:r>
    </w:p>
    <w:p>
      <w:pPr>
        <w:pStyle w:val="ListBullet"/>
        <w:numPr>
          <w:ilvl w:val="0"/>
          <w:numId w:val="20"/>
        </w:numPr>
        <w:rPr/>
      </w:pPr>
      <w:r>
        <w:rPr/>
        <w:t>is arbitration under either the LCIA or ICC Rules valid, binding and enforceable under the laws of England and Wales?</w:t>
      </w:r>
    </w:p>
    <w:p>
      <w:pPr>
        <w:pStyle w:val="Normal"/>
        <w:ind w:start="1248" w:end="0"/>
        <w:rPr/>
      </w:pPr>
      <w:r>
        <w:rPr/>
        <w:t xml:space="preserve">Dealing first with the issue of submission to the substantive law of the State of New York, it is a fundamental principle in English law that parties expressing a choice of law to govern a contract may do so with few limitations.  This principle is known as "party autonomy"; it is the cornerstone of the freedom of international trade and commerce.  In the leading case, </w:t>
      </w:r>
      <w:r>
        <w:rPr>
          <w:i/>
        </w:rPr>
        <w:t xml:space="preserve">Vita Foods Products Inc. -v- Unus Shipping Co Ltd </w:t>
      </w:r>
      <w:r>
        <w:rPr/>
        <w:t>it was stated that:</w:t>
      </w:r>
      <w:r>
        <w:rPr>
          <w:rStyle w:val="FootnoteCharacters"/>
          <w:i/>
        </w:rPr>
        <w:t xml:space="preserve"> </w:t>
      </w:r>
      <w:r>
        <w:rPr>
          <w:rStyle w:val="FootnoteCharacters"/>
          <w:rStyle w:val="FootnoteReference"/>
        </w:rPr>
        <w:footnoteReference w:id="6"/>
      </w:r>
    </w:p>
    <w:p>
      <w:pPr>
        <w:pStyle w:val="BodyText2"/>
        <w:ind w:start="1872" w:end="0"/>
        <w:rPr>
          <w:i/>
          <w:i/>
        </w:rPr>
      </w:pPr>
      <w:r>
        <w:rPr>
          <w:i/>
        </w:rPr>
        <w:t>"where there is an express statement by the parties of their intention to select the law of the contract, it is difficult to see what qualifications are possible, provided the intention expressed is bona fide and legal, and provided there is no reason for avoiding the choice on grounds of public policy".</w:t>
      </w:r>
    </w:p>
    <w:p>
      <w:pPr>
        <w:pStyle w:val="Normal"/>
        <w:ind w:start="1248" w:end="0"/>
        <w:rPr/>
      </w:pPr>
      <w:r>
        <w:rPr/>
        <w:t xml:space="preserve">The only limitation on choice of law identified in that case (and subsequently considered by the courts) is that the choice must be "bona fide and legal".  This limitation, however, has never been applied in England to strike down an express choice of law.  </w:t>
      </w:r>
    </w:p>
    <w:p>
      <w:pPr>
        <w:pStyle w:val="ListLegal2"/>
        <w:numPr>
          <w:ilvl w:val="0"/>
          <w:numId w:val="0"/>
        </w:numPr>
        <w:ind w:hanging="1226" w:start="1248" w:end="0"/>
        <w:rPr/>
      </w:pPr>
      <w:r>
        <w:rPr/>
        <w:tab/>
        <w:t>A second possible exception to party autonomy is that the choice of law must not be made for the purposes of avoiding public policy constraints.  Thus, the courts in England may refuse to enforce or recognise a right acknowledged by a foreign legal system that would "violate some fundamental principle of justice, some prevalent conception of good morals, some deep rooted manifestation of the common weal".</w:t>
      </w:r>
      <w:r>
        <w:rPr>
          <w:rStyle w:val="FootnoteCharacters"/>
          <w:rStyle w:val="FootnoteReference"/>
        </w:rPr>
        <w:footnoteReference w:id="7"/>
      </w:r>
      <w:r>
        <w:rPr/>
        <w:t xml:space="preserve">  We are of the view from the information with which we have been provided, that there are no likely circumstances under which this exception would be invoked, given the nature of the Master Agreement and GTCs.  Accordingly, ECI and the Local Counterparty are entitled to select New York law as the substantive law to be applied by the arbitral tribunal sitting in London under ICC or LCIA Rules.</w:t>
      </w:r>
    </w:p>
    <w:p>
      <w:pPr>
        <w:pStyle w:val="Heading3"/>
        <w:keepNext w:val="true"/>
        <w:numPr>
          <w:ilvl w:val="0"/>
          <w:numId w:val="0"/>
        </w:numPr>
        <w:ind w:hanging="0" w:start="1247" w:end="0"/>
        <w:rPr/>
      </w:pPr>
      <w:r>
        <w:rPr/>
        <w:t>Conventions and other Statutory Considerations</w:t>
      </w:r>
    </w:p>
    <w:p>
      <w:pPr>
        <w:pStyle w:val="Normal"/>
        <w:keepNext w:val="true"/>
        <w:ind w:start="1247" w:end="0"/>
        <w:rPr/>
      </w:pPr>
      <w:r>
        <w:rPr/>
        <w:t xml:space="preserve">It is also necessary to consider under this head any potential statutory limitations or limitations under international conventions.  </w:t>
      </w:r>
    </w:p>
    <w:p>
      <w:pPr>
        <w:pStyle w:val="Normal"/>
        <w:keepNext w:val="true"/>
        <w:ind w:start="1247" w:end="0"/>
        <w:rPr/>
      </w:pPr>
      <w:r>
        <w:rPr/>
        <w:t xml:space="preserve">Article 1(1) of The Rome Convention expressly permits a choice of law which has no connection with the contract. This would permit a selection by ECI London of New York law, for a contract concluded in England, for services provided in England. There are, however, limited exceptions to the express choice of law by the parties. For example, Article 3(3) of the Convention does not allow parties to derogate from mandatory rules of one country by selecting the laws of another country. Mandatory rules of law are rules from which parties are not free to contract out. For example, the Unfair Contract Terms Act 1977 stipulates certain prohibitions on the use of choice of law clauses for the purposes of the avoidance of controls on exemption clauses imposed by that Act. Its provisions are therefore mandatory.  </w:t>
      </w:r>
    </w:p>
    <w:p>
      <w:pPr>
        <w:pStyle w:val="Heading3"/>
        <w:numPr>
          <w:ilvl w:val="0"/>
          <w:numId w:val="0"/>
        </w:numPr>
        <w:ind w:hanging="0" w:start="1248" w:end="0"/>
        <w:rPr/>
      </w:pPr>
      <w:r>
        <w:rPr/>
        <w:t>Respect for Choice of Law in International Arbitration</w:t>
      </w:r>
    </w:p>
    <w:p>
      <w:pPr>
        <w:pStyle w:val="Normal"/>
        <w:ind w:start="1248" w:end="0"/>
        <w:rPr/>
      </w:pPr>
      <w:r>
        <w:rPr/>
        <w:t xml:space="preserve">In the context of international arbitration, the principle of party autonomy is widely accepted. </w:t>
      </w:r>
    </w:p>
    <w:p>
      <w:pPr>
        <w:pStyle w:val="Normal"/>
        <w:ind w:start="1248" w:end="0"/>
        <w:rPr/>
      </w:pPr>
      <w:r>
        <w:rPr/>
        <w:t>The  Arbitration Act 1996 (the "</w:t>
      </w:r>
      <w:r>
        <w:rPr>
          <w:b/>
        </w:rPr>
        <w:t>Arbitration Act</w:t>
      </w:r>
      <w:r>
        <w:rPr/>
        <w:t>") specifically recognises party autonomy, stating as a general principle that "the parties should be free to agree how their disputes are resolved, subject only to such safeguards as are necessary in the public interest".</w:t>
      </w:r>
      <w:r>
        <w:rPr>
          <w:rStyle w:val="FootnoteCharacters"/>
          <w:rStyle w:val="FootnoteReference"/>
        </w:rPr>
        <w:footnoteReference w:id="8"/>
      </w:r>
      <w:r>
        <w:rPr/>
        <w:t xml:space="preserve">  </w:t>
      </w:r>
    </w:p>
    <w:p>
      <w:pPr>
        <w:pStyle w:val="Normal"/>
        <w:ind w:start="1248" w:end="0"/>
        <w:rPr/>
      </w:pPr>
      <w:r>
        <w:rPr/>
        <w:t>Section 46 of the Arbitration Act requires that the arbitral tribunal decide the dispute in accordance with the law chosen by the parties as applicable to the substance of the dispute, and, accordingly, the tribunal must respect the choice of law expressed by the parties.</w:t>
      </w:r>
    </w:p>
    <w:p>
      <w:pPr>
        <w:pStyle w:val="Normal"/>
        <w:ind w:start="1248" w:end="0"/>
        <w:rPr/>
      </w:pPr>
      <w:r>
        <w:rPr/>
        <w:t>The ICC Rules,</w:t>
      </w:r>
      <w:r>
        <w:rPr>
          <w:rStyle w:val="FootnoteCharacters"/>
          <w:rStyle w:val="FootnoteReference"/>
        </w:rPr>
        <w:footnoteReference w:id="9"/>
      </w:r>
      <w:r>
        <w:rPr/>
        <w:t xml:space="preserve"> the LCIA Rules</w:t>
      </w:r>
      <w:r>
        <w:rPr>
          <w:rStyle w:val="FootnoteCharacters"/>
          <w:rStyle w:val="FootnoteReference"/>
        </w:rPr>
        <w:footnoteReference w:id="10"/>
      </w:r>
      <w:r>
        <w:rPr/>
        <w:t xml:space="preserve"> and the International Rules of the AAA</w:t>
      </w:r>
      <w:r>
        <w:rPr>
          <w:rStyle w:val="FootnoteCharacters"/>
          <w:rStyle w:val="FootnoteReference"/>
        </w:rPr>
        <w:footnoteReference w:id="11"/>
      </w:r>
      <w:r>
        <w:rPr/>
        <w:t xml:space="preserve"> all provide that the parties are entitled to agree upon the rules of law to be applied by the arbitral tribunal to the dispute. The tribunal will decide the dispute in accordance with that choice.</w:t>
      </w:r>
    </w:p>
    <w:p>
      <w:pPr>
        <w:pStyle w:val="ListLegal2"/>
        <w:numPr>
          <w:ilvl w:val="0"/>
          <w:numId w:val="0"/>
        </w:numPr>
        <w:ind w:hanging="624" w:start="1248" w:end="0"/>
        <w:rPr/>
      </w:pPr>
      <w:r>
        <w:rPr/>
        <w:t>(a)(ii)</w:t>
        <w:tab/>
        <w:t>As to the second limb of question (a), it is clear, on general principles, that a court in England will respect the parties' choice to arbitrate, whether under AAA, LCIA or ICC Rules (or any other rules).  The agreement to arbitrate will be recognised and, if necessary, directly enforced by means of a stay, such that, if a party to a valid arbitration agreement providing for arbitration in the US under New York law sought to commence litigation in England, the English court would be obliged, on the application of the other party, to stay the proceedings pending the outcome of the arbitration. Other than enforcement and limited discretionary powers to support a foreign arbitration, an English court has no other power under the Arbitration Act to intervene in a foreign arbitration.  Equally, if one of the parties to a valid agreement to arbitrate in London under ICC or LCIA Rules sought to invoke the court's jurisdiction in breach of the arbitration agreement, those proceedings would be stayed.</w:t>
      </w:r>
    </w:p>
    <w:p>
      <w:pPr>
        <w:pStyle w:val="ListLegal2"/>
        <w:numPr>
          <w:ilvl w:val="0"/>
          <w:numId w:val="0"/>
        </w:numPr>
        <w:ind w:hanging="624" w:start="1248" w:end="0"/>
        <w:rPr/>
      </w:pPr>
      <w:r>
        <w:rPr/>
        <w:tab/>
        <w:t>There is a formal requirement under the Arbitration Act that the agreement must be in writing. However, "writing" has a very broad definition and includes an agreement "being recorded by any means".</w:t>
      </w:r>
      <w:r>
        <w:rPr>
          <w:rStyle w:val="FootnoteCharacters"/>
          <w:rStyle w:val="FootnoteReference"/>
        </w:rPr>
        <w:footnoteReference w:id="12"/>
      </w:r>
      <w:r>
        <w:rPr/>
        <w:t xml:space="preserve"> Moreover, an arbitration agreement made in a medium other than writing (but referring to terms which are in writing) is within the scope of the Arbitration Act. The agreement can also be found in an exchange of communications, which need not be signed.</w:t>
      </w:r>
      <w:r>
        <w:rPr>
          <w:rStyle w:val="FootnoteCharacters"/>
          <w:rStyle w:val="FootnoteReference"/>
        </w:rPr>
        <w:footnoteReference w:id="13"/>
      </w:r>
      <w:r>
        <w:rPr/>
        <w:t xml:space="preserve">  This will enable ECI to conduct business electronically or over the telephone (where the Local Counterparty has already agreed to the GTC's) without having to submit supplementary arbitration agreements. </w:t>
      </w:r>
    </w:p>
    <w:p>
      <w:pPr>
        <w:pStyle w:val="ListLegal2"/>
        <w:numPr>
          <w:ilvl w:val="0"/>
          <w:numId w:val="0"/>
        </w:numPr>
        <w:ind w:hanging="624" w:start="1248" w:end="0"/>
        <w:rPr/>
      </w:pPr>
      <w:r>
        <w:rPr/>
        <w:tab/>
        <w:t>The agreement will also be valid, enforceable and binding in circumstances where ECI concludes an arbitration agreement domestically in England between its London office (assuming its London office is a separate legal entity from its Houston office) and a Local Counterparty based in England.</w:t>
      </w:r>
    </w:p>
    <w:p>
      <w:pPr>
        <w:pStyle w:val="ListLegal2"/>
        <w:numPr>
          <w:ilvl w:val="0"/>
          <w:numId w:val="0"/>
        </w:numPr>
        <w:ind w:hanging="624" w:start="1248" w:end="0"/>
        <w:rPr/>
      </w:pPr>
      <w:r>
        <w:rPr/>
        <w:tab/>
        <w:t>It must also be emphasised that the agreement to arbitrate and the underlying agreement are two separate agreements (even if physically contained in the same document). Therefore, even in the event the underlying agreement is held to be invalid, the agreement to arbitrate will ordinarily survive.</w:t>
      </w:r>
    </w:p>
    <w:p>
      <w:pPr>
        <w:pStyle w:val="ListLegal2"/>
        <w:numPr>
          <w:ilvl w:val="0"/>
          <w:numId w:val="0"/>
        </w:numPr>
        <w:ind w:hanging="624" w:start="1248" w:end="0"/>
        <w:rPr/>
      </w:pPr>
      <w:r>
        <w:rPr/>
        <w:tab/>
        <w:t>We are therefore of the view that an agreement to arbitrate (whether in New York or London and whether under the Rules of the AAA, LCIA or ICC) is capable of being valid, enforceable and binding under English law.</w:t>
      </w:r>
    </w:p>
    <w:p>
      <w:pPr>
        <w:pStyle w:val="BodyText2"/>
        <w:keepNext w:val="true"/>
        <w:ind w:hanging="624" w:start="1248" w:end="0"/>
        <w:rPr/>
      </w:pPr>
      <w:r>
        <w:rPr/>
        <w:t>(b)</w:t>
      </w:r>
      <w:r>
        <w:rPr>
          <w:b/>
          <w:i/>
        </w:rPr>
        <w:tab/>
        <w:t>Would a court in England and Wales enforce a judgment rendered by arbitrators in New York governed by the FAA and pursuant to the AAA Rules?  Is there any possibility of the national or local courts of England and Wales challenging or otherwise intervening in relation to any award made by any such arbitral tribunal?</w:t>
      </w:r>
    </w:p>
    <w:p>
      <w:pPr>
        <w:pStyle w:val="ListLegal2"/>
        <w:numPr>
          <w:ilvl w:val="0"/>
          <w:numId w:val="0"/>
        </w:numPr>
        <w:ind w:hanging="624" w:start="1248" w:end="0"/>
        <w:rPr/>
      </w:pPr>
      <w:r>
        <w:rPr/>
        <w:tab/>
        <w:t>Questions (b)(i) and (ii) raise the joint issues of recognition, enforcement and challenge of awards.  Both the UK and the US are signatories to the New York Convention on the Recognition and Enforcement of Foreign Arbitral Awards (the "</w:t>
      </w:r>
      <w:r>
        <w:rPr>
          <w:b/>
        </w:rPr>
        <w:t>New York Convention</w:t>
      </w:r>
      <w:r>
        <w:rPr/>
        <w:t>"),</w:t>
      </w:r>
      <w:r>
        <w:rPr>
          <w:rStyle w:val="FootnoteCharacters"/>
          <w:rStyle w:val="FootnoteReference"/>
        </w:rPr>
        <w:footnoteReference w:id="14"/>
      </w:r>
      <w:r>
        <w:rPr/>
        <w:t xml:space="preserve"> which facilitates recognition and enforcement of international arbitral awards made in Contracting States.  Convention awards are more readily enforceable and significantly less susceptible to challenge than awards made in non-Contracting States.  Accordingly, as a general principle, a regular award made in New York by arbitrators conducting a reference under AAA Rules would be readily enforced in England pursuant to the New York Convention. </w:t>
      </w:r>
    </w:p>
    <w:p>
      <w:pPr>
        <w:pStyle w:val="ListLegal2"/>
        <w:numPr>
          <w:ilvl w:val="0"/>
          <w:numId w:val="0"/>
        </w:numPr>
        <w:ind w:hanging="624" w:start="1248" w:end="0"/>
        <w:rPr/>
      </w:pPr>
      <w:r>
        <w:rPr/>
        <w:tab/>
        <w:t xml:space="preserve">The Arbitration Act gives effect to the New York Convention by incorporating into English law provisions for the enforcement of awards covered by the New York Convention. Both the US and England have adopted the "reciprocity" reservation (permitting mutual recognition and enforcement). The nature of the transaction between ECI and the Local Counterparty is clearly "commercial" (required by the US, but not England). </w:t>
      </w:r>
    </w:p>
    <w:p>
      <w:pPr>
        <w:pStyle w:val="ListLegal2"/>
        <w:keepNext w:val="true"/>
        <w:numPr>
          <w:ilvl w:val="0"/>
          <w:numId w:val="0"/>
        </w:numPr>
        <w:ind w:hanging="624" w:start="1248" w:end="0"/>
        <w:rPr/>
      </w:pPr>
      <w:r>
        <w:rPr/>
        <w:tab/>
        <w:t>Section 100 (1) of the Arbitration Act defines a "New York Convention Award" as:</w:t>
      </w:r>
    </w:p>
    <w:p>
      <w:pPr>
        <w:pStyle w:val="BodyText2"/>
        <w:keepNext w:val="true"/>
        <w:ind w:start="1872" w:end="0"/>
        <w:rPr>
          <w:i/>
          <w:i/>
        </w:rPr>
      </w:pPr>
      <w:r>
        <w:rPr>
          <w:i/>
        </w:rPr>
        <w:t xml:space="preserve">"an award made, in pursuance of an arbitration agreement, in the territory of the state (other than the United Kingdom) which is a party to the New York Convention"  </w:t>
      </w:r>
    </w:p>
    <w:p>
      <w:pPr>
        <w:pStyle w:val="ListLegal2"/>
        <w:numPr>
          <w:ilvl w:val="0"/>
          <w:numId w:val="0"/>
        </w:numPr>
        <w:ind w:hanging="624" w:start="1248" w:end="0"/>
        <w:rPr/>
      </w:pPr>
      <w:r>
        <w:rPr/>
        <w:tab/>
        <w:t xml:space="preserve">Accordingly, an award rendered in New York between ECI and an English Local Counterparty under New York law would fall within this definition. Conversely, the award would not be treated under the Arbitration Act as a New York Convention Award (even if New York law applied) where the seat of the arbitration was London and the award was rendered in London. </w:t>
      </w:r>
    </w:p>
    <w:p>
      <w:pPr>
        <w:pStyle w:val="ListLegal2"/>
        <w:numPr>
          <w:ilvl w:val="0"/>
          <w:numId w:val="0"/>
        </w:numPr>
        <w:ind w:hanging="624" w:start="1248" w:end="0"/>
        <w:rPr/>
      </w:pPr>
      <w:r>
        <w:rPr/>
        <w:tab/>
        <w:t>Subject to specified exceptions set out in the Arbitration Act (see below), the court does not have discretion to refuse to recognise and enforce a New York Convention Award. It should also be noted that the presence of assets in the jurisdiction is not a pre-condition to the court enforcing the award.</w:t>
      </w:r>
      <w:r>
        <w:rPr>
          <w:rStyle w:val="FootnoteCharacters"/>
          <w:rStyle w:val="FootnoteReference"/>
          <w:b/>
        </w:rPr>
        <w:footnoteReference w:id="15"/>
      </w:r>
      <w:r>
        <w:rPr/>
        <w:t xml:space="preserve"> </w:t>
      </w:r>
    </w:p>
    <w:p>
      <w:pPr>
        <w:pStyle w:val="Heading3"/>
        <w:keepNext w:val="true"/>
        <w:numPr>
          <w:ilvl w:val="0"/>
          <w:numId w:val="0"/>
        </w:numPr>
        <w:ind w:hanging="0" w:start="1248" w:end="0"/>
        <w:rPr/>
      </w:pPr>
      <w:r>
        <w:rPr/>
        <w:t>Enforcement in England and Wales of a New York Convention Award</w:t>
      </w:r>
    </w:p>
    <w:p>
      <w:pPr>
        <w:pStyle w:val="Normal"/>
        <w:ind w:start="1248" w:end="0"/>
        <w:rPr/>
      </w:pPr>
      <w:r>
        <w:rPr/>
        <w:t>There are two possibilities for the enforcement of an award in England based on the scenarios contemplated in the Survey Questionnaire. The first assumes that the award will be made in New York, with New York law as the substantive law.  In such a case, an award rendered by the arbitral tribunal will be treated as a New York Convention Award where enforcement is sought in England. Conversely, an award rendered in England between ECI London and an English Local Counterparty can be enforced in New York under the New York Convention.  Grounds for appeal against the enforcement of a New York Convention award are limited.</w:t>
      </w:r>
    </w:p>
    <w:p>
      <w:pPr>
        <w:pStyle w:val="ListLegal2"/>
        <w:numPr>
          <w:ilvl w:val="0"/>
          <w:numId w:val="0"/>
        </w:numPr>
        <w:ind w:hanging="624" w:start="1248" w:end="0"/>
        <w:rPr/>
      </w:pPr>
      <w:r>
        <w:rPr/>
        <w:tab/>
        <w:t>However, where the award is made in England, it is not treated as a New York Convention award by English courts.  Wider grounds of appeal are possible in relation to such an award, although certain of the potential grounds of appeal (in particular, appeals on questions of English law) may be excluded by agreement. In circumstances where ECI attempted to enforce an English award in New York under the New York Convention, and the party seeking to resist enforcement brought an application challenging the award under the Arbitration Act, the New York courts would be obliged to stay proceedings until such time as the challenge had been dealt with by the English courts.</w:t>
      </w:r>
    </w:p>
    <w:p>
      <w:pPr>
        <w:pStyle w:val="ListLegal2"/>
        <w:numPr>
          <w:ilvl w:val="0"/>
          <w:numId w:val="0"/>
        </w:numPr>
        <w:ind w:hanging="624" w:start="1248" w:end="0"/>
        <w:rPr/>
      </w:pPr>
      <w:r>
        <w:rPr/>
        <w:tab/>
        <w:t xml:space="preserve">Under the Arbitration Act, an award is immediately enforceable once made, subject to contrary agreement by the parties and the exhaustion of any rights of challenge.  </w:t>
      </w:r>
    </w:p>
    <w:p>
      <w:pPr>
        <w:pStyle w:val="ListLegal2"/>
        <w:numPr>
          <w:ilvl w:val="0"/>
          <w:numId w:val="0"/>
        </w:numPr>
        <w:ind w:hanging="624" w:start="1248" w:end="0"/>
        <w:rPr/>
      </w:pPr>
      <w:r>
        <w:rPr/>
        <w:tab/>
        <w:t>There are two methods of enforcement of an award available in England.  The first method is a summary procedure, whereby leave is obtained from the court to enforce the award "in the same manner as a judgment or order of the court to the same effect".</w:t>
      </w:r>
      <w:r>
        <w:rPr>
          <w:rStyle w:val="FootnoteCharacters"/>
          <w:rStyle w:val="FootnoteReference"/>
        </w:rPr>
        <w:footnoteReference w:id="16"/>
      </w:r>
      <w:r>
        <w:rPr/>
        <w:t xml:space="preserve">  The second is to bring an action on the award, and to seek judgment from the court for the same relief as is granted by the award.</w:t>
      </w:r>
    </w:p>
    <w:p>
      <w:pPr>
        <w:pStyle w:val="Heading3"/>
        <w:keepNext w:val="true"/>
        <w:numPr>
          <w:ilvl w:val="0"/>
          <w:numId w:val="0"/>
        </w:numPr>
        <w:ind w:hanging="0" w:start="1248" w:end="0"/>
        <w:rPr/>
      </w:pPr>
      <w:r>
        <w:rPr/>
        <w:t>Challenging a New York Convention Award</w:t>
      </w:r>
    </w:p>
    <w:p>
      <w:pPr>
        <w:pStyle w:val="ListLegal2"/>
        <w:keepNext w:val="true"/>
        <w:numPr>
          <w:ilvl w:val="0"/>
          <w:numId w:val="0"/>
        </w:numPr>
        <w:ind w:hanging="624" w:start="1248" w:end="0"/>
        <w:rPr/>
      </w:pPr>
      <w:r>
        <w:rPr/>
        <w:tab/>
        <w:t>In order to challenge a New York Convention Award, the party opposing enforcement is restricted to the limited grounds specified in the Arbitration Act.</w:t>
      </w:r>
      <w:r>
        <w:rPr>
          <w:rStyle w:val="FootnoteCharacters"/>
          <w:rStyle w:val="FootnoteReference"/>
        </w:rPr>
        <w:footnoteReference w:id="17"/>
      </w:r>
      <w:r>
        <w:rPr/>
        <w:t xml:space="preserve">  The grounds available under this section are limited. They relate primarily to formal and/or jurisdictional issues as opposed to substantive matters.  The principal grounds of appeal are as follows:</w:t>
      </w:r>
    </w:p>
    <w:p>
      <w:pPr>
        <w:pStyle w:val="ListBullet"/>
        <w:numPr>
          <w:ilvl w:val="0"/>
          <w:numId w:val="20"/>
        </w:numPr>
        <w:rPr/>
      </w:pPr>
      <w:r>
        <w:rPr/>
        <w:t>If, under the law applicable to the arbitration agreement, the other party suffers from some form of incapacity, the court may refuse to enforce the award.  For example, a corporate party may be prevented from entering into an arbitration agreement under its memorandum and articles of association (a matter which may be checked by a search of the Companies' Registry).  In the case of an agreement entered into with a partnership, more sophisticated enquiries must be made and the relevant constitutional documents should be considered.  Special care should be taken when contracting with a State, as some States require parliamentary authority to be obtained before an arbitration agreement may be entered into.</w:t>
      </w:r>
    </w:p>
    <w:p>
      <w:pPr>
        <w:pStyle w:val="ListBullet"/>
        <w:numPr>
          <w:ilvl w:val="0"/>
          <w:numId w:val="20"/>
        </w:numPr>
        <w:rPr/>
      </w:pPr>
      <w:r>
        <w:rPr/>
        <w:t>Enforcement of the award can be opposed if the arbitration agreement was not valid under the law to which the parties are subject.  It is essential to note here that enforcement of the award relates to the validity of the arbitration agreement and not the underlying agreement.  The doctrine of separability, whereby the arbitration agreement is treated as distinct from the rest of the contract, is enshrined in the Arbitration Act.</w:t>
      </w:r>
      <w:r>
        <w:rPr>
          <w:rStyle w:val="FootnoteCharacters"/>
          <w:rStyle w:val="FootnoteReference"/>
        </w:rPr>
        <w:footnoteReference w:id="18"/>
      </w:r>
      <w:r>
        <w:rPr/>
        <w:t xml:space="preserve"> </w:t>
      </w:r>
    </w:p>
    <w:p>
      <w:pPr>
        <w:pStyle w:val="ListBullet"/>
        <w:numPr>
          <w:ilvl w:val="0"/>
          <w:numId w:val="20"/>
        </w:numPr>
        <w:rPr/>
      </w:pPr>
      <w:r>
        <w:rPr/>
        <w:t>The due process requirement requires that proper notice of the appointment of the arbitrator (and of the subsequent arbitration proceedings) be given to all parties.</w:t>
      </w:r>
    </w:p>
    <w:p>
      <w:pPr>
        <w:pStyle w:val="ListBullet"/>
        <w:numPr>
          <w:ilvl w:val="0"/>
          <w:numId w:val="20"/>
        </w:numPr>
        <w:rPr/>
      </w:pPr>
      <w:r>
        <w:rPr/>
        <w:t xml:space="preserve">A court will not enforce an award if the arbitration agreement itself is invalid.  Nor will it enforce an award if the arbitral tribunal has determined disputes that are beyond the scope of the arbitration agreement or submission to arbitration.  </w:t>
      </w:r>
    </w:p>
    <w:p>
      <w:pPr>
        <w:pStyle w:val="ListBullet"/>
        <w:numPr>
          <w:ilvl w:val="0"/>
          <w:numId w:val="20"/>
        </w:numPr>
        <w:rPr/>
      </w:pPr>
      <w:r>
        <w:rPr/>
        <w:t xml:space="preserve">An award may be challenged on the grounds that the procedure or composition of the tribunal is contrary to the agreement of the parties or the law of the place of the arbitration. </w:t>
      </w:r>
    </w:p>
    <w:p>
      <w:pPr>
        <w:pStyle w:val="ListBullet"/>
        <w:numPr>
          <w:ilvl w:val="0"/>
          <w:numId w:val="20"/>
        </w:numPr>
        <w:rPr/>
      </w:pPr>
      <w:r>
        <w:rPr/>
        <w:t>The court may refuse to enforce an award which has not yet become binding on the parties, or which has been set aside or suspended by a competent authority (usually a court) of the country in which, or under the law of which, it was made.</w:t>
      </w:r>
      <w:r>
        <w:rPr>
          <w:rStyle w:val="FootnoteCharacters"/>
          <w:rStyle w:val="FootnoteReference"/>
        </w:rPr>
        <w:footnoteReference w:id="19"/>
      </w:r>
      <w:r>
        <w:rPr/>
        <w:t xml:space="preserve">  For example, if the arbitration agreement requires that a further step be taken, the award will not become binding on the parties until that step has been taken. The court may, in those circumstances, adjourn any application requiring it to decide on the recognition or enforcement of the award.</w:t>
      </w:r>
      <w:r>
        <w:rPr>
          <w:rStyle w:val="FootnoteCharacters"/>
          <w:rStyle w:val="FootnoteReference"/>
        </w:rPr>
        <w:footnoteReference w:id="20"/>
      </w:r>
      <w:r>
        <w:rPr/>
        <w:t xml:space="preserve">  However, an adjournment may only take place on terms that security is given to the party seeking enforcement of the award.   </w:t>
      </w:r>
    </w:p>
    <w:p>
      <w:pPr>
        <w:pStyle w:val="ListBullet"/>
        <w:numPr>
          <w:ilvl w:val="0"/>
          <w:numId w:val="20"/>
        </w:numPr>
        <w:rPr/>
      </w:pPr>
      <w:r>
        <w:rPr/>
        <w:t>A court may refuse to enforce a New York Convention Award if it is "in respect of a matter which is not capable of settlement by arbitration".</w:t>
      </w:r>
      <w:r>
        <w:rPr>
          <w:rStyle w:val="FootnoteCharacters"/>
          <w:rStyle w:val="FootnoteReference"/>
        </w:rPr>
        <w:footnoteReference w:id="21"/>
      </w:r>
      <w:r>
        <w:rPr/>
        <w:t xml:space="preserve">   This concerns the situation where the subject of the dispute is not capable of being arbitrated.  For example, certain welfare or anti-trust matters are considered non-arbitrable.  No cases on this point have come before an English court for decision. </w:t>
      </w:r>
    </w:p>
    <w:p>
      <w:pPr>
        <w:pStyle w:val="ListBullet"/>
        <w:numPr>
          <w:ilvl w:val="0"/>
          <w:numId w:val="20"/>
        </w:numPr>
        <w:rPr/>
      </w:pPr>
      <w:r>
        <w:rPr/>
        <w:t>A New York Convention Award will not be enforced in England if "it would be contrary to public policy to recognise or enforce the award".</w:t>
      </w:r>
      <w:r>
        <w:rPr>
          <w:rStyle w:val="FootnoteCharacters"/>
          <w:rStyle w:val="FootnoteReference"/>
        </w:rPr>
        <w:footnoteReference w:id="22"/>
      </w:r>
      <w:r>
        <w:rPr/>
        <w:t xml:space="preserve"> In </w:t>
      </w:r>
      <w:r>
        <w:rPr>
          <w:i/>
        </w:rPr>
        <w:t>Deutsche Schachtbau-und-Tiefbohr GmbH -v- Ras Al Khaimah National Oil Company</w:t>
      </w:r>
      <w:r>
        <w:rPr/>
        <w:t>,</w:t>
      </w:r>
      <w:r>
        <w:rPr>
          <w:rStyle w:val="FootnoteCharacters"/>
          <w:rStyle w:val="FootnoteReference"/>
        </w:rPr>
        <w:footnoteReference w:id="23"/>
      </w:r>
      <w:r>
        <w:rPr>
          <w:i/>
        </w:rPr>
        <w:t xml:space="preserve"> </w:t>
      </w:r>
      <w:r>
        <w:rPr/>
        <w:t>"public policy" was interpreted as "international" public policy, a distinction being drawn between the policy that an English court would adopt in relation to a domestic arbitration as opposed to an arbitration conducted abroad.  It remains to be seen whether that decision will fall to be revised in light of the approach taken in the Arbitration Act to dispense with any distinction between domestic and international arbitration.</w:t>
      </w:r>
    </w:p>
    <w:p>
      <w:pPr>
        <w:pStyle w:val="Heading3"/>
        <w:keepNext w:val="true"/>
        <w:numPr>
          <w:ilvl w:val="0"/>
          <w:numId w:val="0"/>
        </w:numPr>
        <w:ind w:hanging="794" w:start="2042" w:end="0"/>
        <w:rPr/>
      </w:pPr>
      <w:r>
        <w:rPr/>
        <w:t>Enforcing an Award Where the Seat is London</w:t>
      </w:r>
    </w:p>
    <w:p>
      <w:pPr>
        <w:pStyle w:val="Normal"/>
        <w:ind w:start="1248" w:end="0"/>
        <w:rPr/>
      </w:pPr>
      <w:r>
        <w:rPr/>
        <w:t>The enforcement of an award under the LCIA Rules or ICC Rules, where London is the seat and English law is the governing law of the arbitration, is similar to that described above for the summary enforcement of a New York Convention Award.</w:t>
      </w:r>
      <w:r>
        <w:rPr>
          <w:rStyle w:val="FootnoteCharacters"/>
          <w:rStyle w:val="FootnoteReference"/>
        </w:rPr>
        <w:footnoteReference w:id="24"/>
      </w:r>
      <w:r>
        <w:rPr/>
        <w:t xml:space="preserve">  </w:t>
      </w:r>
    </w:p>
    <w:p>
      <w:pPr>
        <w:pStyle w:val="Normal"/>
        <w:ind w:start="1248" w:end="0"/>
        <w:rPr/>
      </w:pPr>
      <w:r>
        <w:rPr/>
        <w:t xml:space="preserve">Under the Arbitration Act, an award may be attacked for lack of substantive jurisdiction, serious irregularity or on a point of English law. An application for summary enforcement may be heard at the same time as any such challenge. </w:t>
      </w:r>
    </w:p>
    <w:p>
      <w:pPr>
        <w:pStyle w:val="Normal"/>
        <w:ind w:start="1248" w:end="0"/>
        <w:rPr/>
      </w:pPr>
      <w:r>
        <w:rPr/>
        <w:t>Even where leave has been given to enforce an award under Section 66 of the Arbitration Act, the party against whom the award is to be enforced can challenge it within 14 days after service of the order.  It should also be noted that enforcement under Section 66 is not available for preliminary or interim decisions, or for enforcement of an order granting relief on a provisional basis.</w:t>
      </w:r>
    </w:p>
    <w:p>
      <w:pPr>
        <w:pStyle w:val="Heading3"/>
        <w:keepNext w:val="true"/>
        <w:numPr>
          <w:ilvl w:val="0"/>
          <w:numId w:val="0"/>
        </w:numPr>
        <w:ind w:hanging="793" w:start="2041" w:end="0"/>
        <w:rPr/>
      </w:pPr>
      <w:r>
        <w:rPr/>
        <w:t>Challenges to the Award</w:t>
      </w:r>
    </w:p>
    <w:p>
      <w:pPr>
        <w:pStyle w:val="Normal"/>
        <w:ind w:start="1248" w:end="0"/>
        <w:rPr/>
      </w:pPr>
      <w:r>
        <w:rPr/>
        <w:t xml:space="preserve">As noted above, the Arbitration Act provides that challenges may be made to an award on the basis of lack of substantive jurisdiction and serious irregularity.  The statutory provisions covering these heads are mandatory (i.e. they cannot be excluded by operation of the arbitration agreement).  There is an additional right of appeal under the Arbitration Act in relation to questions of law.  It is possible to exclude this ground of appeal in an arbitration agreement.  </w:t>
      </w:r>
    </w:p>
    <w:p>
      <w:pPr>
        <w:pStyle w:val="ListLegal2"/>
        <w:numPr>
          <w:ilvl w:val="0"/>
          <w:numId w:val="0"/>
        </w:numPr>
        <w:ind w:hanging="624" w:start="1248" w:end="0"/>
        <w:rPr/>
      </w:pPr>
      <w:r>
        <w:rPr/>
        <w:tab/>
        <w:t>The first potential challenge enables a party to apply to the court to challenge the tribunal's award on the grounds of "substantive jurisdiction".</w:t>
      </w:r>
      <w:r>
        <w:rPr>
          <w:rStyle w:val="FootnoteCharacters"/>
          <w:rStyle w:val="FootnoteReference"/>
        </w:rPr>
        <w:footnoteReference w:id="25"/>
      </w:r>
      <w:r>
        <w:rPr/>
        <w:t xml:space="preserve"> This will cover situations where the arbitration agreement is invalid, where the tribunal has been improperly constituted or where matters have not been submitted to the arbitration in accordance with the parties' arbitration agreement. A party attacking an award under this head may only do so after exhausting any arbitral remedies by way of appeal, review or correction of the award.</w:t>
      </w:r>
    </w:p>
    <w:p>
      <w:pPr>
        <w:pStyle w:val="ListLegal2"/>
        <w:numPr>
          <w:ilvl w:val="0"/>
          <w:numId w:val="0"/>
        </w:numPr>
        <w:ind w:hanging="624" w:start="1248" w:end="0"/>
        <w:rPr/>
      </w:pPr>
      <w:r>
        <w:rPr/>
        <w:tab/>
        <w:t>The second ground of challenge referred to in the Arbitration Act is that of "serious irregularity".</w:t>
      </w:r>
      <w:r>
        <w:rPr>
          <w:rStyle w:val="FootnoteCharacters"/>
          <w:rStyle w:val="FootnoteReference"/>
        </w:rPr>
        <w:footnoteReference w:id="26"/>
      </w:r>
      <w:r>
        <w:rPr/>
        <w:t xml:space="preserve">  This is available if an award is tainted on the grounds of serious irregularity affecting the tribunal, the proceedings, or the award.  No application under this section will be granted, unless the irregularity has caused "substantial injustice to the applicant".</w:t>
      </w:r>
      <w:r>
        <w:rPr>
          <w:rStyle w:val="FootnoteCharacters"/>
          <w:rStyle w:val="FootnoteReference"/>
        </w:rPr>
        <w:footnoteReference w:id="27"/>
      </w:r>
      <w:r>
        <w:rPr/>
        <w:t xml:space="preserve">  "Serious irregularity" is defined in Section 68(2) of the Arbitration Act as follows:</w:t>
      </w:r>
    </w:p>
    <w:p>
      <w:pPr>
        <w:pStyle w:val="Normal"/>
        <w:ind w:hanging="624" w:start="2496" w:end="0"/>
        <w:rPr>
          <w:i/>
          <w:i/>
        </w:rPr>
      </w:pPr>
      <w:r>
        <w:rPr>
          <w:i/>
        </w:rPr>
        <w:t>"68</w:t>
        <w:tab/>
        <w:t>(2) Serious irregularity means an irregularity of one or more of the following kinds which the court considers has caused or will cause substantial injustice to the applicant -</w:t>
      </w:r>
    </w:p>
    <w:p>
      <w:pPr>
        <w:pStyle w:val="ListAlpha3"/>
        <w:numPr>
          <w:ilvl w:val="2"/>
          <w:numId w:val="29"/>
        </w:numPr>
        <w:tabs>
          <w:tab w:val="left" w:pos="2950" w:leader="none"/>
        </w:tabs>
        <w:ind w:hanging="511" w:start="2950" w:end="0"/>
        <w:rPr>
          <w:i/>
          <w:i/>
        </w:rPr>
      </w:pPr>
      <w:r>
        <w:rPr>
          <w:i/>
        </w:rPr>
        <w:t>failure by the tribunal to comply with section 33 (general duty of tribunal);</w:t>
      </w:r>
    </w:p>
    <w:p>
      <w:pPr>
        <w:pStyle w:val="ListAlpha3"/>
        <w:numPr>
          <w:ilvl w:val="2"/>
          <w:numId w:val="15"/>
        </w:numPr>
        <w:tabs>
          <w:tab w:val="left" w:pos="2950" w:leader="none"/>
        </w:tabs>
        <w:ind w:hanging="511" w:start="2950" w:end="0"/>
        <w:rPr>
          <w:i/>
          <w:i/>
        </w:rPr>
      </w:pPr>
      <w:r>
        <w:rPr>
          <w:i/>
        </w:rPr>
        <w:t>the tribunal exceeding its powers (otherwise than by exceeding its substantive jurisdiction: see section 67);</w:t>
      </w:r>
    </w:p>
    <w:p>
      <w:pPr>
        <w:pStyle w:val="ListAlpha3"/>
        <w:numPr>
          <w:ilvl w:val="2"/>
          <w:numId w:val="15"/>
        </w:numPr>
        <w:tabs>
          <w:tab w:val="left" w:pos="2950" w:leader="none"/>
        </w:tabs>
        <w:ind w:hanging="511" w:start="2950" w:end="0"/>
        <w:rPr>
          <w:i/>
          <w:i/>
        </w:rPr>
      </w:pPr>
      <w:r>
        <w:rPr>
          <w:i/>
        </w:rPr>
        <w:t>failure by the tribunal to conduct the proceedings in accordance with the procedure agreed by the parties;</w:t>
      </w:r>
    </w:p>
    <w:p>
      <w:pPr>
        <w:pStyle w:val="ListAlpha3"/>
        <w:numPr>
          <w:ilvl w:val="2"/>
          <w:numId w:val="15"/>
        </w:numPr>
        <w:tabs>
          <w:tab w:val="left" w:pos="2950" w:leader="none"/>
        </w:tabs>
        <w:ind w:hanging="511" w:start="2950" w:end="0"/>
        <w:rPr>
          <w:i/>
          <w:i/>
        </w:rPr>
      </w:pPr>
      <w:r>
        <w:rPr>
          <w:i/>
        </w:rPr>
        <w:t>failure by the tribunal to deal with all the issues that were put to it;</w:t>
      </w:r>
    </w:p>
    <w:p>
      <w:pPr>
        <w:pStyle w:val="ListAlpha3"/>
        <w:numPr>
          <w:ilvl w:val="2"/>
          <w:numId w:val="15"/>
        </w:numPr>
        <w:tabs>
          <w:tab w:val="left" w:pos="2950" w:leader="none"/>
        </w:tabs>
        <w:ind w:hanging="511" w:start="2950" w:end="0"/>
        <w:rPr>
          <w:i/>
          <w:i/>
        </w:rPr>
      </w:pPr>
      <w:r>
        <w:rPr>
          <w:i/>
        </w:rPr>
        <w:t>any arbitral or other institution or person vested by the parties with powers in relation to the proceedings or the award exceeding its powers;</w:t>
      </w:r>
    </w:p>
    <w:p>
      <w:pPr>
        <w:pStyle w:val="ListAlpha3"/>
        <w:numPr>
          <w:ilvl w:val="2"/>
          <w:numId w:val="15"/>
        </w:numPr>
        <w:tabs>
          <w:tab w:val="left" w:pos="2950" w:leader="none"/>
        </w:tabs>
        <w:ind w:hanging="511" w:start="2950" w:end="0"/>
        <w:rPr>
          <w:i/>
          <w:i/>
        </w:rPr>
      </w:pPr>
      <w:r>
        <w:rPr>
          <w:i/>
        </w:rPr>
        <w:t>uncertainty or ambiguity as to the effect of the award;</w:t>
      </w:r>
    </w:p>
    <w:p>
      <w:pPr>
        <w:pStyle w:val="ListAlpha3"/>
        <w:numPr>
          <w:ilvl w:val="2"/>
          <w:numId w:val="15"/>
        </w:numPr>
        <w:ind w:hanging="511" w:start="2950" w:end="0"/>
        <w:rPr>
          <w:i/>
          <w:i/>
        </w:rPr>
      </w:pPr>
      <w:r>
        <w:rPr>
          <w:i/>
        </w:rPr>
        <w:t>the award being obtained by fraud or the award or the way in which it was procured being contrary to public policy;</w:t>
      </w:r>
    </w:p>
    <w:p>
      <w:pPr>
        <w:pStyle w:val="ListAlpha3"/>
        <w:numPr>
          <w:ilvl w:val="2"/>
          <w:numId w:val="15"/>
        </w:numPr>
        <w:ind w:hanging="511" w:start="2950" w:end="0"/>
        <w:rPr>
          <w:i/>
          <w:i/>
        </w:rPr>
      </w:pPr>
      <w:r>
        <w:rPr>
          <w:i/>
        </w:rPr>
        <w:t>failure to comply with the requirements as to the form of the award; or</w:t>
      </w:r>
    </w:p>
    <w:p>
      <w:pPr>
        <w:pStyle w:val="ListAlpha3"/>
        <w:numPr>
          <w:ilvl w:val="2"/>
          <w:numId w:val="15"/>
        </w:numPr>
        <w:ind w:hanging="511" w:start="2950" w:end="0"/>
        <w:rPr>
          <w:i/>
          <w:i/>
        </w:rPr>
      </w:pPr>
      <w:r>
        <w:rPr>
          <w:i/>
        </w:rPr>
        <w:t>any irregularity in the conduct of the proceedings or in the award which is admitted by the tribunal or by an arbitral or other institution or person vested by the parties with powers in relation to the proceedings or the award."</w:t>
      </w:r>
    </w:p>
    <w:p>
      <w:pPr>
        <w:pStyle w:val="Normal"/>
        <w:ind w:start="1248" w:end="0"/>
        <w:rPr>
          <w:b/>
        </w:rPr>
      </w:pPr>
      <w:r>
        <w:rPr/>
        <w:t xml:space="preserve">Section 68(2) imposes a general duty on a tribunal to act fairly and impartially as between the parties, to enable a party to put its case and to respond to the case of opposing parties. </w:t>
      </w:r>
    </w:p>
    <w:p>
      <w:pPr>
        <w:pStyle w:val="Normal"/>
        <w:ind w:start="1248" w:end="0"/>
        <w:rPr/>
      </w:pPr>
      <w:r>
        <w:rPr/>
        <w:t>More specifically, this ground of appeal will be invoked in circumstances where there is irregularity in the conduct of the proceedings or the award by the arbitral tribunal, or the arbitral institution. Such a circumstance might arise, for example, where the arbitral tribunal considers fresh evidence after the close of proceedings, or where, during scrutiny of the award, the arbitral institution makes a substantive change to an award.</w:t>
      </w:r>
      <w:r>
        <w:rPr>
          <w:b/>
        </w:rPr>
        <w:tab/>
      </w:r>
    </w:p>
    <w:p>
      <w:pPr>
        <w:pStyle w:val="Normal"/>
        <w:ind w:start="1248" w:end="0"/>
        <w:rPr/>
      </w:pPr>
      <w:r>
        <w:rPr/>
        <w:t>The third ground of challenge available under the Arbitration Act permits a party to appeal to the court on a question of English law arising out of an award</w:t>
      </w:r>
      <w:r>
        <w:rPr>
          <w:rStyle w:val="FootnoteCharacters"/>
          <w:rStyle w:val="FootnoteReference"/>
        </w:rPr>
        <w:footnoteReference w:id="28"/>
      </w:r>
      <w:r>
        <w:rPr/>
        <w:t xml:space="preserve">. No such appeal is available in respect of foreign law, e.g., where the substantive law of the contract is New York law, nor is an appeal available on a question of fact. </w:t>
      </w:r>
    </w:p>
    <w:p>
      <w:pPr>
        <w:pStyle w:val="Normal"/>
        <w:ind w:start="1248" w:end="0"/>
        <w:rPr/>
      </w:pPr>
      <w:r>
        <w:rPr/>
        <w:t xml:space="preserve">The right to appeal a question of law may be excluded by agreement.  In addition, even where there is no exclusion agreement, there are restrictions on the right to bring an appeal.  Unless all the parties agree to the appeal, the appellant must obtain leave from the court, which will only be granted if the court is satisfied that the rights of the parties are substantially affected. </w:t>
      </w:r>
    </w:p>
    <w:p>
      <w:pPr>
        <w:pStyle w:val="Heading2"/>
        <w:ind w:hanging="0" w:start="0"/>
        <w:rPr/>
      </w:pPr>
      <w:bookmarkStart w:id="20" w:name="__RefHeading___Toc469131291"/>
      <w:bookmarkEnd w:id="20"/>
      <w:r>
        <w:rPr/>
        <w:t>Section 1E:</w:t>
        <w:tab/>
        <w:t>Events of Default, Insolvency and Early Termination</w:t>
      </w:r>
    </w:p>
    <w:p>
      <w:pPr>
        <w:pStyle w:val="Normal"/>
        <w:ind w:start="624" w:end="0"/>
        <w:rPr/>
      </w:pPr>
      <w:r>
        <w:rPr/>
        <w:t>You have asked us about events of default, insolvency and early termination in the Master Agreement and the GTCs.  We understand from the Survey Questionnaire that the Local Counterparty to the Master Agreement/GTCs may be a corporation or partnership, a utility, a municipal entity, a government-owned entity or a financial institution, but that it will not be an individual.</w:t>
      </w:r>
      <w:r>
        <w:rPr>
          <w:b/>
        </w:rPr>
        <w:t xml:space="preserve">  </w:t>
      </w:r>
    </w:p>
    <w:p>
      <w:pPr>
        <w:pStyle w:val="Heading3"/>
        <w:keepNext w:val="true"/>
        <w:ind w:hanging="0" w:start="0"/>
        <w:rPr/>
      </w:pPr>
      <w:r>
        <w:rPr/>
        <w:t>Background</w:t>
      </w:r>
    </w:p>
    <w:p>
      <w:pPr>
        <w:pStyle w:val="Normal"/>
        <w:keepNext w:val="true"/>
        <w:ind w:start="1276" w:end="0"/>
        <w:rPr/>
      </w:pPr>
      <w:r>
        <w:rPr/>
        <w:t>In this Section 1E, a reference to:</w:t>
      </w:r>
    </w:p>
    <w:p>
      <w:pPr>
        <w:pStyle w:val="Normal"/>
        <w:keepNext w:val="true"/>
        <w:numPr>
          <w:ilvl w:val="0"/>
          <w:numId w:val="9"/>
        </w:numPr>
        <w:tabs>
          <w:tab w:val="clear" w:pos="624"/>
          <w:tab w:val="left" w:pos="1636" w:leader="none"/>
        </w:tabs>
        <w:ind w:hanging="360" w:start="1636" w:end="0"/>
        <w:rPr/>
      </w:pPr>
      <w:r>
        <w:rPr/>
        <w:t>a "</w:t>
      </w:r>
      <w:r>
        <w:rPr>
          <w:b/>
        </w:rPr>
        <w:t>bank</w:t>
      </w:r>
      <w:r>
        <w:rPr/>
        <w:t xml:space="preserve">" is a reference to an authorised institution within the meaning in Section 3 of the Banking Act 1987; </w:t>
      </w:r>
    </w:p>
    <w:p>
      <w:pPr>
        <w:pStyle w:val="Normal"/>
        <w:keepNext w:val="true"/>
        <w:numPr>
          <w:ilvl w:val="0"/>
          <w:numId w:val="9"/>
        </w:numPr>
        <w:tabs>
          <w:tab w:val="clear" w:pos="624"/>
          <w:tab w:val="left" w:pos="1636" w:leader="none"/>
        </w:tabs>
        <w:ind w:hanging="360" w:start="1636" w:end="0"/>
        <w:rPr/>
      </w:pPr>
      <w:r>
        <w:rPr/>
        <w:t>a "</w:t>
      </w:r>
      <w:r>
        <w:rPr>
          <w:b/>
        </w:rPr>
        <w:t>company</w:t>
      </w:r>
      <w:r>
        <w:rPr/>
        <w:t>" is a reference to a company within the meaning in Section 735 of the Companies Act 1985 (the "</w:t>
      </w:r>
      <w:r>
        <w:rPr>
          <w:b/>
        </w:rPr>
        <w:t>CA</w:t>
      </w:r>
      <w:r>
        <w:rPr/>
        <w:t>");</w:t>
      </w:r>
    </w:p>
    <w:p>
      <w:pPr>
        <w:pStyle w:val="Normal"/>
        <w:numPr>
          <w:ilvl w:val="0"/>
          <w:numId w:val="9"/>
        </w:numPr>
        <w:tabs>
          <w:tab w:val="clear" w:pos="624"/>
          <w:tab w:val="left" w:pos="1636" w:leader="none"/>
        </w:tabs>
        <w:ind w:hanging="360" w:start="1636" w:end="0"/>
        <w:rPr/>
      </w:pPr>
      <w:r>
        <w:rPr/>
        <w:t>a "</w:t>
      </w:r>
      <w:r>
        <w:rPr>
          <w:b/>
        </w:rPr>
        <w:t>partnership</w:t>
      </w:r>
      <w:r>
        <w:rPr/>
        <w:t>"</w:t>
      </w:r>
      <w:r>
        <w:rPr>
          <w:b/>
        </w:rPr>
        <w:t xml:space="preserve"> </w:t>
      </w:r>
      <w:r>
        <w:rPr/>
        <w:t>is a reference to</w:t>
      </w:r>
      <w:r>
        <w:rPr>
          <w:b/>
        </w:rPr>
        <w:t xml:space="preserve"> </w:t>
      </w:r>
      <w:r>
        <w:rPr/>
        <w:t>a group of individuals or companies which have contracted to engage in a business with a view to profit (within the meaning of the Partnership Act 1890), whether on the basis of unlimited or limited liability (within the meaning of the Limited Partnership Act 1907);</w:t>
      </w:r>
    </w:p>
    <w:p>
      <w:pPr>
        <w:pStyle w:val="Normal"/>
        <w:numPr>
          <w:ilvl w:val="0"/>
          <w:numId w:val="9"/>
        </w:numPr>
        <w:tabs>
          <w:tab w:val="clear" w:pos="624"/>
          <w:tab w:val="left" w:pos="1636" w:leader="none"/>
        </w:tabs>
        <w:ind w:hanging="360" w:start="1636" w:end="0"/>
        <w:rPr/>
      </w:pPr>
      <w:r>
        <w:rPr/>
        <w:t>a "</w:t>
      </w:r>
      <w:r>
        <w:rPr>
          <w:b/>
        </w:rPr>
        <w:t>utility</w:t>
      </w:r>
      <w:r>
        <w:rPr/>
        <w:t xml:space="preserve">" is a reference to those public corporations formed by special statute to carry out public works such as, but not limited to, railway, water, electricity and gas companies; </w:t>
      </w:r>
    </w:p>
    <w:p>
      <w:pPr>
        <w:pStyle w:val="Normal"/>
        <w:numPr>
          <w:ilvl w:val="0"/>
          <w:numId w:val="9"/>
        </w:numPr>
        <w:tabs>
          <w:tab w:val="clear" w:pos="624"/>
          <w:tab w:val="left" w:pos="1636" w:leader="none"/>
        </w:tabs>
        <w:ind w:hanging="360" w:start="1636" w:end="0"/>
        <w:rPr/>
      </w:pPr>
      <w:r>
        <w:rPr/>
        <w:t>a "</w:t>
      </w:r>
      <w:r>
        <w:rPr>
          <w:b/>
        </w:rPr>
        <w:t>public corporation</w:t>
      </w:r>
      <w:r>
        <w:rPr/>
        <w:t>" is a reference to any corporation (other than a company) formed by special statute (a "</w:t>
      </w:r>
      <w:r>
        <w:rPr>
          <w:b/>
        </w:rPr>
        <w:t>public corporation</w:t>
      </w:r>
      <w:r>
        <w:rPr/>
        <w:t xml:space="preserve">") in which the government or a local government authority may have an ownership interest; </w:t>
      </w:r>
    </w:p>
    <w:p>
      <w:pPr>
        <w:pStyle w:val="Normal"/>
        <w:numPr>
          <w:ilvl w:val="0"/>
          <w:numId w:val="9"/>
        </w:numPr>
        <w:tabs>
          <w:tab w:val="clear" w:pos="624"/>
          <w:tab w:val="left" w:pos="1636" w:leader="none"/>
        </w:tabs>
        <w:ind w:hanging="360" w:start="1636" w:end="0"/>
        <w:rPr/>
      </w:pPr>
      <w:r>
        <w:rPr/>
        <w:t>a "</w:t>
      </w:r>
      <w:r>
        <w:rPr>
          <w:b/>
        </w:rPr>
        <w:t>municipality</w:t>
      </w:r>
      <w:r>
        <w:rPr/>
        <w:t>" or "</w:t>
      </w:r>
      <w:r>
        <w:rPr>
          <w:b/>
        </w:rPr>
        <w:t>government-owned entity</w:t>
      </w:r>
      <w:r>
        <w:rPr/>
        <w:t>" is a reference to a company or public corporation.</w:t>
      </w:r>
    </w:p>
    <w:p>
      <w:pPr>
        <w:pStyle w:val="Normal"/>
        <w:ind w:start="1344" w:end="0"/>
        <w:rPr/>
      </w:pPr>
      <w:bookmarkStart w:id="21" w:name="_Ref467038353"/>
      <w:r>
        <w:rPr/>
        <w:t>The only bankruptcy, composition, rehabilitation or other insolvency procedures to which a party could be subject under English law and which are relevant for the purposes of the advice set out below are liquidation, administration, administrative receivership, receivership, voluntary arrangements under the Insolvency Act 1986 (the "</w:t>
      </w:r>
      <w:r>
        <w:rPr>
          <w:b/>
        </w:rPr>
        <w:t>IA</w:t>
      </w:r>
      <w:r>
        <w:rPr/>
        <w:t>"), and schemes of arrangement under the CA.  These procedures all fall within the definition of Bankruptcy Proceedings in the Master Agreement and GTCs.</w:t>
      </w:r>
      <w:bookmarkEnd w:id="21"/>
      <w:r>
        <w:rPr/>
        <w:t xml:space="preserve">  A partnership is not, however, susceptible of being made subject to the administrative receivership procedure.</w:t>
      </w:r>
      <w:r>
        <w:rPr>
          <w:rStyle w:val="FootnoteCharacters"/>
          <w:rStyle w:val="FootnoteReference"/>
        </w:rPr>
        <w:footnoteReference w:id="29"/>
      </w:r>
    </w:p>
    <w:p>
      <w:pPr>
        <w:pStyle w:val="Normal"/>
        <w:ind w:start="1344" w:end="0"/>
        <w:rPr/>
      </w:pPr>
      <w:r>
        <w:rPr/>
        <w:t>Any utility is susceptible of being made subject to the liquidation and scheme of arrangement procedures as an "unregistered company" under Section 220(1) of the IA. In addition, special insolvency regimes exist for water and railway utilities/entities under the Water Industry Act 1991 and the Railways Act 1993, respectively, which include a procedure under which a "special administrator" may be appointed in order to transfer the insolvent company's business to another company and so permit the uninterrupted provision of service. The DTI is currently putting forward similar regimes for the protection of gas and electricity utilities. We are, however, unaware of any other "special regimes" for other types of utility, but have carried out no specific research.</w:t>
      </w:r>
    </w:p>
    <w:p>
      <w:pPr>
        <w:pStyle w:val="Normal"/>
        <w:ind w:start="1344" w:end="0"/>
        <w:rPr/>
      </w:pPr>
      <w:r>
        <w:rPr/>
        <w:t>In the case of municipalities or government-owned entities, the issue as to whether these can be made subject to the above-mentioned procedures is extremely complex and depends upon such factors as the statute under which they were formed, their constitution and the level of control exercised by the government over them.</w:t>
      </w:r>
    </w:p>
    <w:p>
      <w:pPr>
        <w:pStyle w:val="Normal"/>
        <w:ind w:start="1344" w:end="0"/>
        <w:rPr/>
      </w:pPr>
      <w:r>
        <w:rPr/>
        <w:t xml:space="preserve">Where a municipality or government-owned entity is simply a company which is independent, in that it is not controlled by the government, it should be susceptible to the above-mentioned insolvency procedures. </w:t>
      </w:r>
    </w:p>
    <w:p>
      <w:pPr>
        <w:pStyle w:val="Normal"/>
        <w:ind w:start="1344" w:end="0"/>
        <w:rPr/>
      </w:pPr>
      <w:r>
        <w:rPr/>
        <w:t>Where, however, a municipality or government-owned entity is not a company but a public corporation formed by statute instead, such an entity may be susceptible of being made subject to the liquidation and scheme of arrangement procedures only as an "unregistered company" under Section 220(1) of the IA. However, whether this is possible in any specific case will depend upon the provisions of the statute under which it is formed as well as its constitution.</w:t>
      </w:r>
      <w:r>
        <w:rPr>
          <w:rStyle w:val="FootnoteCharacters"/>
        </w:rPr>
        <w:t xml:space="preserve"> </w:t>
      </w:r>
      <w:r>
        <w:rPr>
          <w:rStyle w:val="FootnoteCharacters"/>
          <w:rStyle w:val="FootnoteReference"/>
        </w:rPr>
        <w:footnoteReference w:id="30"/>
      </w:r>
    </w:p>
    <w:p>
      <w:pPr>
        <w:pStyle w:val="BodyText"/>
        <w:ind w:start="1344" w:end="0"/>
        <w:rPr/>
      </w:pPr>
      <w:r>
        <w:rPr/>
        <w:t>Further, and in either case, if such an entity is able to argue that it is a "servant of the Crown" due to the level of control exercised by the government, it may be able to claim immunity against the application of the procedures under the IA and CA.  However, from the limited case-law in this area, it seems that this is may be a difficult contention to make out even where the government can give directions of a "general nature".  In addition, if dealing with the Crown or a Crown servant, special set-off rules may apply.</w:t>
      </w:r>
    </w:p>
    <w:p>
      <w:pPr>
        <w:pStyle w:val="BodyText"/>
        <w:ind w:start="1344" w:end="0"/>
        <w:rPr>
          <w:b/>
        </w:rPr>
      </w:pPr>
      <w:r>
        <w:rPr/>
        <w:t>Therefore, prior to entering into a Transaction for the first time with any entity other than a company (as defined above), or with any company which is a Crown servant, we would recommend you obtain a legal opinion from its legal counsel as to enforceability of the Master Agreement or the GTCs, as the case may be.</w:t>
      </w:r>
    </w:p>
    <w:p>
      <w:pPr>
        <w:pStyle w:val="Heading3"/>
        <w:keepNext w:val="true"/>
        <w:ind w:hanging="0" w:start="0"/>
        <w:rPr/>
      </w:pPr>
      <w:r>
        <w:rPr/>
        <w:t>Assumptions</w:t>
      </w:r>
    </w:p>
    <w:p>
      <w:pPr>
        <w:pStyle w:val="Normal"/>
        <w:keepNext w:val="true"/>
        <w:ind w:start="1248" w:end="0"/>
        <w:rPr/>
      </w:pPr>
      <w:r>
        <w:rPr/>
        <w:t>Our responses to Section 1E only consider obligations under the Master Agreement/GTCs and Transactions which are legally binding and enforceable and which are mutual between the parties, in the sense that each is personally and solely liable as regards obligations owing by it and is sole beneficial owner of obligations owed to it and not in respect of a party is acting as agent for another person, or is a trustee, or in respect of which a party has a joint interest (including partnership)</w:t>
      </w:r>
      <w:r>
        <w:rPr>
          <w:b/>
        </w:rPr>
        <w:t xml:space="preserve"> </w:t>
      </w:r>
      <w:r>
        <w:rPr/>
        <w:t>or in respect of which a party's rights or obligations or any interest therein have been assigned, charged or transferred (whether in whole or in part) whether unilaterally, by agreement or by operation of law.</w:t>
      </w:r>
    </w:p>
    <w:p>
      <w:pPr>
        <w:pStyle w:val="Normal"/>
        <w:ind w:start="1248" w:end="0"/>
        <w:rPr/>
      </w:pPr>
      <w:r>
        <w:rPr/>
        <w:t>In addition, our responses are given only on the basis that the Non-Defaulting Party is not itself insolvent for the purposes of any insolvency law, is not subject to any Bankruptcy Proceedings and is given only in respect of those Transactions which are futures, options, contracts for differences, swaps, spot or forward contracts of any kind in relation to bandwidth trading.</w:t>
      </w:r>
    </w:p>
    <w:p>
      <w:pPr>
        <w:pStyle w:val="Normal"/>
        <w:ind w:start="1248" w:end="0"/>
        <w:rPr/>
      </w:pPr>
      <w:r>
        <w:rPr/>
        <w:t>You should be also aware that, in providing our response to Section 1E of the Survey Questionnaire, we have made the following assumptions:</w:t>
      </w:r>
    </w:p>
    <w:p>
      <w:pPr>
        <w:pStyle w:val="Heading3"/>
        <w:numPr>
          <w:ilvl w:val="0"/>
          <w:numId w:val="3"/>
        </w:numPr>
        <w:ind w:hanging="453" w:start="1701" w:end="0"/>
        <w:rPr>
          <w:b w:val="false"/>
          <w:i w:val="false"/>
          <w:i w:val="false"/>
        </w:rPr>
      </w:pPr>
      <w:r>
        <w:rPr>
          <w:b w:val="false"/>
          <w:i w:val="false"/>
        </w:rPr>
        <w:t xml:space="preserve">that each party will have the capacity, power and authority under all applicable law(s) and have taken all other requisite steps to enter into the Master Agreement/GTCs and to perform its obligations under the Master Agreement/GTCs and the Transactions; </w:t>
      </w:r>
    </w:p>
    <w:p>
      <w:pPr>
        <w:pStyle w:val="bullet"/>
        <w:numPr>
          <w:ilvl w:val="0"/>
          <w:numId w:val="25"/>
        </w:numPr>
        <w:tabs>
          <w:tab w:val="clear" w:pos="624"/>
        </w:tabs>
        <w:ind w:hanging="453" w:start="1701" w:end="0"/>
        <w:rPr/>
      </w:pPr>
      <w:r>
        <w:rPr/>
        <w:t>that the Master Agreement/GTCs will have been entered into prior to the formal commencement of any Bankruptcy Proceeding in respect of either party; and</w:t>
      </w:r>
    </w:p>
    <w:p>
      <w:pPr>
        <w:pStyle w:val="bullet"/>
        <w:numPr>
          <w:ilvl w:val="0"/>
          <w:numId w:val="25"/>
        </w:numPr>
        <w:tabs>
          <w:tab w:val="clear" w:pos="624"/>
        </w:tabs>
        <w:ind w:hanging="453" w:start="1701" w:end="0"/>
        <w:rPr/>
      </w:pPr>
      <w:r>
        <w:rPr/>
        <w:t>that the contractual arrangements and obligations established pursuant to and by the Master Agreement/GTCs and each Transaction are not capable of being avoided for any reason other than is mentioned in the Master Agreement/GTCs.</w:t>
      </w:r>
    </w:p>
    <w:p>
      <w:pPr>
        <w:pStyle w:val="Normal"/>
        <w:ind w:start="1248" w:end="0"/>
        <w:rPr/>
      </w:pPr>
      <w:r>
        <w:rPr/>
        <w:t>Please note that, in answering Section 1E, we have limited our review to the effectiveness of the termination, valuation and set-off provisions of the Master Agreement/GTCs.  We would also mention that there are various other assumptions and qualifications (which are usual in the context of giving an opinion on the effectiveness of netting) which we have relied upon but have not expressly set out here as they are likely to be of subsidiary importance.  We would be happy to provide a full netting opinion in respect of a particular Local Counterparty when the need arises.</w:t>
      </w:r>
    </w:p>
    <w:p>
      <w:pPr>
        <w:pStyle w:val="Heading3"/>
        <w:keepNext w:val="true"/>
        <w:ind w:hanging="0" w:start="0"/>
        <w:rPr/>
      </w:pPr>
      <w:r>
        <w:rPr/>
        <w:t>Survey responses</w:t>
      </w:r>
    </w:p>
    <w:p>
      <w:pPr>
        <w:pStyle w:val="BodyText"/>
        <w:keepNext w:val="true"/>
        <w:ind w:hanging="652" w:start="1276" w:end="0"/>
        <w:rPr/>
      </w:pPr>
      <w:r>
        <w:rPr/>
        <w:t>(a)</w:t>
      </w:r>
      <w:r>
        <w:rPr>
          <w:b/>
          <w:i/>
        </w:rPr>
        <w:tab/>
        <w:t>Assuming that no Bankruptcy Proceeding (as such term is defined in the Master Agreement/GTCs) or similar event occurred to a Local Counterparty, if English law were the governing law of a Transaction(s) with that Local Counterparty, would a court in England and Wales enforce the Early Termination provisions of Section 6 of the Master Agreement or GTCs (including, but not limited to, the set-off provisions thereof) against a Local Counterparty?</w:t>
      </w:r>
    </w:p>
    <w:p>
      <w:pPr>
        <w:pStyle w:val="Normal"/>
        <w:keepNext w:val="true"/>
        <w:ind w:start="1248" w:end="0"/>
        <w:rPr/>
      </w:pPr>
      <w:r>
        <w:rPr/>
        <w:t>On the assumption that an Event of Default (whether as a result of the commencement of an Bankruptcy Proceeding or not) has occurred in relation to a party, the Non-Defaulting Party would be entitled to exercise its rights under Section 6 and the terms of Section 6 providing for the termination and liquidation of obligations would be valid and effective under the English law irrespective of the governing law(s) of the Transactions to which those obligations relate.</w:t>
      </w:r>
    </w:p>
    <w:p>
      <w:pPr>
        <w:pStyle w:val="BodyText"/>
        <w:ind w:start="1248" w:end="0"/>
        <w:rPr/>
      </w:pPr>
      <w:r>
        <w:rPr/>
        <w:t>Crown set-off rules may apply to Crown servants before insolvency; although this should not affect "utilities", as they are unlikely to be Crown servants.</w:t>
      </w:r>
    </w:p>
    <w:p>
      <w:pPr>
        <w:pStyle w:val="BodyText"/>
        <w:ind w:start="1248" w:end="0"/>
        <w:rPr/>
      </w:pPr>
      <w:r>
        <w:rPr/>
        <w:t>Where the Local Counterparty is a utility, municipality or government owned entity after the commencement of Bankruptcy Proceedings, different rules may apply as the usual winding-up/insolvency regime for companies and unregistered companies may not apply to such entities.  Given the complexities outlined in Section 4.6.1 above, we would recommend you obtain a legal opinion from its legal counsel as to enforceability of the Master Agreement prior to entry into a Transaction.</w:t>
      </w:r>
    </w:p>
    <w:p>
      <w:pPr>
        <w:pStyle w:val="Normal"/>
        <w:ind w:start="1248" w:end="0"/>
        <w:rPr/>
      </w:pPr>
      <w:r>
        <w:rPr/>
        <w:t>Transactions entered into after Bankruptcy Proceedings have commenced in relation to a party might not be capable of inclusion in the termination and liquidation under Section 6 (see further our response to Section 1E(c)(iii) below), but this would not affect the effectiveness of Section 6 in respect of Transactions entered into before the commencement of such Bankruptcy Proceedings.</w:t>
      </w:r>
    </w:p>
    <w:p>
      <w:pPr>
        <w:pStyle w:val="BodyText"/>
        <w:ind w:hanging="652" w:start="1276" w:end="0"/>
        <w:rPr/>
      </w:pPr>
      <w:r>
        <w:rPr/>
        <w:t>(b)</w:t>
      </w:r>
      <w:r>
        <w:rPr>
          <w:b/>
          <w:i/>
        </w:rPr>
        <w:tab/>
        <w:t>Would a court in England and Wales, applying English law, enforce the said Early Termination and Early Termination Payment provisions of the Master Agreement and GTCs (including, but not limited to, the set-off provisions thereof) against a Local Counterparty after a Bankruptcy Proceeding has occurred to that Local Counterparty?  You may assume that ECI was not able to (or was able, but failed to) early terminate the Master Agreement or GTCs (and hence the underlying Transactions) before the Bankruptcy Proceeding.</w:t>
      </w:r>
    </w:p>
    <w:p>
      <w:pPr>
        <w:pStyle w:val="Normal"/>
        <w:ind w:start="1248" w:end="0"/>
        <w:rPr/>
      </w:pPr>
      <w:r>
        <w:rPr/>
        <w:t>Please see our response to Section 1E(a) above.</w:t>
      </w:r>
    </w:p>
    <w:p>
      <w:pPr>
        <w:pStyle w:val="BodyText"/>
        <w:ind w:hanging="652" w:start="1276" w:end="0"/>
        <w:rPr/>
      </w:pPr>
      <w:r>
        <w:rPr/>
        <w:t>(c)</w:t>
      </w:r>
      <w:r>
        <w:rPr>
          <w:b/>
          <w:i/>
        </w:rPr>
        <w:tab/>
        <w:t>On the assumption that the Local Counterparty entering into Transactions with ECI was either (i) incorporated in England and Wales but had a branch or other form of presence outside of England and Wales in another jurisdiction, or (ii) was incorporated outside of England and Wales but had a branch or other form of presence in England and Wales, and the Local Counterparty became subject to a Bankruptcy Proceeding, then, in either case (i) or (ii), and in the event that an insolvency official was appointed both to the Local Counterparty in England and Wales:</w:t>
      </w:r>
    </w:p>
    <w:p>
      <w:pPr>
        <w:pStyle w:val="BodyText"/>
        <w:ind w:hanging="603" w:start="1879" w:end="0"/>
        <w:rPr/>
      </w:pPr>
      <w:r>
        <w:rPr/>
        <w:t>(i)</w:t>
        <w:tab/>
      </w:r>
      <w:r>
        <w:rPr>
          <w:b/>
          <w:i/>
        </w:rPr>
        <w:t>Would your answers to any of Section 1E(b) above change in any manner?</w:t>
      </w:r>
    </w:p>
    <w:p>
      <w:pPr>
        <w:pStyle w:val="Normal"/>
        <w:ind w:start="1872" w:end="0"/>
        <w:rPr/>
      </w:pPr>
      <w:r>
        <w:rPr/>
        <w:t>In relation to a Local Counterparty incorporated in England and Wales with a branch or other form of presence in another jurisdiction, there are no differences to our answers in paragraphs (a)-(b) above, but other systems of law may be relevant as described in paragraph (c)(iii) below.</w:t>
      </w:r>
    </w:p>
    <w:p>
      <w:pPr>
        <w:pStyle w:val="Normal"/>
        <w:ind w:start="1872" w:end="0"/>
        <w:rPr/>
      </w:pPr>
      <w:r>
        <w:rPr/>
        <w:t>In relation to a Local Counterparty incorporated outside England and Wales but with a branch or other form of presence in England and Wales, our answers in paragraph (b) above would apply, but other systems of law may be relevant as described in paragraph (c)(iii) below.</w:t>
      </w:r>
    </w:p>
    <w:p>
      <w:pPr>
        <w:pStyle w:val="BodyText"/>
        <w:ind w:hanging="603" w:start="1879" w:end="0"/>
        <w:rPr/>
      </w:pPr>
      <w:r>
        <w:rPr/>
        <w:t>(ii)</w:t>
      </w:r>
      <w:r>
        <w:rPr>
          <w:b/>
          <w:i/>
        </w:rPr>
        <w:tab/>
        <w:t>Does England and Wales have any bankruptcy treaties with any other countries and what is the effect of such treaties?</w:t>
      </w:r>
    </w:p>
    <w:p>
      <w:pPr>
        <w:pStyle w:val="Normal"/>
        <w:ind w:start="1872" w:end="0"/>
        <w:rPr/>
      </w:pPr>
      <w:r>
        <w:rPr/>
        <w:t>There are no bankruptcy or insolvency treaties entered into by, and in force in, in England or Wales which would affect our responses to Section 1E; however, please see paragraph (c)(iii) below.</w:t>
      </w:r>
    </w:p>
    <w:p>
      <w:pPr>
        <w:pStyle w:val="BodyText"/>
        <w:keepNext w:val="true"/>
        <w:ind w:hanging="601" w:start="1877" w:end="0"/>
        <w:rPr/>
      </w:pPr>
      <w:r>
        <w:rPr/>
        <w:t>(iii)</w:t>
      </w:r>
      <w:r>
        <w:rPr>
          <w:b/>
          <w:i/>
        </w:rPr>
        <w:tab/>
        <w:t>Would the insolvency of the Local Counterparty in England and Wales proceed without deference to, or being impacted in any manner by, any insolvency proceedings in any jurisdiction outside of England and Wales where the Local Counterparty also had a presence?</w:t>
      </w:r>
    </w:p>
    <w:p>
      <w:pPr>
        <w:pStyle w:val="Normal"/>
        <w:ind w:start="1872" w:end="0"/>
        <w:rPr/>
      </w:pPr>
      <w:bookmarkStart w:id="22" w:name="_Ref467038388"/>
      <w:r>
        <w:rPr/>
        <w:t>We do not consider that the effectiveness under English Law of termination and liquidation of Transactions under Section 6 of the Master Agreement/GTCs would be jeopardised by insolvency proceedings in other jurisdictions, including those where netting may not be effective (e.g.  where an insolvency official in those jurisdictions may be entitled to "cherry-pick" obligations).  Furthermore:</w:t>
      </w:r>
      <w:bookmarkEnd w:id="22"/>
    </w:p>
    <w:p>
      <w:pPr>
        <w:pStyle w:val="bullet"/>
        <w:numPr>
          <w:ilvl w:val="0"/>
          <w:numId w:val="25"/>
        </w:numPr>
        <w:tabs>
          <w:tab w:val="clear" w:pos="624"/>
        </w:tabs>
        <w:ind w:hanging="396" w:start="2268" w:end="0"/>
        <w:rPr/>
      </w:pPr>
      <w:r>
        <w:rPr/>
        <w:t>Where the Defaulting Party is incorporated and registered in England or Wales and has branches or other presence in a number of other jurisdictions, there can be separate Bankruptcy Proceedings in England and Wales with respect to the Defaulting Party whether or not the relevant authorities in any other jurisdiction have initiated proceedings in respect of the Defaulting Party.</w:t>
      </w:r>
    </w:p>
    <w:p>
      <w:pPr>
        <w:pStyle w:val="bullet"/>
        <w:numPr>
          <w:ilvl w:val="0"/>
          <w:numId w:val="25"/>
        </w:numPr>
        <w:tabs>
          <w:tab w:val="clear" w:pos="624"/>
        </w:tabs>
        <w:ind w:hanging="396" w:start="2268" w:end="0"/>
        <w:rPr/>
      </w:pPr>
      <w:r>
        <w:rPr/>
        <w:t>Where the Defaulting Party is incorporated or formed under the laws of another jurisdiction and the Defaulting Party has a branch or other presence in England or Wales, there can be certain Bankruptcy Proceedings in this jurisdiction with respect to the Defaulting Party whether or not the relevant authorities in any other jurisdiction have initiated proceedings in respect of the Defaulting Party.</w:t>
      </w:r>
    </w:p>
    <w:p>
      <w:pPr>
        <w:pStyle w:val="Normal"/>
        <w:ind w:start="1872" w:end="0"/>
        <w:rPr/>
      </w:pPr>
      <w:r>
        <w:rPr/>
        <w:t>In addition:</w:t>
      </w:r>
    </w:p>
    <w:p>
      <w:pPr>
        <w:pStyle w:val="bullet"/>
        <w:numPr>
          <w:ilvl w:val="0"/>
          <w:numId w:val="25"/>
        </w:numPr>
        <w:tabs>
          <w:tab w:val="clear" w:pos="624"/>
        </w:tabs>
        <w:ind w:hanging="396" w:start="2268" w:end="0"/>
        <w:rPr/>
      </w:pPr>
      <w:r>
        <w:rPr/>
        <w:t>An English court may, in some circumstances, stay Bankruptcy Proceedings in this jurisdiction where it is of the opinion that proceedings in another forum would be more convenient or if concurrent proceedings are being brought elsewhere, but will often take into account whether or not this will prejudice creditors situated in this jurisdiction.</w:t>
      </w:r>
    </w:p>
    <w:p>
      <w:pPr>
        <w:pStyle w:val="bullet"/>
        <w:numPr>
          <w:ilvl w:val="0"/>
          <w:numId w:val="25"/>
        </w:numPr>
        <w:tabs>
          <w:tab w:val="clear" w:pos="624"/>
        </w:tabs>
        <w:ind w:hanging="396" w:start="2268" w:end="0"/>
        <w:rPr/>
      </w:pPr>
      <w:r>
        <w:rPr/>
        <w:t xml:space="preserve">The courts in England and Wales have various discretions to take account of and give assistance to concurrent insolvency proceedings commenced under the laws of another jurisdiction which may, for example, include dealing with only those assets located in this jurisdiction to assist those other insolvency proceedings or selectively applying provisions of foreign law in Bankruptcy Proceedings which are otherwise generally governed by English law.  In particular, under Section 426 of the IA, a court with insolvency law jurisdiction in England may apply the law of one of a list of specified jurisdictions to the insolvency of an entity (including a company incorporated and registered in England and Wales) if so requested by the competent court of that other jurisdiction. Those specified jurisdictions are currently other parts of the United Kingdom (except Scotland), the Channel Islands, the Isle of Man, Anguilla, Australia, the Bahamas, Bermuda, Botswana, Brunei, Canada, Cayman Islands, Falkland Islands, Gibraltar, Hong Kong, Ireland, Malaysia, Montserrat, New Zealand, South Africa, St Helena, Turks and Caicos Islands, Tuvalu and the Virgin Islands.  </w:t>
      </w:r>
    </w:p>
    <w:p>
      <w:pPr>
        <w:pStyle w:val="Heading3"/>
        <w:ind w:hanging="0" w:start="0"/>
        <w:rPr/>
      </w:pPr>
      <w:r>
        <w:rPr/>
        <w:t>Other relevant insolvency issues</w:t>
      </w:r>
    </w:p>
    <w:p>
      <w:pPr>
        <w:pStyle w:val="Normal"/>
        <w:ind w:start="1248" w:end="0"/>
        <w:rPr/>
      </w:pPr>
      <w:r>
        <w:rPr/>
        <w:t>In the winding-up of the Insolvent Party under the English law, the aggregation of amounts representing terminated obligations may be implemented under Rule 4.90 ("</w:t>
      </w:r>
      <w:r>
        <w:rPr>
          <w:b/>
        </w:rPr>
        <w:t>Rule 4.90</w:t>
      </w:r>
      <w:r>
        <w:rPr/>
        <w:t>") of the Insolvency Rules 1986 (the "</w:t>
      </w:r>
      <w:r>
        <w:rPr>
          <w:b/>
        </w:rPr>
        <w:t>Insolvency Rules</w:t>
      </w:r>
      <w:r>
        <w:rPr/>
        <w:t>") rather than under the specific provisions of the Master Agreement/GTCs. A Rule 4.90 set-off would, in our view, result in a net amount payable between the parties in respect of such amounts, subject to the other qualifications set out in this opinion.</w:t>
      </w:r>
    </w:p>
    <w:p>
      <w:pPr>
        <w:pStyle w:val="Normal"/>
        <w:ind w:start="1248" w:end="0"/>
        <w:rPr/>
      </w:pPr>
      <w:r>
        <w:rPr/>
        <w:t xml:space="preserve">In a winding-up by the English courts, any dispositions of the insolvent party's property made after the commencement of the compulsory winding-up of such party, are void under Section 127 of the IA unless the court otherwise orders.  We express no opinion as to whether or not any obligations arising after the commencement of the winding-up could validly be included in a termination and liquidation pursuant to Section 6 of the Master Agreement/GTCs or a set-off pursuant to Rule 4.90. </w:t>
      </w:r>
    </w:p>
    <w:p>
      <w:pPr>
        <w:pStyle w:val="Normal"/>
        <w:ind w:start="1248" w:end="0"/>
        <w:rPr/>
      </w:pPr>
      <w:r>
        <w:rPr/>
        <w:t>The provisions in the Insolvency Rules relating to the set-off of mutual credits and debts do not apply to sums which became due under Transactions which were entered into at a time when the solvent party had notice that a meeting of creditors of the Insolvent Party had been summoned under Section 98 of the IA (which requires a company which goes into creditors' voluntary winding-up to cause a meeting of creditors to be summoned for a day not later than the fourteenth day after the day on which there is to be held a shareholders' meeting at which the resolution for voluntary winding-up is to be proposed) or that a petition for the winding-up of the Insolvent Party was pending.</w:t>
      </w:r>
    </w:p>
    <w:p>
      <w:pPr>
        <w:pStyle w:val="Heading2"/>
        <w:ind w:hanging="0" w:start="0"/>
        <w:rPr/>
      </w:pPr>
      <w:bookmarkStart w:id="23" w:name="__RefHeading___Toc469131292"/>
      <w:bookmarkEnd w:id="23"/>
      <w:r>
        <w:rPr/>
        <w:t xml:space="preserve">Section 1F:  </w:t>
        <w:tab/>
        <w:t>Liquidated Damages Provisions</w:t>
      </w:r>
    </w:p>
    <w:p>
      <w:pPr>
        <w:pStyle w:val="BodyText"/>
        <w:rPr>
          <w:b/>
          <w:i/>
          <w:i/>
        </w:rPr>
      </w:pPr>
      <w:r>
        <w:rPr>
          <w:b/>
          <w:i/>
        </w:rPr>
        <w:t>If suit were brought in England and Wales by ECI to enforce the Liquidated Damages provisions of Section 3.5 of the Master Agreement/GTCs against the Local Counterparty, and the court in England and Wales applied the laws of England and Wales (either because the court did not enforce the choice of foreign law or because the parties elected for the laws of England and Wales to govern the Transactions) would those Liquidated Damages provisions be enforceable in all respects against the Local Counterparty?  Or would the court in England and Wales view such provisions as being unenforceable for being, for example, a penalty?</w:t>
      </w:r>
    </w:p>
    <w:p>
      <w:pPr>
        <w:pStyle w:val="BodyText2"/>
        <w:ind w:start="624" w:end="0"/>
        <w:rPr/>
      </w:pPr>
      <w:r>
        <w:rPr/>
        <w:t>It is difficult to advise whether the Liquidated Damages provisions of Section 3.5 of the Master Agreement/GTCs would be enforceable or instead be regarded by a court as an invalid penalty clause, because there are a number of factors which a court would take into account and of which we do not have details.  We have set forth below the general principles relating to the treatment of liquidated damages clauses.</w:t>
      </w:r>
    </w:p>
    <w:p>
      <w:pPr>
        <w:pStyle w:val="BodyText2"/>
        <w:ind w:start="624" w:end="0"/>
        <w:rPr/>
      </w:pPr>
      <w:r>
        <w:rPr/>
        <w:t>It has been long settled that a sum stipulated to be paid by way of damages in the event of breach of contract is classed as "liquidated damages" where the amount constitutes a genuine pre-estimate of the damage which would probably arise from breach of contract.</w:t>
      </w:r>
    </w:p>
    <w:p>
      <w:pPr>
        <w:pStyle w:val="BodyText2"/>
        <w:ind w:start="624" w:end="0"/>
        <w:rPr/>
      </w:pPr>
      <w:r>
        <w:rPr/>
        <w:t xml:space="preserve">In contrast, the stipulated sum would be classed as a penalty where it is in the nature of a threat </w:t>
      </w:r>
      <w:r>
        <w:rPr>
          <w:i/>
        </w:rPr>
        <w:t>in terrorem</w:t>
      </w:r>
      <w:r>
        <w:rPr/>
        <w:t xml:space="preserve"> ("for the purpose of intimidation") of the other party.  For example, a clause might be construed as a penalty where its objective is to prevent a breach of the contract by giving incentives for its performance, or imposing disincentives for non-performance.</w:t>
      </w:r>
    </w:p>
    <w:p>
      <w:pPr>
        <w:pStyle w:val="BodyText2"/>
        <w:ind w:start="624" w:end="0"/>
        <w:rPr/>
      </w:pPr>
      <w:r>
        <w:rPr/>
        <w:t>Under the Master Agreement and the GTCs, the onus of proving that a stipulated sum is a penalty rather than liquidated damages would be upon the Seller.</w:t>
      </w:r>
    </w:p>
    <w:p>
      <w:pPr>
        <w:pStyle w:val="BodyText2"/>
        <w:ind w:start="624" w:end="0"/>
        <w:rPr/>
      </w:pPr>
      <w:r>
        <w:rPr/>
        <w:t xml:space="preserve">The principles in distinguishing a valid liquidated damages clause from an invalid penalty clause were laid down by Lord Dunedin in </w:t>
      </w:r>
      <w:r>
        <w:rPr>
          <w:i/>
        </w:rPr>
        <w:t>Dunlop Pneumatic Tyre Company -v- New Garage and Motor Company</w:t>
      </w:r>
      <w:r>
        <w:rPr/>
        <w:t xml:space="preserve"> [1915] AC 79.  Lord Dunedin's propositions can be summarised as follows:</w:t>
      </w:r>
    </w:p>
    <w:p>
      <w:pPr>
        <w:pStyle w:val="bullet"/>
        <w:numPr>
          <w:ilvl w:val="0"/>
          <w:numId w:val="25"/>
        </w:numPr>
        <w:tabs>
          <w:tab w:val="clear" w:pos="624"/>
          <w:tab w:val="left" w:pos="1344" w:leader="none"/>
        </w:tabs>
        <w:ind w:hanging="720" w:start="1344" w:end="0"/>
        <w:rPr/>
      </w:pPr>
      <w:r>
        <w:rPr/>
        <w:t xml:space="preserve">The words used by the parties to describe the clause are not conclusive. However, the use of "liquidated damages" in framing the clause may compel the court to view it more as liquidated damages rather than a penalty. </w:t>
      </w:r>
    </w:p>
    <w:p>
      <w:pPr>
        <w:pStyle w:val="bullet"/>
        <w:numPr>
          <w:ilvl w:val="0"/>
          <w:numId w:val="25"/>
        </w:numPr>
        <w:tabs>
          <w:tab w:val="clear" w:pos="624"/>
          <w:tab w:val="left" w:pos="1344" w:leader="none"/>
        </w:tabs>
        <w:ind w:hanging="720" w:start="1344" w:end="0"/>
        <w:rPr/>
      </w:pPr>
      <w:r>
        <w:rPr/>
        <w:t>The test for liquidated damages is whether the sum is a genuine pre-estimate of damage (i.e. a fair and reasonable estimate of the likely loss which would be suffered on the occurrence of a specified breach or event).  This is a question of construction to be decided upon the terms and circumstances in each particular contract, judged at the time of the making of the contract, not as at the time of the breach.</w:t>
      </w:r>
    </w:p>
    <w:p>
      <w:pPr>
        <w:pStyle w:val="bullet"/>
        <w:numPr>
          <w:ilvl w:val="0"/>
          <w:numId w:val="25"/>
        </w:numPr>
        <w:tabs>
          <w:tab w:val="clear" w:pos="624"/>
          <w:tab w:val="left" w:pos="1344" w:leader="none"/>
        </w:tabs>
        <w:ind w:hanging="720" w:start="1344" w:end="0"/>
        <w:rPr/>
      </w:pPr>
      <w:r>
        <w:rPr/>
        <w:t>The sum will be held to be a penalty if it is "extravagant and unconscionable" in amount in comparison with the greatest loss which could conceivably have flowed from the breach.</w:t>
      </w:r>
    </w:p>
    <w:p>
      <w:pPr>
        <w:pStyle w:val="bullet"/>
        <w:numPr>
          <w:ilvl w:val="0"/>
          <w:numId w:val="25"/>
        </w:numPr>
        <w:tabs>
          <w:tab w:val="clear" w:pos="624"/>
          <w:tab w:val="left" w:pos="1344" w:leader="none"/>
        </w:tabs>
        <w:ind w:hanging="720" w:start="1344" w:end="0"/>
        <w:rPr/>
      </w:pPr>
      <w:r>
        <w:rPr/>
        <w:t xml:space="preserve">Where the loss accruing to the plaintiff from the breach in question can, at a time when the contract was made, be accurately or even reasonably calculated in money, the fixing of a larger sum will </w:t>
      </w:r>
      <w:r>
        <w:rPr>
          <w:i/>
        </w:rPr>
        <w:t>prima facie</w:t>
      </w:r>
      <w:r>
        <w:rPr/>
        <w:t xml:space="preserve"> be treated as a penalty.</w:t>
      </w:r>
    </w:p>
    <w:p>
      <w:pPr>
        <w:pStyle w:val="bullet"/>
        <w:numPr>
          <w:ilvl w:val="0"/>
          <w:numId w:val="25"/>
        </w:numPr>
        <w:tabs>
          <w:tab w:val="clear" w:pos="624"/>
          <w:tab w:val="left" w:pos="1344" w:leader="none"/>
        </w:tabs>
        <w:ind w:hanging="720" w:start="1344" w:end="0"/>
        <w:rPr/>
      </w:pPr>
      <w:r>
        <w:rPr/>
        <w:t xml:space="preserve">There is a presumption that it is a penalty when a single sum is payable on the occurrence of several events, some of which may occasion serious and others trivial damages. </w:t>
      </w:r>
    </w:p>
    <w:p>
      <w:pPr>
        <w:pStyle w:val="bullet"/>
        <w:numPr>
          <w:ilvl w:val="0"/>
          <w:numId w:val="25"/>
        </w:numPr>
        <w:tabs>
          <w:tab w:val="clear" w:pos="624"/>
          <w:tab w:val="left" w:pos="1344" w:leader="none"/>
        </w:tabs>
        <w:ind w:hanging="720" w:start="1344" w:end="0"/>
        <w:rPr/>
      </w:pPr>
      <w:r>
        <w:rPr/>
        <w:t xml:space="preserve">If the loss accruing to the plaintiff from the breach in question cannot at the time the contract was made be accurately or even reasonably calculated in money, it becomes far less easy to class the sum to be paid on breach as extravagant and unconscionable and in those circumstances it is likely that the stipulated sum will be held to be liquidated damages. </w:t>
      </w:r>
    </w:p>
    <w:p>
      <w:pPr>
        <w:pStyle w:val="Normal"/>
        <w:ind w:start="624" w:end="0"/>
        <w:rPr/>
      </w:pPr>
      <w:r>
        <w:rPr/>
        <w:t>We do not have sufficient details of the proposed arrangement and the potential losses which will flow from the specified breaches to give a view on the application of these tests to the liquidated damages mechanism in the Master Agreement and GTCs.  To reduce the risk of the liquidated damages provision being challenged, ECI will need to consider whether they can justify it as a genuine pre-estimate of the loss that will be suffered.</w:t>
      </w:r>
    </w:p>
    <w:p>
      <w:pPr>
        <w:pStyle w:val="Normal"/>
        <w:ind w:start="624" w:end="0"/>
        <w:rPr/>
      </w:pPr>
      <w:r>
        <w:rPr/>
        <w:t>Having said that, the accompanying documentation (the "Market Starter Kit") suggests that the liquidated damages clause is intended to be a strong disincentive for Sellers to breach their contractual obligations.  For example, the documentation states "performance is not guaranteed by a third party, although liquidated damages clauses make it unlikely that counterparties will not fulfil their obligations" and "[the] liquidated damages are unambiguous and significant" (page 3).  These phrases are indicative of penalties rather than liquidated damages and should be avoided.</w:t>
      </w:r>
    </w:p>
    <w:p>
      <w:pPr>
        <w:pStyle w:val="Normal"/>
        <w:ind w:start="624" w:end="0"/>
        <w:rPr/>
      </w:pPr>
      <w:r>
        <w:rPr/>
        <w:t>It should also be borne in mind that, as each trade constitutes a separate contract, such pre-estimate will be deemed to be made at the time of each trade between Buyer and Seller rather than the entering into of the Master Agreement.</w:t>
      </w:r>
    </w:p>
    <w:p>
      <w:pPr>
        <w:pStyle w:val="Heading2"/>
        <w:keepNext w:val="true"/>
        <w:ind w:hanging="0" w:start="0"/>
        <w:rPr/>
      </w:pPr>
      <w:bookmarkStart w:id="24" w:name="__RefHeading___Toc469131293"/>
      <w:bookmarkEnd w:id="24"/>
      <w:r>
        <w:rPr/>
        <w:t xml:space="preserve">Section 1G:  </w:t>
        <w:tab/>
        <w:t>Taxation</w:t>
      </w:r>
    </w:p>
    <w:p>
      <w:pPr>
        <w:pStyle w:val="Normal"/>
        <w:ind w:start="624" w:end="0"/>
        <w:rPr/>
      </w:pPr>
      <w:r>
        <w:rPr/>
        <w:t>You have instructed us not to review or advise on any aspects of the Survey Questionnaire concerning taxation.  We have therefore omitted this section in our Report accordingly.</w:t>
      </w:r>
    </w:p>
    <w:p>
      <w:pPr>
        <w:pStyle w:val="Heading2"/>
        <w:keepNext w:val="true"/>
        <w:ind w:hanging="0" w:start="0"/>
        <w:rPr/>
      </w:pPr>
      <w:bookmarkStart w:id="25" w:name="__RefHeading___Toc469131294"/>
      <w:bookmarkEnd w:id="25"/>
      <w:r>
        <w:rPr/>
        <w:t>Section 1H:</w:t>
        <w:tab/>
        <w:t>Miscellaneous</w:t>
      </w:r>
    </w:p>
    <w:p>
      <w:pPr>
        <w:pStyle w:val="BodyText"/>
        <w:keepNext w:val="true"/>
        <w:ind w:hanging="615" w:start="1239" w:end="0"/>
        <w:rPr/>
      </w:pPr>
      <w:r>
        <w:rPr>
          <w:b/>
        </w:rPr>
        <w:t>(</w:t>
      </w:r>
      <w:r>
        <w:rPr/>
        <w:t>a</w:t>
      </w:r>
      <w:r>
        <w:rPr>
          <w:b/>
        </w:rPr>
        <w:t>)</w:t>
      </w:r>
      <w:r>
        <w:rPr>
          <w:b/>
          <w:i/>
        </w:rPr>
        <w:tab/>
        <w:t>Are there any restrictions under local law in England and Wales that would apply to ECI's marketing or solicitation efforts with respect to these Transactions?  If so, briefly describe.</w:t>
      </w:r>
    </w:p>
    <w:p>
      <w:pPr>
        <w:pStyle w:val="BodyText"/>
        <w:keepNext w:val="true"/>
        <w:ind w:start="1239" w:end="0"/>
        <w:rPr/>
      </w:pPr>
      <w:r>
        <w:rPr/>
        <w:t>The marketing of individual Transactions under the Proposal, insofar as they relate to the normal commercial conduct of Buyers and Sellers of Bandwidth acting in the course of their business, would not be subject to any specific measures regulating the form and content of such marketing.  This is subject to the following provisos:</w:t>
      </w:r>
    </w:p>
    <w:p>
      <w:pPr>
        <w:pStyle w:val="ListBullet"/>
        <w:numPr>
          <w:ilvl w:val="0"/>
          <w:numId w:val="20"/>
        </w:numPr>
        <w:rPr/>
      </w:pPr>
      <w:r>
        <w:rPr/>
        <w:t>that there is no element of misrepresentation in the marketing or solicitation that might give rise to a contractual remedy against the party making such misrepresentations;</w:t>
      </w:r>
    </w:p>
    <w:p>
      <w:pPr>
        <w:pStyle w:val="ListBullet"/>
        <w:numPr>
          <w:ilvl w:val="0"/>
          <w:numId w:val="20"/>
        </w:numPr>
        <w:rPr/>
      </w:pPr>
      <w:r>
        <w:rPr/>
        <w:t>that such marketing would not take the form of a promotion campaign, including elements such as the offering of prizes or the use of testimonials; and</w:t>
      </w:r>
    </w:p>
    <w:p>
      <w:pPr>
        <w:pStyle w:val="ListBullet"/>
        <w:numPr>
          <w:ilvl w:val="0"/>
          <w:numId w:val="20"/>
        </w:numPr>
        <w:rPr/>
      </w:pPr>
      <w:r>
        <w:rPr/>
        <w:t>that the marketing of the Transactions is not directed at the public at large of individuals acting outside the course of a business.</w:t>
      </w:r>
    </w:p>
    <w:p>
      <w:pPr>
        <w:pStyle w:val="ListBullet"/>
        <w:numPr>
          <w:ilvl w:val="0"/>
          <w:numId w:val="0"/>
        </w:numPr>
        <w:ind w:hanging="0" w:start="1248" w:end="0"/>
        <w:rPr/>
      </w:pPr>
      <w:r>
        <w:rPr/>
        <w:t>However, if advertising material is produced for distribution in the UK (which would include brochures or circulars as well as advertisements placed in the media), such material must comply with the British Codes of Advertising and Sales Promotion.</w:t>
      </w:r>
    </w:p>
    <w:p>
      <w:pPr>
        <w:pStyle w:val="ListBullet"/>
        <w:numPr>
          <w:ilvl w:val="0"/>
          <w:numId w:val="0"/>
        </w:numPr>
        <w:ind w:hanging="0" w:start="1248" w:end="0"/>
        <w:rPr/>
      </w:pPr>
      <w:r>
        <w:rPr/>
        <w:t>The relevant sections of the Codes are attached as Annex 3.  These do not have the force of law, but the Advertising Standards Authority may request that a certain advertisement be discontinued.  Failure to comply with such direction may lead to the Office of Fair Trading bringing an action for contempt.</w:t>
      </w:r>
    </w:p>
    <w:p>
      <w:pPr>
        <w:pStyle w:val="ListBullet"/>
        <w:numPr>
          <w:ilvl w:val="0"/>
          <w:numId w:val="0"/>
        </w:numPr>
        <w:ind w:hanging="0" w:start="1248" w:end="0"/>
        <w:rPr/>
      </w:pPr>
      <w:r>
        <w:rPr/>
        <w:t>Marketing and solicitation rules under the Financial Services Act 1986 covering investment advertisements may also apply. We have not dealt with these here in accordance with your instructions.</w:t>
      </w:r>
    </w:p>
    <w:p>
      <w:pPr>
        <w:pStyle w:val="BodyText"/>
        <w:ind w:hanging="615" w:start="1239" w:end="0"/>
        <w:rPr/>
      </w:pPr>
      <w:r>
        <w:rPr>
          <w:b/>
        </w:rPr>
        <w:t>(</w:t>
      </w:r>
      <w:r>
        <w:rPr/>
        <w:t>b</w:t>
      </w:r>
      <w:r>
        <w:rPr>
          <w:b/>
        </w:rPr>
        <w:t>)</w:t>
      </w:r>
      <w:r>
        <w:rPr>
          <w:b/>
          <w:i/>
        </w:rPr>
        <w:tab/>
        <w:t>Would any consumer protection laws apply to the Transactions even though ECI will not be dealing with private individuals in England and Wales?</w:t>
      </w:r>
    </w:p>
    <w:p>
      <w:pPr>
        <w:pStyle w:val="BodyText"/>
        <w:ind w:start="1239" w:end="0"/>
        <w:rPr/>
      </w:pPr>
      <w:r>
        <w:rPr/>
        <w:t>The definition of consumer for the purposes of the Consumer Protection Act excludes those receiving services as part of their business. Provided therefore that ECI's marketing and solicitation activities are only directed at entities, other than private individuals which are acting in the course of their business, then they should not be caught by consumer protection legislation in England and Wales.</w:t>
      </w:r>
    </w:p>
    <w:p>
      <w:pPr>
        <w:pStyle w:val="BodyText"/>
        <w:ind w:start="1239" w:end="0"/>
        <w:rPr/>
      </w:pPr>
      <w:r>
        <w:rPr/>
        <w:t>In addition, we note that financial services regulations include rules relevant for counterparty protection purposes, which you have asked us not to examine.  However, we would be happy to provide further information on such rules if you so require.</w:t>
      </w:r>
    </w:p>
    <w:p>
      <w:pPr>
        <w:pStyle w:val="BodyText"/>
        <w:keepNext w:val="true"/>
        <w:ind w:hanging="612" w:start="1236" w:end="0"/>
        <w:rPr/>
      </w:pPr>
      <w:r>
        <w:rPr>
          <w:b/>
        </w:rPr>
        <w:t>(</w:t>
      </w:r>
      <w:r>
        <w:rPr/>
        <w:t>c</w:t>
      </w:r>
      <w:r>
        <w:rPr>
          <w:b/>
        </w:rPr>
        <w:t>)</w:t>
      </w:r>
      <w:r>
        <w:rPr>
          <w:b/>
          <w:i/>
        </w:rPr>
        <w:tab/>
        <w:t>Are there any other legal or regulatory issues under laws or regulations in England and Wales relating to the Transactions and/or the Master Agreement and/or the GTCs of which ECI should be made aware?</w:t>
      </w:r>
    </w:p>
    <w:p>
      <w:pPr>
        <w:pStyle w:val="Normal"/>
        <w:ind w:start="1236" w:end="0"/>
        <w:rPr/>
      </w:pPr>
      <w:r>
        <w:rPr/>
        <w:t>A key area where legal and regulatory issues may arise in respect of the Transactions, the Master Agreement and/or the GTCs is competition law.  The following comments should only be considered as guidelines since any actual advice must be based on actual figures or economic effect of the Proposal, which in turn would depend on the interest expressed by other market players in becoming members of the BTO.</w:t>
      </w:r>
    </w:p>
    <w:p>
      <w:pPr>
        <w:pStyle w:val="BodyText"/>
        <w:keepNext w:val="true"/>
        <w:ind w:start="1242" w:end="0"/>
        <w:rPr>
          <w:b/>
          <w:i/>
          <w:i/>
        </w:rPr>
      </w:pPr>
      <w:r>
        <w:rPr>
          <w:b/>
          <w:i/>
        </w:rPr>
        <w:t>Competition Law Regimes</w:t>
      </w:r>
    </w:p>
    <w:p>
      <w:pPr>
        <w:pStyle w:val="BodyText"/>
        <w:ind w:start="1239" w:end="0"/>
        <w:rPr/>
      </w:pPr>
      <w:r>
        <w:rPr/>
        <w:t>Competition policy in the telecommunications sector is regulated by three complementary regulatory bodies, each with its distinct rules and policy guidelines.  Each is described in more detail below.</w:t>
      </w:r>
    </w:p>
    <w:p>
      <w:pPr>
        <w:pStyle w:val="BodyText"/>
        <w:numPr>
          <w:ilvl w:val="0"/>
          <w:numId w:val="24"/>
        </w:numPr>
        <w:tabs>
          <w:tab w:val="clear" w:pos="624"/>
          <w:tab w:val="left" w:pos="975" w:leader="none"/>
        </w:tabs>
        <w:ind w:hanging="360" w:start="1599" w:end="0"/>
        <w:rPr/>
      </w:pPr>
      <w:r>
        <w:rPr>
          <w:b/>
        </w:rPr>
        <w:t>European competition law</w:t>
      </w:r>
      <w:r>
        <w:rPr/>
        <w:t>: This is contained in Articles 81 and 82 of the Treaty of Rome which, broadly speaking, prohibit anti-competitive concerted practices</w:t>
      </w:r>
      <w:r>
        <w:rPr>
          <w:rStyle w:val="FootnoteCharacters"/>
          <w:rStyle w:val="FootnoteReference"/>
        </w:rPr>
        <w:footnoteReference w:id="31"/>
      </w:r>
      <w:r>
        <w:rPr/>
        <w:t xml:space="preserve"> and abuse of dominant position</w:t>
      </w:r>
      <w:r>
        <w:rPr>
          <w:rStyle w:val="FootnoteCharacters"/>
          <w:rStyle w:val="FootnoteReference"/>
        </w:rPr>
        <w:footnoteReference w:id="32"/>
      </w:r>
      <w:r>
        <w:rPr/>
        <w:t xml:space="preserve"> respectively. Policy is enforced by the European Commission and the national courts.  A matter will fall to be investigated by the Commission rather than the UK authorities if it has an effect on trade between Member States. </w:t>
      </w:r>
    </w:p>
    <w:p>
      <w:pPr>
        <w:pStyle w:val="BodyText"/>
        <w:numPr>
          <w:ilvl w:val="0"/>
          <w:numId w:val="24"/>
        </w:numPr>
        <w:tabs>
          <w:tab w:val="clear" w:pos="624"/>
          <w:tab w:val="left" w:pos="975" w:leader="none"/>
        </w:tabs>
        <w:ind w:hanging="360" w:start="1599" w:end="0"/>
        <w:rPr/>
      </w:pPr>
      <w:r>
        <w:rPr>
          <w:b/>
        </w:rPr>
        <w:t>UK competition law</w:t>
      </w:r>
      <w:r>
        <w:rPr/>
        <w:t xml:space="preserve">: The new Competition Act 1998 (which does not come fully into force until 1 March 2000) is closely modelled on the EC regime and applies to agreements or conduct which may affect trade within the United Kingdom.  Investigations are undertaken by the Director General of the Office of Fair Trading. </w:t>
      </w:r>
    </w:p>
    <w:p>
      <w:pPr>
        <w:pStyle w:val="BodyText"/>
        <w:numPr>
          <w:ilvl w:val="0"/>
          <w:numId w:val="24"/>
        </w:numPr>
        <w:tabs>
          <w:tab w:val="clear" w:pos="624"/>
          <w:tab w:val="left" w:pos="975" w:leader="none"/>
        </w:tabs>
        <w:ind w:hanging="360" w:start="1599" w:end="0"/>
        <w:rPr/>
      </w:pPr>
      <w:r>
        <w:rPr>
          <w:b/>
        </w:rPr>
        <w:t>Regulation of the telecommunications sector</w:t>
      </w:r>
      <w:r>
        <w:rPr/>
        <w:t xml:space="preserve">:  Within the telecommunications sector, the DGT (the head of OFTEL, the telecommunications regulatory authority), has concurrent powers with the Director General of the Office of Fair Trading. </w:t>
      </w:r>
    </w:p>
    <w:p>
      <w:pPr>
        <w:pStyle w:val="BodyText"/>
        <w:ind w:start="1599" w:end="0"/>
        <w:rPr/>
      </w:pPr>
      <w:r>
        <w:rPr/>
        <w:t xml:space="preserve">The competence of the telecommunications regulator extends not only to those guidelines on anti-competitive behaviour that are specific to the telecommunications sector, but also to the application of general competition policy within that sector. In the latter case, this will only be done in consultation with the Office of Fair Trading. </w:t>
        <w:tab/>
      </w:r>
    </w:p>
    <w:p>
      <w:pPr>
        <w:pStyle w:val="BodyText"/>
        <w:ind w:start="1599" w:end="0"/>
        <w:rPr/>
      </w:pPr>
      <w:r>
        <w:rPr/>
        <w:t>OFTEL has responsibility for competition issues within the telecommunications sector. This sector is regulated mainly by the inclusion of specific terms and conditions in the licences granted to telecoms operators. Such terms and conditions are in addition rather than in the alternative to general competition rules - in many licences granted by OFTEL a fair trading condition modelled on the above prohibitions has been expressly incorporated.  Such specific conditions vary according to the particular circumstances of the operator or market.</w:t>
      </w:r>
    </w:p>
    <w:p>
      <w:pPr>
        <w:pStyle w:val="BodyText"/>
        <w:ind w:start="1599" w:end="0"/>
        <w:rPr/>
      </w:pPr>
      <w:r>
        <w:rPr/>
        <w:t>In addition, OFTEL has issued guidelines on the application of the Competition Act in the light of some of the more specific characteristics of the telecommunications industry.  Areas that OFTEL has highlighted as being of key concern are as follows:</w:t>
      </w:r>
    </w:p>
    <w:p>
      <w:pPr>
        <w:pStyle w:val="squarebullet"/>
        <w:numPr>
          <w:ilvl w:val="0"/>
          <w:numId w:val="17"/>
        </w:numPr>
        <w:tabs>
          <w:tab w:val="clear" w:pos="624"/>
          <w:tab w:val="left" w:pos="1959" w:leader="none"/>
        </w:tabs>
        <w:ind w:hanging="360" w:start="1959" w:end="0"/>
        <w:rPr/>
      </w:pPr>
      <w:r>
        <w:rPr/>
        <w:t>Pricing - in particular which cost concepts are relevant</w:t>
      </w:r>
    </w:p>
    <w:p>
      <w:pPr>
        <w:pStyle w:val="squarebullet"/>
        <w:numPr>
          <w:ilvl w:val="0"/>
          <w:numId w:val="17"/>
        </w:numPr>
        <w:tabs>
          <w:tab w:val="clear" w:pos="624"/>
          <w:tab w:val="left" w:pos="1959" w:leader="none"/>
        </w:tabs>
        <w:ind w:hanging="360" w:start="1959" w:end="0"/>
        <w:rPr/>
      </w:pPr>
      <w:r>
        <w:rPr/>
        <w:t>Cross-subsidies</w:t>
      </w:r>
    </w:p>
    <w:p>
      <w:pPr>
        <w:pStyle w:val="squarebullet"/>
        <w:numPr>
          <w:ilvl w:val="0"/>
          <w:numId w:val="17"/>
        </w:numPr>
        <w:tabs>
          <w:tab w:val="clear" w:pos="624"/>
          <w:tab w:val="left" w:pos="1959" w:leader="none"/>
        </w:tabs>
        <w:ind w:hanging="360" w:start="1959" w:end="0"/>
        <w:rPr/>
      </w:pPr>
      <w:r>
        <w:rPr/>
        <w:t>Refusal to grant access to facilities</w:t>
      </w:r>
    </w:p>
    <w:p>
      <w:pPr>
        <w:pStyle w:val="squarebullet"/>
        <w:numPr>
          <w:ilvl w:val="0"/>
          <w:numId w:val="17"/>
        </w:numPr>
        <w:tabs>
          <w:tab w:val="clear" w:pos="624"/>
          <w:tab w:val="left" w:pos="1959" w:leader="none"/>
        </w:tabs>
        <w:ind w:hanging="360" w:start="1959" w:end="0"/>
        <w:rPr/>
      </w:pPr>
      <w:r>
        <w:rPr/>
        <w:t>Refusal to supply network capability, scarce physical resources or information</w:t>
      </w:r>
    </w:p>
    <w:p>
      <w:pPr>
        <w:pStyle w:val="squarebullet"/>
        <w:numPr>
          <w:ilvl w:val="0"/>
          <w:numId w:val="17"/>
        </w:numPr>
        <w:tabs>
          <w:tab w:val="clear" w:pos="624"/>
          <w:tab w:val="left" w:pos="1959" w:leader="none"/>
        </w:tabs>
        <w:ind w:hanging="360" w:start="1959" w:end="0"/>
        <w:rPr/>
      </w:pPr>
      <w:r>
        <w:rPr/>
        <w:t xml:space="preserve">Wiring </w:t>
      </w:r>
    </w:p>
    <w:p>
      <w:pPr>
        <w:pStyle w:val="squarebullet"/>
        <w:numPr>
          <w:ilvl w:val="0"/>
          <w:numId w:val="17"/>
        </w:numPr>
        <w:tabs>
          <w:tab w:val="clear" w:pos="624"/>
          <w:tab w:val="left" w:pos="1959" w:leader="none"/>
        </w:tabs>
        <w:ind w:hanging="360" w:start="1959" w:end="0"/>
        <w:rPr/>
      </w:pPr>
      <w:r>
        <w:rPr/>
        <w:t>Bundling of competitive and non-competitive services</w:t>
      </w:r>
    </w:p>
    <w:p>
      <w:pPr>
        <w:pStyle w:val="squarebullet"/>
        <w:numPr>
          <w:ilvl w:val="0"/>
          <w:numId w:val="17"/>
        </w:numPr>
        <w:tabs>
          <w:tab w:val="clear" w:pos="624"/>
          <w:tab w:val="left" w:pos="1959" w:leader="none"/>
        </w:tabs>
        <w:ind w:hanging="360" w:start="1959" w:end="0"/>
        <w:rPr/>
      </w:pPr>
      <w:r>
        <w:rPr/>
        <w:t>Interconnection agreements</w:t>
      </w:r>
    </w:p>
    <w:p>
      <w:pPr>
        <w:pStyle w:val="Normal"/>
        <w:ind w:start="1236" w:end="0"/>
        <w:rPr>
          <w:b/>
          <w:i/>
          <w:i/>
        </w:rPr>
      </w:pPr>
      <w:r>
        <w:rPr>
          <w:b/>
          <w:i/>
        </w:rPr>
        <w:t>Merger Control</w:t>
      </w:r>
    </w:p>
    <w:p>
      <w:pPr>
        <w:pStyle w:val="Normal"/>
        <w:ind w:start="1236" w:end="0"/>
        <w:rPr/>
      </w:pPr>
      <w:r>
        <w:rPr/>
        <w:t>The proposal that a number of buyers or sellers of bandwidth join together to form the BTO may raise merger issues under European Merger Control Regulation as it amounts to "the creation of a joint venture performing on a lasting basis all the functions of an autonomous economic entity".</w:t>
      </w:r>
    </w:p>
    <w:p>
      <w:pPr>
        <w:pStyle w:val="Normal"/>
        <w:ind w:start="1236" w:end="0"/>
        <w:rPr/>
      </w:pPr>
      <w:r>
        <w:rPr/>
        <w:t>If the worldwide turnover of the parties involved in the BTO exceeds EUR 5 billion and at least two of the parties have a European turnover in excess of EUR 250 million, then it will be necessary to notify the Merger Task Force.  In such circumstances, there is a preliminary investigation period of one month and, if necessary a further period of four months, at the end of which the proposal would be either cleared, disallowed or cleared subject to the provision of certain undertakings.</w:t>
      </w:r>
    </w:p>
    <w:p>
      <w:pPr>
        <w:pStyle w:val="Normal"/>
        <w:keepNext w:val="true"/>
        <w:ind w:start="1236" w:end="0"/>
        <w:rPr>
          <w:b/>
          <w:i/>
          <w:i/>
        </w:rPr>
      </w:pPr>
      <w:r>
        <w:rPr>
          <w:b/>
          <w:i/>
        </w:rPr>
        <w:t>Concerted Practice</w:t>
      </w:r>
    </w:p>
    <w:p>
      <w:pPr>
        <w:pStyle w:val="Normal"/>
        <w:keepNext w:val="true"/>
        <w:ind w:start="1236" w:end="0"/>
        <w:rPr/>
      </w:pPr>
      <w:r>
        <w:rPr/>
        <w:t>Anti-competitive concerted practices are prohibited under Article 81 of the EC Treaty insofar as they affect trade between Member States, and by Chapter I of the UK Competition Act 1998 insofar as they affect trade within the United Kingdom.  If the Proposal is successful in attracting a significant number of participants in the bandwidth market, then it could fall within the ambit of Article 81 and/or Chapter I.</w:t>
      </w:r>
    </w:p>
    <w:p>
      <w:pPr>
        <w:pStyle w:val="Normal"/>
        <w:ind w:start="1236" w:end="0"/>
        <w:rPr/>
      </w:pPr>
      <w:r>
        <w:rPr/>
        <w:t>In such a case it would then fall to the relevant competition authority (either at an EU or UK level) to determine whether the arrangement between participating players would have an anti-competitive effect.  In principle, the proposed commoditisation of the bandwidth market is likely to be favourably looked at by the competition authorities in that it aims to increase participation in the market and drive down price margins.</w:t>
      </w:r>
    </w:p>
    <w:p>
      <w:pPr>
        <w:pStyle w:val="Normal"/>
        <w:ind w:start="1236" w:end="0"/>
        <w:rPr/>
      </w:pPr>
      <w:r>
        <w:rPr/>
        <w:t>However, one issue of concern would be that the concentration of bandwidth trading within the context of the BTO would amount to exclusionary conduct vis-à-vis non BTO members.  This would be the case irrespective of whether or not the rules of the BTO would prevent members trading with non-members, if, as anticipated, this is what happens in practice.  Since membership of the BTO would be open to all (subject to paying a fee and agreeing to be subject to certain rules), whether or not the Proposal amounted to exclusionary conduct would depend on the level of participation fees and the restrictiveness of the rules.</w:t>
      </w:r>
    </w:p>
    <w:p>
      <w:pPr>
        <w:pStyle w:val="Normal"/>
        <w:ind w:start="1236" w:end="0"/>
        <w:rPr/>
      </w:pPr>
      <w:r>
        <w:rPr/>
        <w:t>ECI should therefore ensure that these issues do not represent a barrier to entry for prospective members of BTO, for example by ensuring that the pricing structure is transparent and based on objective criteria.</w:t>
      </w:r>
    </w:p>
    <w:p>
      <w:pPr>
        <w:pStyle w:val="Normal"/>
        <w:keepNext w:val="true"/>
        <w:ind w:start="1236" w:end="0"/>
        <w:rPr>
          <w:b/>
          <w:i/>
          <w:i/>
        </w:rPr>
      </w:pPr>
      <w:r>
        <w:rPr>
          <w:b/>
          <w:i/>
        </w:rPr>
        <w:t>Abuse of Dominance</w:t>
      </w:r>
    </w:p>
    <w:p>
      <w:pPr>
        <w:pStyle w:val="Normal"/>
        <w:keepNext w:val="true"/>
        <w:ind w:start="1236" w:end="0"/>
        <w:rPr/>
      </w:pPr>
      <w:r>
        <w:rPr/>
        <w:t>Abuse of a dominant position is prohibited under Article 82 of the EC Treaty (insofar as it affects trade between Member States) and by Chapter II of the Competition Act 1998 (insofar as it affects trade within the United Kingdom).</w:t>
      </w:r>
    </w:p>
    <w:p>
      <w:pPr>
        <w:pStyle w:val="Normal"/>
        <w:ind w:start="1236" w:end="0"/>
        <w:rPr/>
      </w:pPr>
      <w:r>
        <w:rPr/>
        <w:t>The relevant of this issue is that it is anticipated that the BTO will become a dominant provider in the bandwidth market.  As such, it may be in a position whereby it controls an essential facility (i.e. access to the Pooling Points).  The individual members of the BTO must not use the power they have via the control of the BTO to strengthen their position on the bandwidth market.</w:t>
      </w:r>
    </w:p>
    <w:p>
      <w:pPr>
        <w:pStyle w:val="Normal"/>
        <w:ind w:start="1236" w:end="0"/>
        <w:rPr/>
      </w:pPr>
      <w:r>
        <w:rPr/>
        <w:t>In essence, this will involve a similar analysis to the exclusionary conduct point.  The BTO must not grant competitors of its members access to the Pooling Points on terms less favourable than those it offers to its members without objective justification.  Objective justification would include, for example, indication that the Pooling Point usage fee accurately represents the operational costs incurred.</w:t>
      </w:r>
    </w:p>
    <w:p>
      <w:pPr>
        <w:pStyle w:val="Normal"/>
        <w:ind w:start="1236" w:end="0"/>
        <w:rPr>
          <w:b/>
          <w:i/>
          <w:i/>
          <w:kern w:val="2"/>
        </w:rPr>
      </w:pPr>
      <w:r>
        <w:rPr>
          <w:b/>
          <w:i/>
          <w:kern w:val="2"/>
        </w:rPr>
        <w:t>Telecommunications Licence Conditions</w:t>
      </w:r>
    </w:p>
    <w:p>
      <w:pPr>
        <w:sectPr>
          <w:headerReference w:type="default" r:id="rId6"/>
          <w:headerReference w:type="first" r:id="rId7"/>
          <w:footerReference w:type="default" r:id="rId8"/>
          <w:footerReference w:type="first" r:id="rId9"/>
          <w:footnotePr>
            <w:numFmt w:val="decimal"/>
          </w:footnotePr>
          <w:type w:val="nextPage"/>
          <w:pgSz w:w="11906" w:h="16838"/>
          <w:pgMar w:left="1701" w:right="1701" w:gutter="0" w:header="720" w:top="1440" w:footer="283" w:bottom="1134"/>
          <w:pgNumType w:start="1" w:fmt="decimal"/>
          <w:formProt w:val="false"/>
          <w:textDirection w:val="lrTb"/>
          <w:docGrid w:type="default" w:linePitch="360" w:charSpace="0"/>
        </w:sectPr>
        <w:pStyle w:val="Normal"/>
        <w:ind w:start="1236" w:end="0"/>
        <w:rPr/>
      </w:pPr>
      <w:r>
        <w:rPr/>
        <w:t>In addition, if ECI or the Local Counterparty runs a telecommunications system in the UK, it may be subject to competition law constraints under its Telecommunications Act licence.  For example, if it is running a telecommunications system pursuant to an individual PTO licence or a TSL class licence (see Section 1A(a) above), these licences contain a "fair trading" condition which prohibits the licensee from engaging in anti-competitive conduct in the course of or in connection with providing telecommunications services or running a telecommunications system.  These prohibitions are more or less equivalent in form to the prohibitions in Articles 81 and 82 of the EC Treaty and Chapters I and II of the UK Competition Act 1998 discussed above.</w:t>
      </w:r>
    </w:p>
    <w:p>
      <w:pPr>
        <w:pStyle w:val="Heading1"/>
        <w:ind w:hanging="0" w:start="0"/>
        <w:rPr>
          <w:kern w:val="2"/>
        </w:rPr>
      </w:pPr>
      <w:bookmarkStart w:id="26" w:name="__RefHeading___Toc469131295"/>
      <w:bookmarkEnd w:id="26"/>
      <w:r>
        <w:rPr>
          <w:kern w:val="2"/>
        </w:rPr>
        <w:t>section 2 - TRADING BANDWIDTH WITHOUT ACTUAL PHYSICAL DELIVERY</w:t>
      </w:r>
    </w:p>
    <w:p>
      <w:pPr>
        <w:pStyle w:val="BodyText"/>
        <w:keepNext w:val="true"/>
        <w:rPr>
          <w:b/>
          <w:i/>
          <w:i/>
        </w:rPr>
      </w:pPr>
      <w:r>
        <w:rPr>
          <w:b/>
          <w:i/>
        </w:rPr>
        <w:t>In respect of the ability to close-out Transactions before physical delivery, with the parties merely making financial settlement of balances payable between then, would any of your answers change to the questions raised in paragraphs A to H, inclusive, above of Section 1 (when answering this question please pay particular, but not exclusive, attention to the questions raised in Section 1A)?</w:t>
      </w:r>
    </w:p>
    <w:p>
      <w:pPr>
        <w:pStyle w:val="BodyText"/>
        <w:rPr/>
      </w:pPr>
      <w:r>
        <w:rPr/>
        <w:t>You have asked us whether the ability to close-out Transactions before physical delivery would change any of our answers. You have advised that the rationale for this Section 2 of the Survey Questionnaire is to elucidate whether the closing-out of Transactions between ECI and Local Counterparties before delivery with, simply, financial settlement between those parties would make such Transactions subject to any form of financial services regulation in England and Wales.</w:t>
      </w:r>
    </w:p>
    <w:p>
      <w:pPr>
        <w:sectPr>
          <w:headerReference w:type="default" r:id="rId10"/>
          <w:headerReference w:type="first" r:id="rId11"/>
          <w:footerReference w:type="default" r:id="rId12"/>
          <w:footerReference w:type="first" r:id="rId13"/>
          <w:footnotePr>
            <w:numFmt w:val="decimal"/>
          </w:footnotePr>
          <w:type w:val="nextPage"/>
          <w:pgSz w:w="11906" w:h="16838"/>
          <w:pgMar w:left="1701" w:right="1701" w:gutter="0" w:header="720" w:top="1440" w:footer="283" w:bottom="1134"/>
          <w:pgNumType w:start="54" w:fmt="decimal"/>
          <w:formProt w:val="false"/>
          <w:textDirection w:val="lrTb"/>
          <w:docGrid w:type="default" w:linePitch="360" w:charSpace="0"/>
        </w:sectPr>
        <w:pStyle w:val="BodyText"/>
        <w:rPr/>
      </w:pPr>
      <w:r>
        <w:rPr/>
        <w:t>You have, however, also asked us not to consider securities or financial regulatory aspects other than whether the trading of bandwidth may constitute an exchange or financial market.  Accordingly, the answers we have given to questions in Section 1A of the Survey Questionnaire would not change if Transactions are able to be closed out before physical delivery takes place.</w:t>
      </w:r>
    </w:p>
    <w:p>
      <w:pPr>
        <w:pStyle w:val="Heading1"/>
        <w:ind w:hanging="0" w:start="0"/>
        <w:rPr>
          <w:kern w:val="2"/>
        </w:rPr>
      </w:pPr>
      <w:bookmarkStart w:id="27" w:name="__RefHeading___Toc469131296"/>
      <w:bookmarkEnd w:id="27"/>
      <w:r>
        <w:rPr>
          <w:kern w:val="2"/>
        </w:rPr>
        <w:t>SECTION 3 - establishment of pooling points and connection of telecommunications networks to pooling points</w:t>
      </w:r>
    </w:p>
    <w:p>
      <w:pPr>
        <w:pStyle w:val="BodyText"/>
        <w:rPr/>
      </w:pPr>
      <w:r>
        <w:rPr/>
        <w:t>This section concerns the potential establishment of a Pooling Point at a specific location in England and Wales.  Such Pooling Point would be owned, operated and/or administered by a Pooling Point Developer.</w:t>
      </w:r>
    </w:p>
    <w:p>
      <w:pPr>
        <w:pStyle w:val="Heading2"/>
        <w:ind w:hanging="0" w:start="0"/>
        <w:rPr/>
      </w:pPr>
      <w:bookmarkStart w:id="28" w:name="__RefHeading___Toc469131297"/>
      <w:bookmarkEnd w:id="28"/>
      <w:r>
        <w:rPr/>
        <w:t>Section 3A:  Establishment of a Pooling Point in England and Wales by a Pooling Point Operator</w:t>
      </w:r>
    </w:p>
    <w:p>
      <w:pPr>
        <w:pStyle w:val="BodyText"/>
        <w:rPr/>
      </w:pPr>
      <w:r>
        <w:rPr/>
        <w:t>You have asked that we assume for the purposes of questions (a) to (d) of this Section 3A that the Pooling Point Developer would not be incorporated in, nor have any branch or other form of presence in, England and Wales.</w:t>
      </w:r>
    </w:p>
    <w:p>
      <w:pPr>
        <w:pStyle w:val="ListAlpha2"/>
        <w:keepNext w:val="true"/>
        <w:numPr>
          <w:ilvl w:val="1"/>
          <w:numId w:val="30"/>
        </w:numPr>
        <w:ind w:hanging="793" w:start="1418" w:end="0"/>
        <w:rPr>
          <w:b/>
          <w:i/>
          <w:i/>
        </w:rPr>
      </w:pPr>
      <w:r>
        <w:rPr>
          <w:b/>
          <w:i/>
        </w:rPr>
        <w:t>How would the establishment, ownership, operation or administration of a Pooling Point fall to be examined and categorised under the telecoms regulatory regime in England and Wales?</w:t>
      </w:r>
    </w:p>
    <w:p>
      <w:pPr>
        <w:pStyle w:val="BodyText2"/>
        <w:keepNext w:val="true"/>
        <w:ind w:start="1418" w:end="0"/>
        <w:rPr/>
      </w:pPr>
      <w:r>
        <w:rPr/>
        <w:t xml:space="preserve">In general, establishment, operation and administration of a Pooling Point would be "examined and categorised" under the telecommunications regulatory regime in the UK only insofar as it constitutes and/or involves the running of a telecommunications system.  </w:t>
      </w:r>
    </w:p>
    <w:p>
      <w:pPr>
        <w:pStyle w:val="BodyText2"/>
        <w:keepNext w:val="true"/>
        <w:ind w:start="1418" w:end="0"/>
        <w:rPr/>
      </w:pPr>
      <w:r>
        <w:rPr/>
        <w:t xml:space="preserve">As discussed in Section 1A(a) above, it is an offence to run a telecommunications system in the UK without a licence, or to connect telecommunications apparatus to, or to provide telecommunications services across, such system except as permitted in such licence.  </w:t>
      </w:r>
    </w:p>
    <w:p>
      <w:pPr>
        <w:pStyle w:val="BodyText2"/>
        <w:rPr/>
      </w:pPr>
      <w:r>
        <w:rPr/>
        <w:t>The Pooling Point, if located in the UK, is likely to be treated as a "telecommunications system"</w:t>
      </w:r>
      <w:r>
        <w:rPr>
          <w:rStyle w:val="FootnoteCharacters"/>
          <w:rStyle w:val="FootnoteReference"/>
        </w:rPr>
        <w:footnoteReference w:id="33"/>
      </w:r>
      <w:r>
        <w:rPr/>
        <w:t xml:space="preserve"> either because:</w:t>
      </w:r>
    </w:p>
    <w:p>
      <w:pPr>
        <w:pStyle w:val="bullet"/>
        <w:numPr>
          <w:ilvl w:val="0"/>
          <w:numId w:val="14"/>
        </w:numPr>
        <w:tabs>
          <w:tab w:val="clear" w:pos="624"/>
          <w:tab w:val="left" w:pos="1777" w:leader="none"/>
        </w:tabs>
        <w:ind w:hanging="360" w:start="1777" w:end="0"/>
        <w:rPr/>
      </w:pPr>
      <w:r>
        <w:rPr/>
        <w:t>the Pooling Point is a system for the transmission of signals etc.; or</w:t>
      </w:r>
    </w:p>
    <w:p>
      <w:pPr>
        <w:pStyle w:val="bullet"/>
        <w:numPr>
          <w:ilvl w:val="0"/>
          <w:numId w:val="14"/>
        </w:numPr>
        <w:tabs>
          <w:tab w:val="clear" w:pos="624"/>
          <w:tab w:val="left" w:pos="1777" w:leader="none"/>
        </w:tabs>
        <w:ind w:hanging="360" w:start="1777" w:end="0"/>
        <w:rPr/>
      </w:pPr>
      <w:r>
        <w:rPr/>
        <w:t>the Pooling Point equipment constitutes "telecommunications apparatus"</w:t>
      </w:r>
      <w:r>
        <w:rPr>
          <w:rStyle w:val="FootnoteCharacters"/>
          <w:rStyle w:val="FootnoteReference"/>
        </w:rPr>
        <w:footnoteReference w:id="34"/>
      </w:r>
      <w:r>
        <w:rPr/>
        <w:t xml:space="preserve"> which is either:</w:t>
      </w:r>
    </w:p>
    <w:p>
      <w:pPr>
        <w:pStyle w:val="BodyText2"/>
        <w:numPr>
          <w:ilvl w:val="0"/>
          <w:numId w:val="23"/>
        </w:numPr>
        <w:tabs>
          <w:tab w:val="clear" w:pos="624"/>
          <w:tab w:val="left" w:pos="2137" w:leader="none"/>
        </w:tabs>
        <w:ind w:hanging="360" w:start="2137" w:end="0"/>
        <w:rPr/>
      </w:pPr>
      <w:r>
        <w:rPr/>
        <w:t>connected to, but not comprised in, a telecommunications system (being the systems across which the Bandwidth is provided); or</w:t>
      </w:r>
    </w:p>
    <w:p>
      <w:pPr>
        <w:pStyle w:val="BodyText2"/>
        <w:numPr>
          <w:ilvl w:val="0"/>
          <w:numId w:val="23"/>
        </w:numPr>
        <w:tabs>
          <w:tab w:val="clear" w:pos="624"/>
          <w:tab w:val="left" w:pos="2137" w:leader="none"/>
        </w:tabs>
        <w:ind w:hanging="360" w:start="2137" w:end="0"/>
        <w:rPr/>
      </w:pPr>
      <w:r>
        <w:rPr/>
        <w:t>connected to and comprised in a telecommunications system which extends beyond the UK.</w:t>
      </w:r>
    </w:p>
    <w:p>
      <w:pPr>
        <w:pStyle w:val="BodyText2"/>
        <w:rPr/>
      </w:pPr>
      <w:r>
        <w:rPr/>
        <w:t>Consequently, it would be an offence to "run" the Pooling Point without a licence.  As discussed above in Section 1A, the meaning of "to run" is not clear, but it is usually interpreted as referring to authority over the telecommunications system and control over how the system is made up and how it is to be used (but not mere day-to-day operation subject to a third party's instructions and control).  Furthermore, it would be an offence to connect to the Pooling Point to telecommunications apparatus and equipment not authorised by that licence.</w:t>
      </w:r>
    </w:p>
    <w:p>
      <w:pPr>
        <w:pStyle w:val="ListAlpha2"/>
        <w:numPr>
          <w:ilvl w:val="1"/>
          <w:numId w:val="15"/>
        </w:numPr>
        <w:ind w:hanging="0" w:start="0"/>
        <w:rPr>
          <w:b/>
          <w:i/>
          <w:i/>
        </w:rPr>
      </w:pPr>
      <w:r>
        <w:rPr>
          <w:b/>
          <w:i/>
        </w:rPr>
        <w:t xml:space="preserve">Would any licences, permits, consents or other governmental or regulatory approvals (for example, in the form of telecommunications licences) be required to be obtained in England and Wales in order for the Pooling Point Developer to establish and/or own and/or operate and/or administer a Pooling Point in England or Wales?  </w:t>
      </w:r>
    </w:p>
    <w:p>
      <w:pPr>
        <w:pStyle w:val="BodyText2"/>
        <w:rPr/>
      </w:pPr>
      <w:r>
        <w:rPr/>
        <w:t>As discussed in paragraph (a) above, a telecommunications licence is likely to be required to "run" the Pooling Point.</w:t>
      </w:r>
    </w:p>
    <w:p>
      <w:pPr>
        <w:pStyle w:val="ListAlpha2"/>
        <w:numPr>
          <w:ilvl w:val="0"/>
          <w:numId w:val="0"/>
        </w:numPr>
        <w:ind w:hanging="0" w:start="1417" w:end="0"/>
        <w:rPr>
          <w:b/>
          <w:i/>
          <w:i/>
        </w:rPr>
      </w:pPr>
      <w:r>
        <w:rPr>
          <w:b/>
          <w:i/>
        </w:rPr>
        <w:t>If so, please describe:</w:t>
      </w:r>
    </w:p>
    <w:p>
      <w:pPr>
        <w:pStyle w:val="ListRoman3"/>
        <w:numPr>
          <w:ilvl w:val="2"/>
          <w:numId w:val="12"/>
        </w:numPr>
        <w:ind w:hanging="0" w:start="0"/>
        <w:rPr>
          <w:b/>
          <w:i/>
          <w:i/>
        </w:rPr>
      </w:pPr>
      <w:r>
        <w:rPr>
          <w:b/>
          <w:i/>
        </w:rPr>
        <w:t>which licences, permits, consents or other approvals are required, if any, and from whom they are required to be obtained for each of (a) the Pooling Point itself and (b) the Pooling Point Developer?; and</w:t>
      </w:r>
    </w:p>
    <w:p>
      <w:pPr>
        <w:pStyle w:val="BodyText3"/>
        <w:rPr/>
      </w:pPr>
      <w:r>
        <w:rPr/>
        <w:t>The type of licence required for the operation of the Pooling Point will depend on the nature and extent of the telecommunications system of which the Pooling Point forms a part.</w:t>
      </w:r>
    </w:p>
    <w:p>
      <w:pPr>
        <w:pStyle w:val="BodyText3"/>
        <w:rPr/>
      </w:pPr>
      <w:r>
        <w:rPr/>
        <w:t>It may be that the Pooling Point could run pursuant to a class licence such as the TSL (see the discussion under Section 1A(a)(ii) above), as the Pooling Point presumably would only be situated in one set of premises, e.g. a telehouse.  However, if, for example, the Pooling Point is part of a more extensive telecommunications system, an individual telecommuncations licence may be required.  As discussed in Section 1A(a) above, this would need to be applied for and obtained from the Secretary of State for Trade and Industry (via the DTI).</w:t>
      </w:r>
    </w:p>
    <w:p>
      <w:pPr>
        <w:pStyle w:val="BodyText3"/>
        <w:rPr/>
      </w:pPr>
      <w:r>
        <w:rPr/>
        <w:t>The person requiring the licence would be the person who "runs" the relevant telecommunications system.  This may be the Pooling Point Developer, unless the Pooling Point Developer is required under its facilities management contract to operate the Pooling Point in accordance with and subject to a third party's instructions (which third party would therefore "run" the system).  We have insufficient information to advise which entity ought to obtain any necessary telecommunications licence.</w:t>
      </w:r>
    </w:p>
    <w:p>
      <w:pPr>
        <w:pStyle w:val="ListRoman3"/>
        <w:keepNext w:val="true"/>
        <w:numPr>
          <w:ilvl w:val="2"/>
          <w:numId w:val="12"/>
        </w:numPr>
        <w:ind w:hanging="0" w:start="0"/>
        <w:rPr>
          <w:b/>
          <w:i/>
          <w:i/>
        </w:rPr>
      </w:pPr>
      <w:r>
        <w:rPr>
          <w:b/>
          <w:i/>
        </w:rPr>
        <w:t>if licences or permits would be required, which types of licences or permits would be applicable e.g. an individual licence, class licence or exemptions?; and</w:t>
      </w:r>
    </w:p>
    <w:p>
      <w:pPr>
        <w:pStyle w:val="BodyText3"/>
        <w:keepNext w:val="true"/>
        <w:rPr/>
      </w:pPr>
      <w:r>
        <w:rPr/>
        <w:t>As discussed in paragraph (i) above, the licence required may be a class or an individual licence, depending on the exact nature and extent of the relevant telecommunications system.</w:t>
      </w:r>
    </w:p>
    <w:p>
      <w:pPr>
        <w:pStyle w:val="ListRoman3"/>
        <w:numPr>
          <w:ilvl w:val="2"/>
          <w:numId w:val="12"/>
        </w:numPr>
        <w:ind w:hanging="0" w:start="0"/>
        <w:rPr>
          <w:b/>
          <w:i/>
          <w:i/>
        </w:rPr>
      </w:pPr>
      <w:r>
        <w:rPr>
          <w:b/>
          <w:i/>
        </w:rPr>
        <w:t>briefly describe the procedure and approximately how long it would take for the Pooling Point Developer to obtain any such licences, consents or approvals.</w:t>
      </w:r>
    </w:p>
    <w:p>
      <w:pPr>
        <w:pStyle w:val="BodyText3"/>
        <w:rPr/>
      </w:pPr>
      <w:r>
        <w:rPr/>
        <w:t>A class licence applies automatically to all persons and activities falling within its scope (without need for any notification, registration or application).</w:t>
      </w:r>
    </w:p>
    <w:p>
      <w:pPr>
        <w:pStyle w:val="BodyText3"/>
        <w:rPr/>
      </w:pPr>
      <w:r>
        <w:rPr/>
        <w:t>Individual telecommunications licences are obtained by submitting an application to the Secretary of State for Trade and Industry (via the DTI).  The DTI usually deals with applications within six weeks of receipt, but the licence grant can take up to four months in certain circumstances.  However, a temporary licence may be issued pending licence grant (see further Section 1A(a)(ii) above).</w:t>
      </w:r>
    </w:p>
    <w:p>
      <w:pPr>
        <w:pStyle w:val="ListAlpha2"/>
        <w:numPr>
          <w:ilvl w:val="1"/>
          <w:numId w:val="15"/>
        </w:numPr>
        <w:ind w:hanging="0" w:start="0"/>
        <w:rPr>
          <w:b/>
          <w:i/>
          <w:i/>
        </w:rPr>
      </w:pPr>
      <w:r>
        <w:rPr>
          <w:b/>
          <w:i/>
        </w:rPr>
        <w:t>Which other elements of the telecoms regulatory regime in England and Wales would affect the establishment, ownership, operation or administration of a Pooling Point in England or Wales?</w:t>
      </w:r>
    </w:p>
    <w:p>
      <w:pPr>
        <w:pStyle w:val="BodyText2"/>
        <w:rPr/>
      </w:pPr>
      <w:r>
        <w:rPr/>
        <w:t xml:space="preserve">As discussed in Section 1A(b) above, a number of other elements of the telecommunications regulatory regime may affect or impact on the Pooling Points, depending on the type of telecommunications licence held and status and market position of the licensee. </w:t>
      </w:r>
    </w:p>
    <w:p>
      <w:pPr>
        <w:pStyle w:val="BodyText2"/>
        <w:rPr/>
      </w:pPr>
      <w:r>
        <w:rPr/>
        <w:t>Telecommunications regulatory requirements relating to the publication of prices, limitation on prices, access control, interconnection and standards etc. are usually set out in the conditions of the relevant licence which authorises the running of the Pooling Point.</w:t>
      </w:r>
    </w:p>
    <w:p>
      <w:pPr>
        <w:pStyle w:val="BodyText2"/>
        <w:rPr>
          <w:b/>
          <w:i/>
          <w:i/>
        </w:rPr>
      </w:pPr>
      <w:r>
        <w:rPr>
          <w:b/>
          <w:i/>
        </w:rPr>
        <w:t>Telecommunications Licence Conditions</w:t>
      </w:r>
    </w:p>
    <w:p>
      <w:pPr>
        <w:pStyle w:val="Normal"/>
        <w:ind w:start="1417" w:end="0"/>
        <w:rPr/>
      </w:pPr>
      <w:r>
        <w:rPr/>
        <w:t>If the person running the Pooling Point is relying on an individual licence or a TSL class licence</w:t>
      </w:r>
      <w:r>
        <w:rPr>
          <w:rStyle w:val="FootnoteCharacters"/>
          <w:rStyle w:val="FootnoteReference"/>
        </w:rPr>
        <w:footnoteReference w:id="35"/>
      </w:r>
      <w:r>
        <w:rPr/>
        <w:t xml:space="preserve"> to run a telecommunications system, the following conditions may apply in such licence:</w:t>
      </w:r>
    </w:p>
    <w:p>
      <w:pPr>
        <w:pStyle w:val="bullet"/>
        <w:numPr>
          <w:ilvl w:val="0"/>
          <w:numId w:val="25"/>
        </w:numPr>
        <w:tabs>
          <w:tab w:val="clear" w:pos="624"/>
          <w:tab w:val="left" w:pos="2013" w:leader="none"/>
        </w:tabs>
        <w:ind w:hanging="596" w:start="2013" w:end="0"/>
        <w:rPr/>
      </w:pPr>
      <w:r>
        <w:rPr/>
        <w:t>Depending on the type of system and nature of network termination points, the licensee may be required to provide the DGT (the head of OFTEL) with information on the network interfaces of the system and to conform those interface to published standards.</w:t>
      </w:r>
    </w:p>
    <w:p>
      <w:pPr>
        <w:pStyle w:val="bullet"/>
        <w:numPr>
          <w:ilvl w:val="0"/>
          <w:numId w:val="25"/>
        </w:numPr>
        <w:tabs>
          <w:tab w:val="clear" w:pos="624"/>
          <w:tab w:val="left" w:pos="2013" w:leader="none"/>
        </w:tabs>
        <w:ind w:hanging="596" w:start="2013" w:end="0"/>
        <w:rPr/>
      </w:pPr>
      <w:r>
        <w:rPr/>
        <w:t>If the system is connected to a public telecommunications system or is capable of conveying messages which have been or are to be conveyed by a public telecommunications system, the apparatus comprised in the licensee's system must be compliant with telecommunications equipment approval regulations.</w:t>
      </w:r>
    </w:p>
    <w:p>
      <w:pPr>
        <w:pStyle w:val="bullet"/>
        <w:numPr>
          <w:ilvl w:val="0"/>
          <w:numId w:val="25"/>
        </w:numPr>
        <w:tabs>
          <w:tab w:val="clear" w:pos="624"/>
          <w:tab w:val="left" w:pos="2013" w:leader="none"/>
        </w:tabs>
        <w:ind w:hanging="596" w:start="2013" w:end="0"/>
        <w:rPr/>
      </w:pPr>
      <w:r>
        <w:rPr/>
        <w:t>If the licensee is a "public operator", it may be required to negotiate an interconnection agreement with other licensed public operators on request (see below).</w:t>
      </w:r>
    </w:p>
    <w:p>
      <w:pPr>
        <w:pStyle w:val="bullet"/>
        <w:numPr>
          <w:ilvl w:val="0"/>
          <w:numId w:val="25"/>
        </w:numPr>
        <w:tabs>
          <w:tab w:val="clear" w:pos="624"/>
          <w:tab w:val="left" w:pos="2013" w:leader="none"/>
        </w:tabs>
        <w:ind w:hanging="596" w:start="2013" w:end="0"/>
        <w:rPr/>
      </w:pPr>
      <w:r>
        <w:rPr/>
        <w:t>The licensee may be required to maintain a cost accounting system.</w:t>
      </w:r>
    </w:p>
    <w:p>
      <w:pPr>
        <w:pStyle w:val="bullet"/>
        <w:numPr>
          <w:ilvl w:val="0"/>
          <w:numId w:val="25"/>
        </w:numPr>
        <w:tabs>
          <w:tab w:val="clear" w:pos="624"/>
          <w:tab w:val="left" w:pos="2013" w:leader="none"/>
        </w:tabs>
        <w:ind w:hanging="596" w:start="2013" w:end="0"/>
        <w:rPr/>
      </w:pPr>
      <w:r>
        <w:rPr/>
        <w:t>More onerous obligations (e.g. with respect to access, quality of service and tariffs) apply to licensees with "significant market power" (which is presumed if the licensee has a market share of greater than 25%) or who run a fixed public telecommunications system.</w:t>
      </w:r>
    </w:p>
    <w:p>
      <w:pPr>
        <w:pStyle w:val="Normal"/>
        <w:keepNext w:val="true"/>
        <w:ind w:start="1417" w:end="0"/>
        <w:rPr/>
      </w:pPr>
      <w:r>
        <w:rPr/>
        <w:t>If the DGT is satisfied that a licensee is contravening, or has contravened and is likely again to contravene, any condition of its licence (whether class or individual), the DGT can make a "final" or "provisional" order to secure compliance with that licence condition (requiring the licensee either to do or to refrain from doing specified things).  A provisional order must be confirmed by the DGT within two months.  Prior to making a final order or confirming a provisional order, the DGT must notify the licensee and give the licensee reasonable opportunity to make representations.</w:t>
      </w:r>
    </w:p>
    <w:p>
      <w:pPr>
        <w:pStyle w:val="Normal"/>
        <w:ind w:start="1417" w:end="0"/>
        <w:rPr/>
      </w:pPr>
      <w:r>
        <w:rPr/>
        <w:t>If a licensee fails to comply with a final or provisional order, the DGT can bring civil proceedings to enforce the order and, in addition, affected third persons may be able to bring civil proceedings for any loss suffered.</w:t>
      </w:r>
    </w:p>
    <w:p>
      <w:pPr>
        <w:pStyle w:val="Normal"/>
        <w:keepNext w:val="true"/>
        <w:ind w:start="1417" w:end="0"/>
        <w:rPr>
          <w:b/>
          <w:i/>
          <w:i/>
        </w:rPr>
      </w:pPr>
      <w:r>
        <w:rPr>
          <w:b/>
          <w:i/>
        </w:rPr>
        <w:t>Interconnection</w:t>
      </w:r>
    </w:p>
    <w:p>
      <w:pPr>
        <w:pStyle w:val="Normal"/>
        <w:keepNext w:val="true"/>
        <w:ind w:start="1417" w:end="0"/>
        <w:rPr/>
      </w:pPr>
      <w:r>
        <w:rPr/>
        <w:t>The Telecommunications (Interconnection) Regulations 1997 insert into existing licences granted to certain types of telecommunications operators (essentially those authorised to run public telecommunications systems and to provide publicly available telecommunications services) the obligation to negotiate interconnection with other such public operators licensed in the UK or EU (the latter only if notified to the European Commission).  Furthermore, those operators having significant market power (which is presumed where the operator has a market share of 25% or more) are under additional obligations, e.g.:</w:t>
      </w:r>
    </w:p>
    <w:p>
      <w:pPr>
        <w:pStyle w:val="bullet"/>
        <w:numPr>
          <w:ilvl w:val="0"/>
          <w:numId w:val="25"/>
        </w:numPr>
        <w:tabs>
          <w:tab w:val="clear" w:pos="624"/>
          <w:tab w:val="left" w:pos="2028" w:leader="none"/>
          <w:tab w:val="left" w:pos="2137" w:leader="none"/>
        </w:tabs>
        <w:ind w:hanging="720" w:start="2137" w:end="0"/>
        <w:rPr/>
      </w:pPr>
      <w:r>
        <w:rPr/>
        <w:t>to meet all reasonable requests for access to its network;</w:t>
      </w:r>
    </w:p>
    <w:p>
      <w:pPr>
        <w:pStyle w:val="bullet"/>
        <w:numPr>
          <w:ilvl w:val="0"/>
          <w:numId w:val="25"/>
        </w:numPr>
        <w:tabs>
          <w:tab w:val="clear" w:pos="624"/>
          <w:tab w:val="left" w:pos="2013" w:leader="none"/>
        </w:tabs>
        <w:ind w:hanging="596" w:start="2013" w:end="0"/>
        <w:rPr/>
      </w:pPr>
      <w:r>
        <w:rPr/>
        <w:t xml:space="preserve">to comply with certain information and cost accounting systems requirements.  </w:t>
      </w:r>
    </w:p>
    <w:p>
      <w:pPr>
        <w:pStyle w:val="bullet"/>
        <w:numPr>
          <w:ilvl w:val="0"/>
          <w:numId w:val="0"/>
        </w:numPr>
        <w:tabs>
          <w:tab w:val="clear" w:pos="624"/>
          <w:tab w:val="left" w:pos="2137" w:leader="none"/>
        </w:tabs>
        <w:ind w:hanging="0" w:start="1417" w:end="0"/>
        <w:rPr/>
      </w:pPr>
      <w:r>
        <w:rPr/>
        <w:t>If an operator of a public telecommunications system has the right to install facilities on, over or under public land or to take advantage of a procure for the expropriation or use of the property, the Secretary of State/DGT is required to encourage the sharing of such facilities or property.</w:t>
      </w:r>
    </w:p>
    <w:p>
      <w:pPr>
        <w:pStyle w:val="bullet"/>
        <w:numPr>
          <w:ilvl w:val="0"/>
          <w:numId w:val="0"/>
        </w:numPr>
        <w:tabs>
          <w:tab w:val="clear" w:pos="624"/>
          <w:tab w:val="left" w:pos="2028" w:leader="none"/>
        </w:tabs>
        <w:ind w:hanging="0" w:start="1417" w:end="0"/>
        <w:rPr/>
      </w:pPr>
      <w:r>
        <w:rPr/>
        <w:t>We note that it is not clear from the information we have received who would be "running" the Pooling Point and whether that entity intends to run a public telecommunications system or to provide publicly available telecommunications services.</w:t>
      </w:r>
    </w:p>
    <w:p>
      <w:pPr>
        <w:pStyle w:val="bullet"/>
        <w:numPr>
          <w:ilvl w:val="0"/>
          <w:numId w:val="0"/>
        </w:numPr>
        <w:tabs>
          <w:tab w:val="clear" w:pos="624"/>
          <w:tab w:val="left" w:pos="2028" w:leader="none"/>
        </w:tabs>
        <w:ind w:hanging="0" w:start="1417" w:end="0"/>
        <w:rPr>
          <w:b/>
          <w:i/>
          <w:i/>
        </w:rPr>
      </w:pPr>
      <w:r>
        <w:rPr>
          <w:b/>
          <w:i/>
        </w:rPr>
        <w:t>Provision of Leased Lines</w:t>
      </w:r>
    </w:p>
    <w:p>
      <w:pPr>
        <w:pStyle w:val="bullet"/>
        <w:numPr>
          <w:ilvl w:val="0"/>
          <w:numId w:val="0"/>
        </w:numPr>
        <w:tabs>
          <w:tab w:val="clear" w:pos="624"/>
          <w:tab w:val="left" w:pos="2028" w:leader="none"/>
        </w:tabs>
        <w:ind w:hanging="0" w:start="1417" w:end="0"/>
        <w:rPr/>
      </w:pPr>
      <w:r>
        <w:rPr/>
        <w:t>The Telecommunications (Open Network Provision and Leased Lines) Regulations 1997</w:t>
      </w:r>
      <w:r>
        <w:rPr>
          <w:rStyle w:val="FootnoteCharacters"/>
          <w:rStyle w:val="FootnoteReference"/>
        </w:rPr>
        <w:footnoteReference w:id="36"/>
      </w:r>
      <w:r>
        <w:rPr/>
        <w:t xml:space="preserve"> provide that the DGT is to encourage the use of certain European, international and other standards and specifications for the provision of technical interfaces and network functions.</w:t>
      </w:r>
    </w:p>
    <w:p>
      <w:pPr>
        <w:pStyle w:val="bullet"/>
        <w:numPr>
          <w:ilvl w:val="0"/>
          <w:numId w:val="0"/>
        </w:numPr>
        <w:tabs>
          <w:tab w:val="clear" w:pos="624"/>
          <w:tab w:val="left" w:pos="2028" w:leader="none"/>
        </w:tabs>
        <w:ind w:hanging="0" w:start="1417" w:end="0"/>
        <w:rPr/>
      </w:pPr>
      <w:r>
        <w:rPr/>
        <w:t>Furthermore, certain conditions for the provision of leased lines are inserted into the telecommunications licences held by licensees who have been designated by the Secretary of State as "public telecommunications operators".  Whether the Pooling Point operator is so designated, will of course depend on the nature and extent of its telecommunications network and the telecommunications services that it wishes to provide across it.</w:t>
      </w:r>
    </w:p>
    <w:p>
      <w:pPr>
        <w:pStyle w:val="ListAlpha2"/>
        <w:numPr>
          <w:ilvl w:val="1"/>
          <w:numId w:val="15"/>
        </w:numPr>
        <w:ind w:hanging="0" w:start="0"/>
        <w:rPr>
          <w:b/>
          <w:i/>
          <w:i/>
        </w:rPr>
      </w:pPr>
      <w:r>
        <w:rPr>
          <w:b/>
          <w:i/>
        </w:rPr>
        <w:t>Would the Pooling Point Developer be subject to the rules and regulations of any regulatory body in England and Wales in respect of the establishment and/or ownership and/or operation and/or administration of the Pooling Point?  If so, please:</w:t>
      </w:r>
    </w:p>
    <w:p>
      <w:pPr>
        <w:pStyle w:val="ListRoman3"/>
        <w:numPr>
          <w:ilvl w:val="2"/>
          <w:numId w:val="31"/>
        </w:numPr>
        <w:ind w:hanging="0" w:start="0"/>
        <w:rPr>
          <w:b/>
          <w:i/>
          <w:i/>
        </w:rPr>
      </w:pPr>
      <w:r>
        <w:rPr>
          <w:b/>
          <w:i/>
        </w:rPr>
        <w:t>identify and describe the nature of the regulatory body concerned;</w:t>
      </w:r>
    </w:p>
    <w:p>
      <w:pPr>
        <w:pStyle w:val="BodyText"/>
        <w:ind w:start="1872" w:end="0"/>
        <w:rPr/>
      </w:pPr>
      <w:r>
        <w:rPr/>
        <w:t>Under the Telecommunications Act, a "Director General of Telecommunications" (the "</w:t>
      </w:r>
      <w:r>
        <w:rPr>
          <w:b/>
        </w:rPr>
        <w:t>DGT</w:t>
      </w:r>
      <w:r>
        <w:rPr/>
        <w:t>") was appointed (who heads the independent telecommunications regulatory authority OFTEL), who (together with the Secretary of State for Trade and Industry) has principal responsibility for implementing the UK telecommunications regulatory regime.  The allocation of telecommunications regulatory functions in the UK is broadly as follows:</w:t>
      </w:r>
    </w:p>
    <w:p>
      <w:pPr>
        <w:pStyle w:val="BodyText"/>
        <w:ind w:hanging="396" w:start="2268" w:end="0"/>
        <w:rPr/>
      </w:pPr>
      <w:r>
        <w:rPr>
          <w:rFonts w:eastAsia="Symbol" w:cs="Symbol" w:ascii="Symbol" w:hAnsi="Symbol"/>
        </w:rPr>
        <w:sym w:font="Symbol" w:char="f0b7"/>
      </w:r>
      <w:r>
        <w:rPr/>
        <w:tab/>
        <w:t>The Secretary of State has responsibility for the formulation and development of telecommunications and competition policy.</w:t>
      </w:r>
    </w:p>
    <w:p>
      <w:pPr>
        <w:pStyle w:val="bullet"/>
        <w:numPr>
          <w:ilvl w:val="0"/>
          <w:numId w:val="25"/>
        </w:numPr>
        <w:tabs>
          <w:tab w:val="clear" w:pos="624"/>
          <w:tab w:val="left" w:pos="2268" w:leader="none"/>
        </w:tabs>
        <w:ind w:hanging="396" w:start="2268" w:end="0"/>
        <w:rPr/>
      </w:pPr>
      <w:r>
        <w:rPr/>
        <w:t>The Secretary of State (through the offices of the Department of Trade and Industry, "</w:t>
      </w:r>
      <w:r>
        <w:rPr>
          <w:b/>
        </w:rPr>
        <w:t>DTI</w:t>
      </w:r>
      <w:r>
        <w:rPr/>
        <w:t>") is primarily responsible for licensing telecommunications operators (although he consults with OFTEL and the DGT in relation to licence conditions). If the Pooling Point Developer requires an individual licence, the Pooling Point Developer would need to apply to the Secretary of State (via the DTI) for such licence.</w:t>
      </w:r>
    </w:p>
    <w:p>
      <w:pPr>
        <w:pStyle w:val="BodyText"/>
        <w:ind w:hanging="396" w:start="2268" w:end="0"/>
        <w:rPr/>
      </w:pPr>
      <w:r>
        <w:rPr>
          <w:rFonts w:eastAsia="Symbol" w:cs="Symbol" w:ascii="Symbol" w:hAnsi="Symbol"/>
        </w:rPr>
        <w:sym w:font="Symbol" w:char="f0b7"/>
      </w:r>
      <w:r>
        <w:rPr/>
        <w:tab/>
        <w:t>OFTEL (headed by the DGT) has primary responsibility for monitoring and enforcing licence conditions.  If the Pooling Point Developer holds a telecommunications licence to run the Pooling Point (see above paragraphs (a)-(b)) OFTEL would monitor and enforce its licence accordingly.</w:t>
      </w:r>
    </w:p>
    <w:p>
      <w:pPr>
        <w:pStyle w:val="BodyText"/>
        <w:ind w:hanging="396" w:start="2268" w:end="0"/>
        <w:rPr/>
      </w:pPr>
      <w:r>
        <w:rPr>
          <w:rFonts w:eastAsia="Symbol" w:cs="Symbol" w:ascii="Symbol" w:hAnsi="Symbol"/>
        </w:rPr>
        <w:sym w:font="Symbol" w:char="f0b7"/>
      </w:r>
      <w:r>
        <w:rPr/>
        <w:tab/>
        <w:t>OFTEL also approves telecommunications apparatus, keeps a public register of licences, is responsible for telecommunications numbering, investigates complaints and keeps the telecommunications sector under review.</w:t>
      </w:r>
    </w:p>
    <w:p>
      <w:pPr>
        <w:pStyle w:val="BodyText"/>
        <w:ind w:hanging="396" w:start="2268" w:end="0"/>
        <w:rPr/>
      </w:pPr>
      <w:r>
        <w:rPr>
          <w:rFonts w:eastAsia="Symbol" w:cs="Symbol" w:ascii="Symbol" w:hAnsi="Symbol"/>
        </w:rPr>
        <w:sym w:font="Symbol" w:char="f0b7"/>
      </w:r>
      <w:r>
        <w:rPr/>
        <w:tab/>
        <w:t>The Office of Fair Trading and the Competition Commission have jurisdiction in respect of competition issues (overlapping to some extent with OFTEL) and the licence modification procedure, respectively.  These bodies would therefore have jurisdiction if the Pooling Point Developer engages in anti-competitive conduct or in the event of a unilateral change to the Pooling Point Developer's telecommunications licence.</w:t>
      </w:r>
    </w:p>
    <w:p>
      <w:pPr>
        <w:pStyle w:val="bullet"/>
        <w:numPr>
          <w:ilvl w:val="0"/>
          <w:numId w:val="25"/>
        </w:numPr>
        <w:tabs>
          <w:tab w:val="clear" w:pos="624"/>
          <w:tab w:val="left" w:pos="2268" w:leader="none"/>
        </w:tabs>
        <w:ind w:hanging="425" w:start="2268" w:end="0"/>
        <w:rPr/>
      </w:pPr>
      <w:r>
        <w:rPr/>
        <w:t>The Secretary of State represents UK in relation to international telecommunications bodies and organisations.</w:t>
      </w:r>
    </w:p>
    <w:p>
      <w:pPr>
        <w:pStyle w:val="BodyText"/>
        <w:ind w:hanging="396" w:start="2268" w:end="0"/>
        <w:rPr/>
      </w:pPr>
      <w:r>
        <w:rPr>
          <w:rFonts w:eastAsia="Symbol" w:cs="Symbol" w:ascii="Symbol" w:hAnsi="Symbol"/>
        </w:rPr>
        <w:sym w:font="Symbol" w:char="f0b7"/>
      </w:r>
      <w:r>
        <w:rPr/>
        <w:tab/>
        <w:t>The Radiocommunications Agency (an executive agency of the DTI) allocates and supervises use of radio frequency spectrum in the UK.</w:t>
      </w:r>
    </w:p>
    <w:p>
      <w:pPr>
        <w:pStyle w:val="Normal"/>
        <w:ind w:start="1928" w:end="0"/>
        <w:rPr/>
      </w:pPr>
      <w:r>
        <w:rPr/>
        <w:t>A new Utilities Regulation Bill has been proposed in the UK which is likely to replace the individual regulators for the energy and telecommunications sectors with full-time executive boards.</w:t>
      </w:r>
    </w:p>
    <w:p>
      <w:pPr>
        <w:pStyle w:val="ListRoman3"/>
        <w:numPr>
          <w:ilvl w:val="2"/>
          <w:numId w:val="12"/>
        </w:numPr>
        <w:ind w:hanging="0" w:start="0"/>
        <w:rPr>
          <w:b/>
          <w:i/>
          <w:i/>
        </w:rPr>
      </w:pPr>
      <w:r>
        <w:rPr>
          <w:b/>
          <w:i/>
        </w:rPr>
        <w:t xml:space="preserve">briefly describe the structure and composition of the regulatory body, including its powers and duties as they would relate to the ownership and/or establishment and/or operation and/or administration of the Pooling Point and/or the Pooling Point Developer; </w:t>
      </w:r>
    </w:p>
    <w:p>
      <w:pPr>
        <w:pStyle w:val="BodyText3"/>
        <w:numPr>
          <w:ilvl w:val="0"/>
          <w:numId w:val="8"/>
        </w:numPr>
        <w:tabs>
          <w:tab w:val="clear" w:pos="624"/>
          <w:tab w:val="left" w:pos="2288" w:leader="none"/>
        </w:tabs>
        <w:ind w:hanging="360" w:start="2288" w:end="0"/>
        <w:rPr/>
      </w:pPr>
      <w:r>
        <w:rPr/>
        <w:t>The DTI is the government department responsible for trade and industry in the UK.  One unit of the department is dedicated to activities in the telecommunications sector.  The DTI would be responsible for granting (and revoking) any individual licence necessary for running the Pooling Point.</w:t>
      </w:r>
    </w:p>
    <w:p>
      <w:pPr>
        <w:pStyle w:val="BodyText3"/>
        <w:numPr>
          <w:ilvl w:val="0"/>
          <w:numId w:val="8"/>
        </w:numPr>
        <w:tabs>
          <w:tab w:val="clear" w:pos="624"/>
          <w:tab w:val="left" w:pos="2288" w:leader="none"/>
        </w:tabs>
        <w:ind w:hanging="360" w:start="2288" w:end="0"/>
        <w:rPr/>
      </w:pPr>
      <w:r>
        <w:rPr/>
        <w:t>OFTEL is an independent governmental regulatory body, headed by the DGT (who is appointed under the Telecommunications Act).  OFTEL would monitor the Pooling Point Developer's compliance with the terms of its class or individual licence (if it is in fact the Pooling Point Developer who "runs" the system).</w:t>
      </w:r>
    </w:p>
    <w:p>
      <w:pPr>
        <w:pStyle w:val="BodyText3"/>
        <w:numPr>
          <w:ilvl w:val="0"/>
          <w:numId w:val="8"/>
        </w:numPr>
        <w:tabs>
          <w:tab w:val="clear" w:pos="624"/>
          <w:tab w:val="left" w:pos="2288" w:leader="none"/>
        </w:tabs>
        <w:ind w:hanging="360" w:start="2288" w:end="0"/>
        <w:rPr/>
      </w:pPr>
      <w:r>
        <w:rPr/>
        <w:t>The Office of Fair Trading is an independent governmental regulatory body which is responsible for investigating, monitoring and enforcing competition law in the UK.  The Office of Fair Trading and/or OFTEL would investigate any alleged anti-competitive conduct of the Pooling Point Developer.</w:t>
      </w:r>
    </w:p>
    <w:p>
      <w:pPr>
        <w:pStyle w:val="BodyText3"/>
        <w:numPr>
          <w:ilvl w:val="0"/>
          <w:numId w:val="8"/>
        </w:numPr>
        <w:tabs>
          <w:tab w:val="clear" w:pos="624"/>
          <w:tab w:val="left" w:pos="2288" w:leader="none"/>
        </w:tabs>
        <w:ind w:hanging="360" w:start="2288" w:end="0"/>
        <w:rPr/>
      </w:pPr>
      <w:r>
        <w:rPr/>
        <w:t xml:space="preserve">The Competition Commission (which now performs the functions and duties formerly allocated to the Mergers and Monopolies Commission) is an independent governmental regulatory body which, in the telecommunications sector, has the power to approve unilateral modifications to telecommunications licences proposed by the DGT/OFTEL. </w:t>
      </w:r>
    </w:p>
    <w:p>
      <w:pPr>
        <w:pStyle w:val="ListRoman3"/>
        <w:numPr>
          <w:ilvl w:val="2"/>
          <w:numId w:val="12"/>
        </w:numPr>
        <w:ind w:hanging="0" w:start="0"/>
        <w:rPr>
          <w:b/>
          <w:i/>
          <w:i/>
        </w:rPr>
      </w:pPr>
      <w:r>
        <w:rPr>
          <w:b/>
          <w:i/>
        </w:rPr>
        <w:t>briefly describe the obligations of the Pooling Point Developer to such regulatory body (including, but not limited to, any obligation there may be upon the Pooling Point Developer to provide periodic reports or other information to such body relating to the Pooling Point Developer and/or the Pooling Point); and</w:t>
      </w:r>
    </w:p>
    <w:p>
      <w:pPr>
        <w:pStyle w:val="BodyText3"/>
        <w:rPr/>
      </w:pPr>
      <w:r>
        <w:rPr/>
        <w:t>If the Pooling Point Developer is "running" the Pooling Point, it must do so pursuant to a telecommunications licence. As described in Section 1A(e)(i) above, the Pooling Point Developer would be required to comply with the information requirements set out under the relevant licence.  These requirements will depend on the licence held by and the status of the Pooling Point Developer, which in turn will depend on the type and extent of the telecommunications system run by the Pooling Point Developer.</w:t>
      </w:r>
    </w:p>
    <w:p>
      <w:pPr>
        <w:pStyle w:val="BodyText3"/>
        <w:rPr/>
      </w:pPr>
      <w:r>
        <w:rPr/>
        <w:t>The Pooling Point Developer, if subject to an investigation for anti-competitive conduct, would also be required to comply with orders, for example for the production of documents, given by the Director General of Fair Trading or the DGT, as the case may be.</w:t>
      </w:r>
    </w:p>
    <w:p>
      <w:pPr>
        <w:pStyle w:val="ListRoman3"/>
        <w:numPr>
          <w:ilvl w:val="2"/>
          <w:numId w:val="12"/>
        </w:numPr>
        <w:ind w:hanging="0" w:start="0"/>
        <w:rPr>
          <w:b/>
          <w:i/>
          <w:i/>
        </w:rPr>
      </w:pPr>
      <w:r>
        <w:rPr>
          <w:b/>
          <w:i/>
        </w:rPr>
        <w:t>would your answers to any of the questions contained in Section 3A(a), (b), (c) or (d) change in any manner if the ownership, operation and administration of the Pooling Point are not done by one and the same entity.</w:t>
      </w:r>
    </w:p>
    <w:p>
      <w:pPr>
        <w:pStyle w:val="BodyText3"/>
        <w:rPr/>
      </w:pPr>
      <w:r>
        <w:rPr/>
        <w:t>The licensing requirements and associated obligations under the telecommunications regulatory regime apply to persons "running" a telecommunications system, irrespective of whether that person is the owner of such system.</w:t>
      </w:r>
    </w:p>
    <w:p>
      <w:pPr>
        <w:pStyle w:val="ListAlpha2"/>
        <w:numPr>
          <w:ilvl w:val="1"/>
          <w:numId w:val="15"/>
        </w:numPr>
        <w:ind w:hanging="0" w:start="0"/>
        <w:rPr>
          <w:b/>
          <w:i/>
          <w:i/>
        </w:rPr>
      </w:pPr>
      <w:r>
        <w:rPr>
          <w:b/>
          <w:i/>
        </w:rPr>
        <w:t>A switching facility such as a Pooling Point is a highly attractive and effective interception point for law enforcement agencies wishing to 'tap' into calls (wiretapping).</w:t>
      </w:r>
    </w:p>
    <w:p>
      <w:pPr>
        <w:pStyle w:val="ListRoman3"/>
        <w:numPr>
          <w:ilvl w:val="2"/>
          <w:numId w:val="32"/>
        </w:numPr>
        <w:ind w:hanging="0" w:start="0"/>
        <w:rPr>
          <w:b/>
          <w:i/>
          <w:i/>
        </w:rPr>
      </w:pPr>
      <w:r>
        <w:rPr>
          <w:b/>
          <w:i/>
        </w:rPr>
        <w:t>If a law enforcement agency in England and Wales was to make a properly constituted request to intercept telecommunications traffic at a Pooling Point, would the Pooling Point Developer be required under the laws of England and Wales to comply with such request?</w:t>
      </w:r>
    </w:p>
    <w:p>
      <w:pPr>
        <w:pStyle w:val="BodyText2"/>
        <w:ind w:start="1872" w:end="0"/>
        <w:rPr/>
      </w:pPr>
      <w:r>
        <w:rPr/>
        <w:t>A "properly constituted request" to intercept telecoms traffic at a Pooling Point would be made by means of a warrant issued by the Secretary of State.</w:t>
      </w:r>
      <w:r>
        <w:rPr>
          <w:rStyle w:val="FootnoteCharacters"/>
          <w:rStyle w:val="FootnoteReference"/>
        </w:rPr>
        <w:footnoteReference w:id="37"/>
      </w:r>
      <w:r>
        <w:rPr/>
        <w:t xml:space="preserve">  Such a warrant would require the person to whom it is addressed to intercept communications as specified and to pass the intercepted material to the law enforcement authorities specified in the warrant. </w:t>
      </w:r>
    </w:p>
    <w:p>
      <w:pPr>
        <w:pStyle w:val="BodyText2"/>
        <w:ind w:start="1872" w:end="0"/>
        <w:rPr/>
      </w:pPr>
      <w:r>
        <w:rPr/>
        <w:t>The Pooling Point Developer would only be subject to such a warrant if the Pooling Point Developer were transmitting communications by means of a public telecommunication system. Thus, this requires:</w:t>
      </w:r>
    </w:p>
    <w:p>
      <w:pPr>
        <w:pStyle w:val="bullet"/>
        <w:numPr>
          <w:ilvl w:val="0"/>
          <w:numId w:val="25"/>
        </w:numPr>
        <w:tabs>
          <w:tab w:val="clear" w:pos="624"/>
        </w:tabs>
        <w:ind w:hanging="396" w:start="2268" w:end="0"/>
        <w:rPr/>
      </w:pPr>
      <w:r>
        <w:rPr/>
        <w:t>the Pooling Point Developer to be involved in the transmission of communications; and</w:t>
      </w:r>
    </w:p>
    <w:p>
      <w:pPr>
        <w:pStyle w:val="bullet"/>
        <w:numPr>
          <w:ilvl w:val="0"/>
          <w:numId w:val="25"/>
        </w:numPr>
        <w:tabs>
          <w:tab w:val="clear" w:pos="624"/>
        </w:tabs>
        <w:ind w:hanging="396" w:start="2268" w:end="0"/>
        <w:rPr/>
      </w:pPr>
      <w:r>
        <w:rPr/>
        <w:t>such transmission to be over a public telecommunication system.</w:t>
      </w:r>
    </w:p>
    <w:p>
      <w:pPr>
        <w:pStyle w:val="BodyText2"/>
        <w:ind w:start="1872" w:end="0"/>
        <w:rPr/>
      </w:pPr>
      <w:r>
        <w:rPr/>
        <w:t>As the Pooling Point Developer would presumably be responsible for the provision of switching and interconnection facilities connecting telecommunications systems, it is arguable that it is involved in the transmission of communications.</w:t>
      </w:r>
    </w:p>
    <w:p>
      <w:pPr>
        <w:pStyle w:val="BodyText2"/>
        <w:ind w:start="1872" w:end="0"/>
        <w:rPr/>
      </w:pPr>
      <w:r>
        <w:rPr/>
        <w:t xml:space="preserve">A system is a "public telecommunication system" if (a) the running of it requires a licence, (b) that licence is subject to section 8 of the Telecommunications Act (i.e. it is an individual licence which has conditions </w:t>
      </w:r>
      <w:r>
        <w:rPr>
          <w:i/>
        </w:rPr>
        <w:t>requiring</w:t>
      </w:r>
      <w:r>
        <w:rPr/>
        <w:t xml:space="preserve"> the licensee to provide or permit to be provided specified services, connect specified equipment, not show undue preference or discrimination or to publish charging and other information), and (c) the system is designated a public telecommunication system by the Secretary of State for Trade and Industry.</w:t>
      </w:r>
      <w:r>
        <w:rPr>
          <w:rStyle w:val="FootnoteCharacters"/>
          <w:rStyle w:val="FootnoteReference"/>
        </w:rPr>
        <w:footnoteReference w:id="38"/>
      </w:r>
      <w:r>
        <w:rPr/>
        <w:t xml:space="preserve">  Whether the Pooling Point Developer would require such a licence, or would be involved in running a public telecommunication system is addressed in our response to Section 3(A)(a) and (b) above.</w:t>
      </w:r>
    </w:p>
    <w:p>
      <w:pPr>
        <w:pStyle w:val="BodyText2"/>
        <w:ind w:start="1872" w:end="0"/>
        <w:rPr/>
      </w:pPr>
      <w:r>
        <w:rPr/>
        <w:t>It should be noted that the current Government intends to alter the existing legislation with respect to interception of communications.  A Consultation Paper published in June 1999 indicates that legislation is to be proposed that will substantially alter the current situation.</w:t>
      </w:r>
      <w:r>
        <w:rPr>
          <w:rStyle w:val="FootnoteCharacters"/>
          <w:rStyle w:val="FootnoteReference"/>
        </w:rPr>
        <w:footnoteReference w:id="39"/>
      </w:r>
      <w:r>
        <w:rPr/>
        <w:t xml:space="preserve">  In particular, it is proposed that interception legislation is to encompass all communications in their transmission by telecommunications operators, not just those communications transmitted by means of public telecommunication systems.</w:t>
      </w:r>
    </w:p>
    <w:p>
      <w:pPr>
        <w:pStyle w:val="ListRoman3"/>
        <w:keepNext w:val="true"/>
        <w:numPr>
          <w:ilvl w:val="2"/>
          <w:numId w:val="12"/>
        </w:numPr>
        <w:ind w:hanging="0" w:start="0"/>
        <w:rPr>
          <w:b/>
          <w:i/>
          <w:i/>
        </w:rPr>
      </w:pPr>
      <w:r>
        <w:rPr>
          <w:b/>
          <w:i/>
        </w:rPr>
        <w:t>If the party to whom the request is made is required to allow the interception as requested by the law enforcement agencies, what is the penalty for non-compliance?</w:t>
      </w:r>
    </w:p>
    <w:p>
      <w:pPr>
        <w:pStyle w:val="BodyText2"/>
        <w:keepNext w:val="true"/>
        <w:ind w:start="1872" w:end="0"/>
        <w:rPr/>
      </w:pPr>
      <w:r>
        <w:rPr/>
        <w:t>The Interception of Communications Act 1985 does not specify the consequences for not complying with a warrant issued by the Secretary of State.  However, this may change, as the current Government intends to revise and expand the current legislative regime, as mentioned above.</w:t>
      </w:r>
    </w:p>
    <w:p>
      <w:pPr>
        <w:pStyle w:val="BodyText2"/>
        <w:ind w:start="1872" w:end="0"/>
        <w:rPr/>
      </w:pPr>
      <w:r>
        <w:rPr/>
        <w:t>Moreover, the Secretary of State may be able to obtain a court order requiring compliance with the warrant.  Non-compliance with such a court order may result in liability for civil contempt of court.  Sanctions available to a court include imprisonment for up to two years, sequestration of property, unlimited fines, and an injunction against the contemnor. Sanctions against a corporation for its contempt of court may be levied against its directors and other officers.</w:t>
      </w:r>
    </w:p>
    <w:p>
      <w:pPr>
        <w:pStyle w:val="ListAlpha2"/>
        <w:numPr>
          <w:ilvl w:val="1"/>
          <w:numId w:val="15"/>
        </w:numPr>
        <w:ind w:hanging="0" w:start="0"/>
        <w:rPr>
          <w:b/>
          <w:i/>
          <w:i/>
        </w:rPr>
      </w:pPr>
      <w:r>
        <w:rPr>
          <w:b/>
          <w:i/>
        </w:rPr>
        <w:t>Would any data protection laws in England and Wales apply to any data or other information flowing through the Pooling Point and, if so, how would such laws impact on the Pooling Point Developer?  Would the Pooling Point Developer be required to comply with such laws and, if so, how?</w:t>
      </w:r>
    </w:p>
    <w:p>
      <w:pPr>
        <w:pStyle w:val="Normal"/>
        <w:ind w:start="1417" w:end="0"/>
        <w:rPr/>
      </w:pPr>
      <w:r>
        <w:rPr/>
        <w:t xml:space="preserve">We understand that a Pooling Point is a type of telecommunications equipment that is owned, operated and/or administered by the Pooling Point Developer, which interconnects telecommunications networks etc. and also routes data and other information between such networks.  </w:t>
      </w:r>
    </w:p>
    <w:p>
      <w:pPr>
        <w:pStyle w:val="Normal"/>
        <w:ind w:start="1417" w:end="0"/>
        <w:rPr/>
      </w:pPr>
      <w:r>
        <w:rPr/>
        <w:t xml:space="preserve">As discussed earlier (see Section 1C(c) above), the application of data protection laws depends heavily upon the activities of the Pooling Point Developer.  If the Pooling Point Developer is merely acting under instructions of another party in respect of the "processing" of personal data flowing through the Pooling Point, then the Pooling Point Developer will not be subject to the DPA 1998, as it will merely be a data processor.  However, the parties giving the Pooling Point Developer instructions will be subject to the DPA 1998 as "data controllers" if they process personal data.  </w:t>
      </w:r>
    </w:p>
    <w:p>
      <w:pPr>
        <w:pStyle w:val="Normal"/>
        <w:ind w:start="1417" w:end="0"/>
        <w:rPr/>
      </w:pPr>
      <w:r>
        <w:rPr/>
        <w:t>The Pooling Point Developer may well be a data controller if it processes personal data under its own instructions.  We do not have sufficient information to advise whether the Pooling Point Developer would be a "data controller" for the purposes of the DPA 1998 (i.e. that it would control or determine the purposes for which and the manner in which personal data are processed).</w:t>
      </w:r>
    </w:p>
    <w:p>
      <w:pPr>
        <w:pStyle w:val="Normal"/>
        <w:ind w:start="1417" w:end="0"/>
        <w:rPr/>
      </w:pPr>
      <w:r>
        <w:rPr/>
        <w:t xml:space="preserve">The Telecoms (Data Protection and Privacy) Regulations 1999 will also apply to such data if the Pooling Point Developer is a telecommunications service provider providing publicly available telecommunications services.  It is not clear whether this would be the case.  This answer does not seek to describe those regulations in detail, except to reiterate that organisations providing publicly available telecoms services are required to take appropriate measures to safeguard the security of their services.  The security measures must be appropriate to the security risk involved. </w:t>
      </w:r>
    </w:p>
    <w:p>
      <w:pPr>
        <w:pStyle w:val="Normal"/>
        <w:ind w:start="1417" w:end="0"/>
        <w:rPr/>
      </w:pPr>
      <w:r>
        <w:rPr/>
        <w:t>Further rules set out in the Telecoms (Data Protection and Privacy) Regulations 1999 set out specific rules relating to traffic and billing data (as described in Section 1C above).  It is not clear whether the Pooling Point Developer would handle traffic and billing data.</w:t>
      </w:r>
    </w:p>
    <w:p>
      <w:pPr>
        <w:pStyle w:val="Normal"/>
        <w:ind w:start="1417" w:end="0"/>
        <w:rPr/>
      </w:pPr>
      <w:r>
        <w:rPr/>
        <w:t>If, in the alternative, the Pooling Point Developer did determine in any way the nature of the processing of personal data, then that Pooling Point Developer would be a "data controller" under the DPA 1998.  Data controllers are obliged:</w:t>
      </w:r>
    </w:p>
    <w:p>
      <w:pPr>
        <w:pStyle w:val="BodyText"/>
        <w:ind w:hanging="432" w:start="1872" w:end="0"/>
        <w:rPr/>
      </w:pPr>
      <w:r>
        <w:rPr>
          <w:rFonts w:eastAsia="Symbol" w:cs="Symbol" w:ascii="Symbol" w:hAnsi="Symbol"/>
        </w:rPr>
        <w:sym w:font="Symbol" w:char="f0b7"/>
      </w:r>
      <w:r>
        <w:rPr/>
        <w:tab/>
        <w:t>to comply with the data protection principles (discussed in Section 1A(c)(ii) above);</w:t>
      </w:r>
    </w:p>
    <w:p>
      <w:pPr>
        <w:pStyle w:val="BodyText"/>
        <w:ind w:hanging="720" w:start="1440" w:end="0"/>
        <w:rPr/>
      </w:pPr>
      <w:r>
        <w:rPr/>
        <w:tab/>
      </w:r>
      <w:r>
        <w:rPr>
          <w:rFonts w:eastAsia="Symbol" w:cs="Symbol" w:ascii="Symbol" w:hAnsi="Symbol"/>
        </w:rPr>
        <w:sym w:font="Symbol" w:char="f0b7"/>
      </w:r>
      <w:r>
        <w:rPr/>
        <w:tab/>
        <w:t>to observe data subject rights; and</w:t>
      </w:r>
    </w:p>
    <w:p>
      <w:pPr>
        <w:pStyle w:val="Normal"/>
        <w:numPr>
          <w:ilvl w:val="0"/>
          <w:numId w:val="22"/>
        </w:numPr>
        <w:tabs>
          <w:tab w:val="clear" w:pos="624"/>
        </w:tabs>
        <w:ind w:hanging="403" w:start="1843" w:end="0"/>
        <w:rPr/>
      </w:pPr>
      <w:r>
        <w:rPr/>
        <w:t>to notify their processing of personal data with the Data Protection Commissioner.</w:t>
      </w:r>
    </w:p>
    <w:p>
      <w:pPr>
        <w:pStyle w:val="BodyText2"/>
        <w:rPr/>
      </w:pPr>
      <w:r>
        <w:rPr/>
        <w:t>As discussed in Section 1A above, the data protection principles of particular significance in this area are the first, seventh and eighth principles, dealing with fair processing, security measures, and transfers outside the EEA, respectively.</w:t>
      </w:r>
    </w:p>
    <w:p>
      <w:pPr>
        <w:pStyle w:val="ListAlpha2"/>
        <w:numPr>
          <w:ilvl w:val="1"/>
          <w:numId w:val="15"/>
        </w:numPr>
        <w:ind w:hanging="0" w:start="0"/>
        <w:rPr>
          <w:b/>
          <w:i/>
          <w:i/>
        </w:rPr>
      </w:pPr>
      <w:r>
        <w:rPr>
          <w:b/>
          <w:i/>
        </w:rPr>
        <w:t>Would the Pooling Point Developer need to be incorporated in, or have a branch in, or otherwise be established or have a presence in England and Wales order to establish and/or own and/or operate and/or administer the Pooling Point in England or Wales?  If so, please specify that type of entity(ies) the Pooling Point Developer would be required to establish in England and Wales.</w:t>
      </w:r>
    </w:p>
    <w:p>
      <w:pPr>
        <w:pStyle w:val="BodyText2"/>
        <w:rPr/>
      </w:pPr>
      <w:r>
        <w:rPr/>
        <w:t>From a telecommunications regulatory perspective, there is no requirement for the Pooling Point Developer to be incorporated  or otherwise located in England or Wales.  However, if the Pooling Point Developer requires an individual licence (see above), local incorporation may facilitate the licensing process.</w:t>
      </w:r>
    </w:p>
    <w:p>
      <w:pPr>
        <w:pStyle w:val="Normal"/>
        <w:ind w:start="1417" w:end="0"/>
        <w:rPr/>
      </w:pPr>
      <w:r>
        <w:rPr/>
        <w:t>From a data protection point of view, the DPA 1998 will only apply if:</w:t>
      </w:r>
    </w:p>
    <w:p>
      <w:pPr>
        <w:pStyle w:val="bullet"/>
        <w:numPr>
          <w:ilvl w:val="0"/>
          <w:numId w:val="25"/>
        </w:numPr>
        <w:tabs>
          <w:tab w:val="clear" w:pos="624"/>
        </w:tabs>
        <w:ind w:hanging="426" w:start="1843" w:end="0"/>
        <w:rPr/>
      </w:pPr>
      <w:r>
        <w:rPr/>
        <w:t>a data controller is established in the UK and the data are processed in the context of that establishment;</w:t>
      </w:r>
      <w:r>
        <w:rPr>
          <w:rStyle w:val="FootnoteCharacters"/>
          <w:rStyle w:val="FootnoteReference"/>
        </w:rPr>
        <w:footnoteReference w:id="40"/>
      </w:r>
      <w:r>
        <w:rPr/>
        <w:t xml:space="preserve"> or</w:t>
      </w:r>
    </w:p>
    <w:p>
      <w:pPr>
        <w:pStyle w:val="bullet"/>
        <w:numPr>
          <w:ilvl w:val="0"/>
          <w:numId w:val="25"/>
        </w:numPr>
        <w:tabs>
          <w:tab w:val="clear" w:pos="624"/>
        </w:tabs>
        <w:ind w:hanging="426" w:start="1843" w:end="0"/>
        <w:rPr/>
      </w:pPr>
      <w:r>
        <w:rPr/>
        <w:t>a data controller is established outside the EEA but uses equipment in the UK to process personal data (other than merely for the purposes of transit) under its own instructions.</w:t>
      </w:r>
    </w:p>
    <w:p>
      <w:pPr>
        <w:pStyle w:val="Normal"/>
        <w:ind w:start="1417" w:end="0"/>
        <w:rPr/>
      </w:pPr>
      <w:r>
        <w:rPr/>
        <w:t>A data controller can be any legal person.</w:t>
      </w:r>
    </w:p>
    <w:p>
      <w:pPr>
        <w:pStyle w:val="Normal"/>
        <w:ind w:start="1417" w:end="0"/>
        <w:rPr/>
      </w:pPr>
      <w:r>
        <w:rPr/>
        <w:t xml:space="preserve">If the Pooling Point Developer is established outside the UK but is subject to the DPA 1998, then it will need to nominate a representative (any legal person) in the UK to make a notification under the DPA 1998.  However, this would not be the case if the equipment is used merely for the transit of that personal data through the United Kingdom. </w:t>
      </w:r>
    </w:p>
    <w:p>
      <w:pPr>
        <w:pStyle w:val="Normal"/>
        <w:ind w:start="1417" w:end="0"/>
        <w:rPr/>
      </w:pPr>
      <w:r>
        <w:rPr/>
        <w:t>If the Pooling Point Developer is not a data controller, but merely a data processor, then it does not need to have a representative entity in the UK.  As discussed above, we do not have sufficient information to determine whether the Pooling Point Developer would be a data controller under the DPA 1998.</w:t>
      </w:r>
    </w:p>
    <w:p>
      <w:pPr>
        <w:pStyle w:val="ListAlpha2"/>
        <w:numPr>
          <w:ilvl w:val="1"/>
          <w:numId w:val="15"/>
        </w:numPr>
        <w:ind w:hanging="0" w:start="0"/>
        <w:rPr>
          <w:b/>
          <w:i/>
          <w:i/>
        </w:rPr>
      </w:pPr>
      <w:r>
        <w:rPr>
          <w:b/>
          <w:i/>
        </w:rPr>
        <w:t>In the event that the Pooling Point Developer did establish a type of entity(ies) in England or Wales (either voluntarily or pursuant to any requirement as you may mention in your answer to Section 3A(g)), in that regard would any of your answers to the questions set out in this Section 3A(a) to (f), inclusive, above change in any respect and, if so, how?</w:t>
      </w:r>
    </w:p>
    <w:p>
      <w:pPr>
        <w:pStyle w:val="BodyText2"/>
        <w:rPr/>
      </w:pPr>
      <w:r>
        <w:rPr/>
        <w:t>If the Pooling Point Developer established an entity in England and Wales, this would not affect the answers given in Section 3A(a) to (f).</w:t>
      </w:r>
    </w:p>
    <w:p>
      <w:pPr>
        <w:pStyle w:val="Heading2"/>
        <w:ind w:hanging="0" w:start="0"/>
        <w:rPr/>
      </w:pPr>
      <w:bookmarkStart w:id="29" w:name="__RefHeading___Toc469131298"/>
      <w:bookmarkEnd w:id="29"/>
      <w:r>
        <w:rPr/>
        <w:t>Section 3B:  Connection of a Telecommunications Network to the Pooling Point</w:t>
      </w:r>
    </w:p>
    <w:p>
      <w:pPr>
        <w:pStyle w:val="BodyText"/>
        <w:rPr/>
      </w:pPr>
      <w:r>
        <w:rPr/>
        <w:t>ECI have advised that a Pooling Point would physically have connected to it various telecommunication networks, equipment, facilities or circuits (each a "</w:t>
      </w:r>
      <w:r>
        <w:rPr>
          <w:b/>
        </w:rPr>
        <w:t>Network</w:t>
      </w:r>
      <w:r>
        <w:rPr/>
        <w:t>"), each owned, leased or operated by various third parties (each such third party termed herein a "</w:t>
      </w:r>
      <w:r>
        <w:rPr>
          <w:b/>
        </w:rPr>
        <w:t>Network Operator</w:t>
      </w:r>
      <w:r>
        <w:rPr/>
        <w:t>").  ECI have asked that we make each of the following assumptions for the purposes of Section 3(B)(a) to (f):</w:t>
      </w:r>
    </w:p>
    <w:p>
      <w:pPr>
        <w:pStyle w:val="BodyText"/>
        <w:numPr>
          <w:ilvl w:val="0"/>
          <w:numId w:val="16"/>
        </w:numPr>
        <w:tabs>
          <w:tab w:val="clear" w:pos="624"/>
          <w:tab w:val="left" w:pos="1344" w:leader="none"/>
        </w:tabs>
        <w:ind w:hanging="720" w:start="1344" w:end="0"/>
        <w:rPr/>
      </w:pPr>
      <w:r>
        <w:rPr/>
        <w:t>the Network Operator is neither incorporated in, nor has a branch or other establishment or presence in England or Wales; and</w:t>
      </w:r>
    </w:p>
    <w:p>
      <w:pPr>
        <w:pStyle w:val="BodyText"/>
        <w:numPr>
          <w:ilvl w:val="0"/>
          <w:numId w:val="16"/>
        </w:numPr>
        <w:tabs>
          <w:tab w:val="clear" w:pos="624"/>
          <w:tab w:val="left" w:pos="1344" w:leader="none"/>
        </w:tabs>
        <w:ind w:hanging="720" w:start="1344" w:end="0"/>
        <w:rPr/>
      </w:pPr>
      <w:r>
        <w:rPr/>
        <w:t>the Network Operator is incorporated in, or has a branch or other establishment in England or Wales; and</w:t>
      </w:r>
    </w:p>
    <w:p>
      <w:pPr>
        <w:pStyle w:val="BodyText"/>
        <w:numPr>
          <w:ilvl w:val="0"/>
          <w:numId w:val="16"/>
        </w:numPr>
        <w:tabs>
          <w:tab w:val="clear" w:pos="624"/>
          <w:tab w:val="left" w:pos="1344" w:leader="none"/>
        </w:tabs>
        <w:ind w:hanging="720" w:start="1344" w:end="0"/>
        <w:rPr/>
      </w:pPr>
      <w:r>
        <w:rPr/>
        <w:t>that the Pooling Point is located at a particular address in a city or town in England or Wales.</w:t>
      </w:r>
    </w:p>
    <w:p>
      <w:pPr>
        <w:pStyle w:val="BodyText"/>
        <w:ind w:hanging="615" w:start="1239" w:end="0"/>
        <w:rPr/>
      </w:pPr>
      <w:r>
        <w:rPr/>
        <w:t>(a)(i)</w:t>
        <w:tab/>
      </w:r>
      <w:r>
        <w:rPr>
          <w:b/>
          <w:i/>
        </w:rPr>
        <w:t>How would the connection of a Network to a Pooling Point in England or Wales fall to be examined or categorised under the telecoms regulatory regime in England and Wales?</w:t>
      </w:r>
    </w:p>
    <w:p>
      <w:pPr>
        <w:pStyle w:val="Normal"/>
        <w:ind w:start="1239" w:end="0"/>
        <w:rPr/>
      </w:pPr>
      <w:r>
        <w:rPr/>
        <w:t>Assuming that the Pooling Point constitutes a "telecommunications system", the person running that system in the UK must do so pursuant to a telecommunications licence.  Under Section 5(2) of the Telecommunications Act, it is an offence to connect a telecommunications system or telecommunications equipment to such system that is not authorised by the terms of such licence.</w:t>
      </w:r>
    </w:p>
    <w:p>
      <w:pPr>
        <w:pStyle w:val="Normal"/>
        <w:ind w:start="1239" w:end="0"/>
        <w:rPr/>
      </w:pPr>
      <w:r>
        <w:rPr/>
        <w:t>What is permitted to be connected will depend on the type of telecommunications licence held.  The new standard individual PTO Licence authorises connection to the licensed systems of:</w:t>
      </w:r>
    </w:p>
    <w:p>
      <w:pPr>
        <w:pStyle w:val="Normal"/>
        <w:numPr>
          <w:ilvl w:val="0"/>
          <w:numId w:val="33"/>
        </w:numPr>
        <w:tabs>
          <w:tab w:val="clear" w:pos="624"/>
          <w:tab w:val="left" w:pos="1959" w:leader="none"/>
        </w:tabs>
        <w:ind w:hanging="720" w:start="1959" w:end="0"/>
        <w:rPr/>
      </w:pPr>
      <w:r>
        <w:rPr/>
        <w:t>any telecommunications system run under a (UK) telecommunications licence;</w:t>
      </w:r>
    </w:p>
    <w:p>
      <w:pPr>
        <w:pStyle w:val="Normal"/>
        <w:numPr>
          <w:ilvl w:val="0"/>
          <w:numId w:val="16"/>
        </w:numPr>
        <w:tabs>
          <w:tab w:val="clear" w:pos="624"/>
          <w:tab w:val="left" w:pos="1959" w:leader="none"/>
        </w:tabs>
        <w:ind w:hanging="720" w:start="1959" w:end="0"/>
        <w:rPr/>
      </w:pPr>
      <w:r>
        <w:rPr/>
        <w:t>any telecommunications system outside the UK (unless notified to the licensee by the Secretary of State);</w:t>
      </w:r>
    </w:p>
    <w:p>
      <w:pPr>
        <w:pStyle w:val="Normal"/>
        <w:numPr>
          <w:ilvl w:val="0"/>
          <w:numId w:val="16"/>
        </w:numPr>
        <w:tabs>
          <w:tab w:val="clear" w:pos="624"/>
          <w:tab w:val="left" w:pos="1959" w:leader="none"/>
        </w:tabs>
        <w:ind w:hanging="720" w:start="1959" w:end="0"/>
        <w:rPr/>
      </w:pPr>
      <w:r>
        <w:rPr/>
        <w:t>certain earth orbiting apparatus;</w:t>
      </w:r>
    </w:p>
    <w:p>
      <w:pPr>
        <w:pStyle w:val="Normal"/>
        <w:numPr>
          <w:ilvl w:val="0"/>
          <w:numId w:val="16"/>
        </w:numPr>
        <w:tabs>
          <w:tab w:val="clear" w:pos="624"/>
          <w:tab w:val="left" w:pos="1959" w:leader="none"/>
        </w:tabs>
        <w:ind w:hanging="720" w:start="1959" w:end="0"/>
        <w:rPr/>
      </w:pPr>
      <w:r>
        <w:rPr/>
        <w:t>any telecommunications system run by the Crown;</w:t>
      </w:r>
    </w:p>
    <w:p>
      <w:pPr>
        <w:pStyle w:val="Normal"/>
        <w:numPr>
          <w:ilvl w:val="0"/>
          <w:numId w:val="16"/>
        </w:numPr>
        <w:tabs>
          <w:tab w:val="clear" w:pos="624"/>
          <w:tab w:val="left" w:pos="1959" w:leader="none"/>
        </w:tabs>
        <w:ind w:hanging="720" w:start="1959" w:end="0"/>
        <w:rPr/>
      </w:pPr>
      <w:r>
        <w:rPr/>
        <w:t>any telecommunications apparatus comprised in one of the above telecommunications systems;</w:t>
      </w:r>
    </w:p>
    <w:p>
      <w:pPr>
        <w:pStyle w:val="Normal"/>
        <w:numPr>
          <w:ilvl w:val="0"/>
          <w:numId w:val="16"/>
        </w:numPr>
        <w:tabs>
          <w:tab w:val="clear" w:pos="624"/>
          <w:tab w:val="left" w:pos="1959" w:leader="none"/>
        </w:tabs>
        <w:ind w:hanging="720" w:start="1959" w:end="0"/>
        <w:rPr/>
      </w:pPr>
      <w:r>
        <w:rPr/>
        <w:t>any other telecommunications apparatus which is "Compliant Terminal Equipment" under the UK telecommunications regulatory regime or approved for connection under Section 22 of the Telecommunications Act; and</w:t>
      </w:r>
    </w:p>
    <w:p>
      <w:pPr>
        <w:pStyle w:val="Normal"/>
        <w:numPr>
          <w:ilvl w:val="0"/>
          <w:numId w:val="16"/>
        </w:numPr>
        <w:tabs>
          <w:tab w:val="clear" w:pos="624"/>
          <w:tab w:val="left" w:pos="1959" w:leader="none"/>
        </w:tabs>
        <w:ind w:hanging="720" w:start="1959" w:end="0"/>
        <w:rPr/>
      </w:pPr>
      <w:r>
        <w:rPr/>
        <w:t>any hearing aid.</w:t>
      </w:r>
    </w:p>
    <w:p>
      <w:pPr>
        <w:pStyle w:val="Normal"/>
        <w:ind w:start="1239" w:end="0"/>
        <w:rPr/>
      </w:pPr>
      <w:r>
        <w:rPr/>
        <w:t>If the relevant licence is a TSL class licence, such licence would only authorise connection of the following:</w:t>
      </w:r>
    </w:p>
    <w:p>
      <w:pPr>
        <w:pStyle w:val="Normal"/>
        <w:numPr>
          <w:ilvl w:val="0"/>
          <w:numId w:val="34"/>
        </w:numPr>
        <w:tabs>
          <w:tab w:val="clear" w:pos="624"/>
          <w:tab w:val="left" w:pos="1959" w:leader="none"/>
        </w:tabs>
        <w:ind w:hanging="720" w:start="1959" w:end="0"/>
        <w:rPr/>
      </w:pPr>
      <w:r>
        <w:rPr/>
        <w:t>any public telecommunications system;</w:t>
      </w:r>
    </w:p>
    <w:p>
      <w:pPr>
        <w:pStyle w:val="Normal"/>
        <w:numPr>
          <w:ilvl w:val="0"/>
          <w:numId w:val="16"/>
        </w:numPr>
        <w:tabs>
          <w:tab w:val="clear" w:pos="624"/>
          <w:tab w:val="left" w:pos="1959" w:leader="none"/>
        </w:tabs>
        <w:ind w:hanging="720" w:start="1959" w:end="0"/>
        <w:rPr/>
      </w:pPr>
      <w:r>
        <w:rPr/>
        <w:t>any licensed telecommunications system situated on the same premises or in the same building as the relevant system;</w:t>
      </w:r>
    </w:p>
    <w:p>
      <w:pPr>
        <w:pStyle w:val="Normal"/>
        <w:numPr>
          <w:ilvl w:val="0"/>
          <w:numId w:val="16"/>
        </w:numPr>
        <w:tabs>
          <w:tab w:val="clear" w:pos="624"/>
          <w:tab w:val="left" w:pos="1959" w:leader="none"/>
        </w:tabs>
        <w:ind w:hanging="720" w:start="1959" w:end="0"/>
        <w:rPr/>
      </w:pPr>
      <w:r>
        <w:rPr/>
        <w:t>licensed telecommunications systems specified by the Secretary of State;</w:t>
      </w:r>
    </w:p>
    <w:p>
      <w:pPr>
        <w:pStyle w:val="Normal"/>
        <w:numPr>
          <w:ilvl w:val="0"/>
          <w:numId w:val="16"/>
        </w:numPr>
        <w:tabs>
          <w:tab w:val="clear" w:pos="624"/>
          <w:tab w:val="left" w:pos="1959" w:leader="none"/>
        </w:tabs>
        <w:ind w:hanging="720" w:start="1959" w:end="0"/>
        <w:rPr/>
      </w:pPr>
      <w:r>
        <w:rPr/>
        <w:t>any telecommunications system run by the Crown;</w:t>
      </w:r>
    </w:p>
    <w:p>
      <w:pPr>
        <w:pStyle w:val="Normal"/>
        <w:numPr>
          <w:ilvl w:val="0"/>
          <w:numId w:val="16"/>
        </w:numPr>
        <w:tabs>
          <w:tab w:val="clear" w:pos="624"/>
          <w:tab w:val="left" w:pos="1959" w:leader="none"/>
        </w:tabs>
        <w:ind w:hanging="720" w:start="1959" w:end="0"/>
        <w:rPr/>
      </w:pPr>
      <w:r>
        <w:rPr/>
        <w:t>any telecommunications system whose licence authorises connection to the system;</w:t>
      </w:r>
    </w:p>
    <w:p>
      <w:pPr>
        <w:pStyle w:val="Normal"/>
        <w:numPr>
          <w:ilvl w:val="0"/>
          <w:numId w:val="16"/>
        </w:numPr>
        <w:tabs>
          <w:tab w:val="clear" w:pos="624"/>
          <w:tab w:val="left" w:pos="1959" w:leader="none"/>
        </w:tabs>
        <w:ind w:hanging="720" w:start="1959" w:end="0"/>
        <w:rPr/>
      </w:pPr>
      <w:r>
        <w:rPr/>
        <w:t>certain (very limited) offshore systems;</w:t>
      </w:r>
    </w:p>
    <w:p>
      <w:pPr>
        <w:pStyle w:val="Normal"/>
        <w:numPr>
          <w:ilvl w:val="0"/>
          <w:numId w:val="16"/>
        </w:numPr>
        <w:tabs>
          <w:tab w:val="clear" w:pos="624"/>
          <w:tab w:val="left" w:pos="1959" w:leader="none"/>
        </w:tabs>
        <w:ind w:hanging="720" w:start="1959" w:end="0"/>
        <w:rPr/>
      </w:pPr>
      <w:r>
        <w:rPr/>
        <w:t>any telecommunications apparatus comprised in the above telecommunications systems;</w:t>
      </w:r>
    </w:p>
    <w:p>
      <w:pPr>
        <w:pStyle w:val="Normal"/>
        <w:numPr>
          <w:ilvl w:val="0"/>
          <w:numId w:val="16"/>
        </w:numPr>
        <w:tabs>
          <w:tab w:val="clear" w:pos="624"/>
          <w:tab w:val="left" w:pos="1959" w:leader="none"/>
        </w:tabs>
        <w:ind w:hanging="720" w:start="1959" w:end="0"/>
        <w:rPr/>
      </w:pPr>
      <w:r>
        <w:rPr/>
        <w:t>any other telecommunications apparatus which is Compliant Terminal Equipment or approved for connection under Section 22 of the Telecommunications Act; and</w:t>
      </w:r>
    </w:p>
    <w:p>
      <w:pPr>
        <w:pStyle w:val="Normal"/>
        <w:numPr>
          <w:ilvl w:val="0"/>
          <w:numId w:val="16"/>
        </w:numPr>
        <w:tabs>
          <w:tab w:val="clear" w:pos="624"/>
          <w:tab w:val="left" w:pos="1959" w:leader="none"/>
        </w:tabs>
        <w:ind w:hanging="720" w:start="1959" w:end="0"/>
        <w:rPr/>
      </w:pPr>
      <w:r>
        <w:rPr/>
        <w:t>any hearing aid.</w:t>
      </w:r>
    </w:p>
    <w:p>
      <w:pPr>
        <w:pStyle w:val="BodyText"/>
        <w:ind w:hanging="652" w:start="1276" w:end="0"/>
        <w:rPr/>
      </w:pPr>
      <w:r>
        <w:rPr>
          <w:rFonts w:eastAsia="CG Times"/>
        </w:rPr>
        <w:t xml:space="preserve">          </w:t>
      </w:r>
      <w:r>
        <w:rPr/>
        <w:t>We note also that the connection of the Pooling Point to a Network is likely to constitute "interconnection" from a telecommunications regulatory perspective (which is defined broadly as the physical and logical linking of telecommunications networks to allow communication between users of, and access to services provided across, different networks).  If the person running the Pooling Point is a "public operator" (i.e. licensed to run a public telecommunications system and/or to provide publicly available telecommunications services), that person's licence would include an obligation to negotiate interconnection when requested by another public operator.</w:t>
      </w:r>
    </w:p>
    <w:p>
      <w:pPr>
        <w:pStyle w:val="BodyText"/>
        <w:ind w:hanging="615" w:start="1239" w:end="0"/>
        <w:rPr/>
      </w:pPr>
      <w:r>
        <w:rPr/>
        <w:t>(a)(ii)</w:t>
      </w:r>
      <w:r>
        <w:rPr>
          <w:b/>
          <w:i/>
        </w:rPr>
        <w:tab/>
        <w:t>What forms of telecommunications licences would be required, if any, and how would these be obtained, in respect of the connection of a Network by a Network Operator to a Pooling Point in England or Wales and would these need to be obtained by either the Network Operator concerned and/or the Pooling Point Developer?</w:t>
      </w:r>
    </w:p>
    <w:p>
      <w:pPr>
        <w:pStyle w:val="Normal"/>
        <w:ind w:hanging="1248" w:start="1248" w:end="0"/>
        <w:rPr/>
      </w:pPr>
      <w:r>
        <w:rPr/>
        <w:tab/>
        <w:t xml:space="preserve">No licence in addition to that required for "running" the Pooling Point is necessary, as those telecommunications licences themselves authorise the connection of telecommunications systems.  </w:t>
      </w:r>
    </w:p>
    <w:p>
      <w:pPr>
        <w:pStyle w:val="Normal"/>
        <w:ind w:firstLine="28" w:start="1248" w:end="0"/>
        <w:rPr/>
      </w:pPr>
      <w:r>
        <w:rPr/>
        <w:t>However, we note that the relevant licensee is only permitted to connect its system to the telecommunications systems and apparatus specified in its licence.  We list in Section 3B(a)(i) above the authorised systems and apparatus permitted if the licensee runs its system under an individual PTO Licence or a TSL class licence.</w:t>
      </w:r>
    </w:p>
    <w:p>
      <w:pPr>
        <w:pStyle w:val="BodyText"/>
        <w:keepNext w:val="true"/>
        <w:ind w:hanging="612" w:start="1236" w:end="0"/>
        <w:rPr/>
      </w:pPr>
      <w:r>
        <w:rPr/>
        <w:t>(a)(iii)</w:t>
      </w:r>
      <w:r>
        <w:rPr>
          <w:b/>
          <w:i/>
        </w:rPr>
        <w:tab/>
        <w:t>Which type of licence would be applicable, if any, e.g. individual licence, class licence or exemption?</w:t>
      </w:r>
    </w:p>
    <w:p>
      <w:pPr>
        <w:pStyle w:val="BodyText"/>
        <w:keepNext w:val="true"/>
        <w:ind w:hanging="612" w:start="1236" w:end="0"/>
        <w:rPr/>
      </w:pPr>
      <w:r>
        <w:rPr>
          <w:b/>
          <w:i/>
        </w:rPr>
        <w:tab/>
      </w:r>
      <w:r>
        <w:rPr/>
        <w:t>See response to paragraph (a)(ii) above: the type of licence required to run the underlying telecommunications system will depend on the nature and extent of that system and the services that are to be provided across such system.  Thus, the licence could be an individual licence or a class licence, depending on the relevant telecommunications system being licensed.</w:t>
      </w:r>
    </w:p>
    <w:p>
      <w:pPr>
        <w:pStyle w:val="BodyText"/>
        <w:ind w:hanging="615" w:start="1239" w:end="0"/>
        <w:rPr/>
      </w:pPr>
      <w:r>
        <w:rPr/>
        <w:t>(b)</w:t>
      </w:r>
      <w:r>
        <w:rPr>
          <w:b/>
          <w:i/>
        </w:rPr>
        <w:tab/>
        <w:t>Which other elements of the telecoms regulatory regime in England and Wales would affect the connection of a Network by a Network Operator to a Pooling Point in England or Wales?</w:t>
      </w:r>
    </w:p>
    <w:p>
      <w:pPr>
        <w:pStyle w:val="BodyText"/>
        <w:ind w:hanging="37" w:start="1276" w:end="0"/>
        <w:rPr/>
      </w:pPr>
      <w:r>
        <w:rPr/>
        <w:t>As discussed in paragraph (a)(i) above, the connection of the Pooling Point to a Network is likely to constitute "interconnection" from a telecommunications regulatory perspective.  However, this is unlikely to affect the connection of the Network to the Pooling Point unless either the person running the Pooling Point or the Network Operator is a "public operator" and/or has significant market power (in which case certain additional rights and obligations may apply under their telecommunications licence).</w:t>
      </w:r>
    </w:p>
    <w:p>
      <w:pPr>
        <w:pStyle w:val="BodyText"/>
        <w:ind w:hanging="615" w:start="1239" w:end="0"/>
        <w:rPr/>
      </w:pPr>
      <w:r>
        <w:rPr/>
        <w:t>(c)(i)</w:t>
      </w:r>
      <w:r>
        <w:rPr>
          <w:b/>
          <w:i/>
        </w:rPr>
        <w:tab/>
        <w:t>If different licences are necessary for those who operate Networks as opposed to those who merely provide services over those Networks in England or Wales, into which such category or categories would a Network Operator  and/or Pooling Point Developer fall in respect of the connection of a Network to a Pooling Point?</w:t>
      </w:r>
    </w:p>
    <w:p>
      <w:pPr>
        <w:pStyle w:val="BodyText"/>
        <w:ind w:hanging="615" w:start="1239" w:end="0"/>
        <w:rPr/>
      </w:pPr>
      <w:r>
        <w:rPr>
          <w:b/>
          <w:i/>
        </w:rPr>
        <w:tab/>
      </w:r>
      <w:r>
        <w:rPr/>
        <w:t xml:space="preserve">The licensing requirements under the Telecommunications Act apply only to persons "running" a telecommunications system.  Persons who are mere system-less service providers do not require a telecommunications licence.  </w:t>
      </w:r>
    </w:p>
    <w:p>
      <w:pPr>
        <w:pStyle w:val="BodyText"/>
        <w:ind w:start="1239" w:end="0"/>
        <w:rPr/>
      </w:pPr>
      <w:r>
        <w:rPr/>
        <w:t>Both the Network Operator and the Pooling Point Developer would require a telecommunications licence if they "run" a "telecommunications system" (see the discussion in Section 1A(a) above).</w:t>
      </w:r>
    </w:p>
    <w:p>
      <w:pPr>
        <w:pStyle w:val="BodyText"/>
        <w:ind w:hanging="615" w:start="1239" w:end="0"/>
        <w:rPr/>
      </w:pPr>
      <w:r>
        <w:rPr/>
        <w:t>(c)(ii)</w:t>
      </w:r>
      <w:r>
        <w:rPr>
          <w:b/>
          <w:i/>
        </w:rPr>
        <w:tab/>
        <w:t>Is the above position in Section 3B(c)(i) altered, and if so how, if the ownership of the Network and the operation of it are not done by one and the same entity?</w:t>
      </w:r>
    </w:p>
    <w:p>
      <w:pPr>
        <w:pStyle w:val="BodyText"/>
        <w:ind w:hanging="615" w:start="1239" w:end="0"/>
        <w:rPr/>
      </w:pPr>
      <w:r>
        <w:rPr>
          <w:b/>
          <w:i/>
        </w:rPr>
        <w:tab/>
      </w:r>
      <w:r>
        <w:rPr/>
        <w:t>The position set out in Section 3B(c)(i) would not be altered if ownership and operation of the network is done by a different entity:  licensing requirements apply only to persons who "run" telecommunications systems, whether or not they own such systems.</w:t>
      </w:r>
    </w:p>
    <w:p>
      <w:pPr>
        <w:pStyle w:val="BodyText"/>
        <w:ind w:hanging="615" w:start="1239" w:end="0"/>
        <w:rPr/>
      </w:pPr>
      <w:r>
        <w:rPr/>
        <w:t>(d)</w:t>
      </w:r>
      <w:r>
        <w:rPr>
          <w:b/>
          <w:i/>
        </w:rPr>
        <w:tab/>
        <w:t>Would any other form of licences, permits, consents or other governmental approvals be required in England and Wales in order for a Network Operator to establish and/or own and/or operate a Network in England and Wales?  If so, please describe.</w:t>
      </w:r>
    </w:p>
    <w:p>
      <w:pPr>
        <w:pStyle w:val="BodyText"/>
        <w:ind w:hanging="615" w:start="1239" w:end="0"/>
        <w:rPr/>
      </w:pPr>
      <w:r>
        <w:rPr>
          <w:b/>
          <w:i/>
        </w:rPr>
        <w:tab/>
      </w:r>
      <w:r>
        <w:rPr/>
        <w:t xml:space="preserve">As discussed in Section 1A(a) above, if the Network Operator runs a telecommunications system in the UK, it will require a telecommunications licence (either class or individual) to do so.  </w:t>
      </w:r>
    </w:p>
    <w:p>
      <w:pPr>
        <w:pStyle w:val="BodyText"/>
        <w:ind w:start="1239" w:end="0"/>
        <w:rPr/>
      </w:pPr>
      <w:r>
        <w:rPr/>
        <w:t>In addition, depending on the type of network established and the extent to which the Network Operator wishes to install its own infrastructure, the Network Operator may require an authorisation from the Radiocommunications Agency in order to use radio frequencies, and may require planning or local authority consents in order to access and enter private and public land to install and maintain its telecommunications equipment.</w:t>
      </w:r>
    </w:p>
    <w:p>
      <w:pPr>
        <w:pStyle w:val="BodyText"/>
        <w:ind w:hanging="615" w:start="1239" w:end="0"/>
        <w:rPr/>
      </w:pPr>
      <w:r>
        <w:rPr/>
        <w:t>(e)</w:t>
      </w:r>
      <w:r>
        <w:rPr>
          <w:b/>
          <w:i/>
        </w:rPr>
        <w:tab/>
        <w:t>Would any other form of licences, permits, consents or other governmental approvals be required in England and Wales in order for a Network Operator to connect a Network owned or operated by it to a Pooling Point located in England or Wales?  If so, please describe.</w:t>
      </w:r>
    </w:p>
    <w:p>
      <w:pPr>
        <w:pStyle w:val="BodyText"/>
        <w:ind w:hanging="615" w:start="1239" w:end="0"/>
        <w:rPr/>
      </w:pPr>
      <w:r>
        <w:rPr>
          <w:b/>
          <w:i/>
        </w:rPr>
        <w:tab/>
      </w:r>
      <w:r>
        <w:rPr/>
        <w:t>If the Network Operator is running a telecommunications system (as discussed in Section 1A(a) above), it will require a telecommunications licence to do so.  This licence would authorise the types of telecommunications systems and apparatus that may be connected to the Network Operator's system.  These will in turn depend on the type of licence held by the Network Operator.</w:t>
      </w:r>
    </w:p>
    <w:p>
      <w:pPr>
        <w:pStyle w:val="BodyText"/>
        <w:ind w:start="1239" w:end="0"/>
        <w:rPr/>
      </w:pPr>
      <w:r>
        <w:rPr/>
        <w:t>Broadly speaking, if the Pooling Point is licensed as a telecommunications system in the UK or constitutes "compliant" telecommunications equipment under the UK telecommunications equipment approvals regime, then most telecommunications licences would permit the licensed system to be connected to the Pooling Point.  However, we would recommend that the Pooling Point Developer ensures that each Network Operator holds all necessary licences, permits and consents before it permits connection of the Network to the Pooling Point.</w:t>
      </w:r>
    </w:p>
    <w:p>
      <w:pPr>
        <w:pStyle w:val="BodyText"/>
        <w:ind w:hanging="615" w:start="1239" w:end="0"/>
        <w:rPr/>
      </w:pPr>
      <w:r>
        <w:rPr/>
        <w:t>(f)</w:t>
      </w:r>
      <w:r>
        <w:rPr>
          <w:b/>
          <w:i/>
        </w:rPr>
        <w:tab/>
        <w:t>For each of the respective situations set out in questions (a) to (e) of this Section 3(B), would a Network Operator and/or a Pooling Point Developer be subject to the rules and regulations of any regulatory body in England and Wales?  If so, please describe.</w:t>
      </w:r>
    </w:p>
    <w:p>
      <w:pPr>
        <w:pStyle w:val="BodyText"/>
        <w:ind w:hanging="615" w:start="1239" w:end="0"/>
        <w:rPr/>
      </w:pPr>
      <w:r>
        <w:rPr>
          <w:b/>
          <w:i/>
        </w:rPr>
        <w:tab/>
      </w:r>
      <w:r>
        <w:rPr/>
        <w:t xml:space="preserve">The regulatory bodies described in Section 3A(d) would also supervise and regulate the activities of the Pooling Point Developer and Network Operators in the same fashion.  If the Network Operator runs a telecommunications network using radio frequencies, it would also require a frequency authorisation from the Radiocommunications Agency, which would also monitor the Network Operator's use of such frequency and of wireless equipment. </w:t>
      </w:r>
    </w:p>
    <w:p>
      <w:pPr>
        <w:pStyle w:val="BodyText"/>
        <w:ind w:hanging="615" w:start="1239" w:end="0"/>
        <w:rPr/>
      </w:pPr>
      <w:r>
        <w:rPr/>
        <w:t>(g)</w:t>
      </w:r>
      <w:r>
        <w:rPr>
          <w:b/>
          <w:i/>
        </w:rPr>
        <w:tab/>
        <w:t>Would a Network Operator need to be incorporated in, form a branch in, or otherwise be established or have a presence in England or Wales in order for a Network Operator to establish, own or operate a Network in England or Wales or for it to connect a Network owned or operated by it to a Pooling Point located in England or Wales?  If so, (i) please describe the type of entity concerned and (ii) please state whether any of your answers to the questions set out in paragraphs 3B(a) to (f), inclusive, would change, and if so, how, in the event that a Network Operator established such entity in England or Wales.</w:t>
      </w:r>
    </w:p>
    <w:p>
      <w:pPr>
        <w:pStyle w:val="BodyText2"/>
        <w:ind w:start="1276" w:end="0"/>
        <w:rPr/>
      </w:pPr>
      <w:r>
        <w:rPr/>
        <w:t>As before, from a telecommunications regulatory perspective, there is no requirement for the Network Operator to be incorporated  or otherwise located in England or Wales in order to establish, own or operator a Network, or to connect its Network to a Pooling Point, in England or Wales.  However, if the Network Operator requires an individual telecommunications licence to do so, local incorporation may facilitate the licensing process.</w:t>
      </w:r>
    </w:p>
    <w:p>
      <w:pPr>
        <w:sectPr>
          <w:headerReference w:type="default" r:id="rId14"/>
          <w:headerReference w:type="first" r:id="rId15"/>
          <w:footerReference w:type="default" r:id="rId16"/>
          <w:footerReference w:type="first" r:id="rId17"/>
          <w:footnotePr>
            <w:numFmt w:val="decimal"/>
          </w:footnotePr>
          <w:type w:val="nextPage"/>
          <w:pgSz w:w="11906" w:h="16838"/>
          <w:pgMar w:left="1701" w:right="1701" w:gutter="0" w:header="720" w:top="1440" w:footer="283" w:bottom="1134"/>
          <w:pgNumType w:start="55" w:fmt="decimal"/>
          <w:formProt w:val="false"/>
          <w:textDirection w:val="lrTb"/>
          <w:docGrid w:type="default" w:linePitch="360" w:charSpace="0"/>
        </w:sectPr>
        <w:pStyle w:val="BodyText"/>
        <w:ind w:hanging="615" w:start="1239" w:end="0"/>
        <w:rPr>
          <w:b/>
          <w:i/>
          <w:i/>
        </w:rPr>
      </w:pPr>
      <w:r>
        <w:rPr>
          <w:b/>
          <w:i/>
        </w:rPr>
      </w:r>
    </w:p>
    <w:p>
      <w:pPr>
        <w:pStyle w:val="Heading1"/>
        <w:ind w:hanging="0" w:start="0"/>
        <w:rPr>
          <w:kern w:val="2"/>
        </w:rPr>
      </w:pPr>
      <w:bookmarkStart w:id="30" w:name="__RefHeading___Toc469131299"/>
      <w:bookmarkEnd w:id="30"/>
      <w:r>
        <w:rPr>
          <w:kern w:val="2"/>
        </w:rPr>
        <w:t>SECTION 4 - TRANSACTIONS OVER A SEGMENT BETWEEN POOLING POINTS, EITHER OR BOTH OF WHICH MAY BE LOCATED IN ENGLAND and WALES</w:t>
      </w:r>
    </w:p>
    <w:p>
      <w:pPr>
        <w:pStyle w:val="BodyText"/>
        <w:rPr/>
      </w:pPr>
      <w:r>
        <w:rPr/>
        <w:t>ECI has asked us to assume for the purposes of this section that the Segment which is the subject of a Transaction is between either:</w:t>
      </w:r>
    </w:p>
    <w:p>
      <w:pPr>
        <w:pStyle w:val="ListAlpha2"/>
        <w:numPr>
          <w:ilvl w:val="1"/>
          <w:numId w:val="35"/>
        </w:numPr>
        <w:ind w:hanging="0" w:start="0"/>
        <w:rPr/>
      </w:pPr>
      <w:r>
        <w:rPr/>
        <w:t>a Pooling Point located outside of England and Wales and a Pooling Point located in England or Wales; or</w:t>
      </w:r>
    </w:p>
    <w:p>
      <w:pPr>
        <w:pStyle w:val="ListAlpha2"/>
        <w:numPr>
          <w:ilvl w:val="1"/>
          <w:numId w:val="15"/>
        </w:numPr>
        <w:ind w:hanging="0" w:start="0"/>
        <w:rPr/>
      </w:pPr>
      <w:r>
        <w:rPr/>
        <w:t>Pooling Points, each of which is located in England and Wales; and</w:t>
      </w:r>
    </w:p>
    <w:p>
      <w:pPr>
        <w:pStyle w:val="ListAlpha2"/>
        <w:numPr>
          <w:ilvl w:val="1"/>
          <w:numId w:val="15"/>
        </w:numPr>
        <w:ind w:hanging="0" w:start="0"/>
        <w:rPr/>
      </w:pPr>
      <w:r>
        <w:rPr/>
        <w:t>that one of two scenarios exists:</w:t>
      </w:r>
    </w:p>
    <w:p>
      <w:pPr>
        <w:pStyle w:val="ListRoman3"/>
        <w:numPr>
          <w:ilvl w:val="2"/>
          <w:numId w:val="36"/>
        </w:numPr>
        <w:ind w:hanging="0" w:start="0"/>
        <w:rPr/>
      </w:pPr>
      <w:r>
        <w:rPr/>
        <w:t>in the first instance, that neither of the Buyer and Seller in respect of such Transaction is incorporated in, or has a branch or other establishment in England or Wales, nor is deemed to have a branch or other establishment or presence in England or Wales; and</w:t>
      </w:r>
    </w:p>
    <w:p>
      <w:pPr>
        <w:pStyle w:val="ListRoman3"/>
        <w:numPr>
          <w:ilvl w:val="2"/>
          <w:numId w:val="12"/>
        </w:numPr>
        <w:ind w:hanging="0" w:start="0"/>
        <w:rPr/>
      </w:pPr>
      <w:r>
        <w:rPr/>
        <w:t>secondly, that either or both of the Buyer and Seller in respect of such Transaction is incorporated in, or has a branch or other establishment in England or Wales.</w:t>
      </w:r>
    </w:p>
    <w:p>
      <w:pPr>
        <w:pStyle w:val="ListAlpha2"/>
        <w:numPr>
          <w:ilvl w:val="1"/>
          <w:numId w:val="37"/>
        </w:numPr>
        <w:ind w:hanging="0" w:start="0"/>
        <w:rPr>
          <w:b/>
          <w:i/>
          <w:i/>
        </w:rPr>
      </w:pPr>
      <w:r>
        <w:rPr>
          <w:b/>
          <w:i/>
        </w:rPr>
        <w:t>In respect of each of the various permutations set out in the above assumptions, would your answers to any of the questions set out in Section 1 and 2 of the Survey Questionnaire change in any respect and, if so, how?  Please describe.</w:t>
      </w:r>
    </w:p>
    <w:p>
      <w:pPr>
        <w:pStyle w:val="BodyText2"/>
        <w:rPr/>
      </w:pPr>
      <w:r>
        <w:rPr/>
        <w:t>The telecommunications regulatory responses in Section 1A of this Report would not alter:  the issue would remain whether the Buyer or Seller to the Transaction runs a telecommunications system in the UK.</w:t>
      </w:r>
    </w:p>
    <w:p>
      <w:pPr>
        <w:pStyle w:val="BodyText2"/>
        <w:rPr/>
      </w:pPr>
      <w:r>
        <w:rPr/>
        <w:t>In respect of financial services and insolvency issues, as you will see from our answers to Section 1A, we have considered the regulatory impact of a Pooling Point being located in England or Wales in our answers to these questions.</w:t>
      </w:r>
    </w:p>
    <w:p>
      <w:pPr>
        <w:pStyle w:val="BodyText2"/>
        <w:rPr/>
      </w:pPr>
      <w:r>
        <w:rPr/>
        <w:t>Subject to the data protection issues discussed below, in respect of Sections 1B and 1C, the answers would not change as a result of the permutations set out above.  In respect of our data protection responses, the DPA 1998 will apply</w:t>
      </w:r>
      <w:r>
        <w:rPr>
          <w:rStyle w:val="FootnoteCharacters"/>
          <w:rStyle w:val="FootnoteReference"/>
        </w:rPr>
        <w:footnoteReference w:id="41"/>
      </w:r>
      <w:r>
        <w:rPr/>
        <w:t xml:space="preserve"> if:</w:t>
      </w:r>
    </w:p>
    <w:p>
      <w:pPr>
        <w:pStyle w:val="BodyText2"/>
        <w:numPr>
          <w:ilvl w:val="0"/>
          <w:numId w:val="38"/>
        </w:numPr>
        <w:tabs>
          <w:tab w:val="clear" w:pos="624"/>
          <w:tab w:val="left" w:pos="2137" w:leader="none"/>
        </w:tabs>
        <w:ind w:hanging="720" w:start="2137" w:end="0"/>
        <w:rPr/>
      </w:pPr>
      <w:r>
        <w:rPr/>
        <w:t>a data controller is established in the UK and the data are processed in the context of that establishment; or</w:t>
      </w:r>
    </w:p>
    <w:p>
      <w:pPr>
        <w:pStyle w:val="BodyText2"/>
        <w:numPr>
          <w:ilvl w:val="0"/>
          <w:numId w:val="16"/>
        </w:numPr>
        <w:tabs>
          <w:tab w:val="clear" w:pos="624"/>
          <w:tab w:val="left" w:pos="2137" w:leader="none"/>
        </w:tabs>
        <w:ind w:hanging="720" w:start="2137" w:end="0"/>
        <w:rPr/>
      </w:pPr>
      <w:r>
        <w:rPr/>
        <w:t>a data controller is established outside the EEA but uses equipment in the UK to process personal data (other than merely for the purposes of transit) under its own instructions.</w:t>
      </w:r>
    </w:p>
    <w:p>
      <w:pPr>
        <w:pStyle w:val="BodyText2"/>
        <w:rPr/>
      </w:pPr>
      <w:r>
        <w:rPr/>
        <w:t>Only if none of these circumstances apply will a data controller not be subject to the DPA 1998, e.g.:</w:t>
      </w:r>
    </w:p>
    <w:p>
      <w:pPr>
        <w:pStyle w:val="BodyText2"/>
        <w:numPr>
          <w:ilvl w:val="0"/>
          <w:numId w:val="39"/>
        </w:numPr>
        <w:tabs>
          <w:tab w:val="clear" w:pos="624"/>
          <w:tab w:val="left" w:pos="2137" w:leader="none"/>
        </w:tabs>
        <w:ind w:hanging="720" w:start="2137" w:end="0"/>
        <w:rPr/>
      </w:pPr>
      <w:r>
        <w:rPr/>
        <w:t>where a non-UK data controller processes personal data, but not in the UK; or</w:t>
      </w:r>
    </w:p>
    <w:p>
      <w:pPr>
        <w:pStyle w:val="BodyText2"/>
        <w:numPr>
          <w:ilvl w:val="0"/>
          <w:numId w:val="16"/>
        </w:numPr>
        <w:tabs>
          <w:tab w:val="clear" w:pos="624"/>
          <w:tab w:val="left" w:pos="2137" w:leader="none"/>
        </w:tabs>
        <w:ind w:hanging="720" w:start="2137" w:end="0"/>
        <w:rPr/>
      </w:pPr>
      <w:r>
        <w:rPr/>
        <w:t>where an EEA data controller processes personal data within the UK (but its local law applies).</w:t>
      </w:r>
    </w:p>
    <w:p>
      <w:pPr>
        <w:pStyle w:val="BodyText2"/>
        <w:rPr/>
      </w:pPr>
      <w:r>
        <w:rPr/>
        <w:t>It is therefore critical to show where the data controller is established, and where the data are processed.  In respect of the various permutations:</w:t>
      </w:r>
    </w:p>
    <w:p>
      <w:pPr>
        <w:pStyle w:val="BodyText2"/>
        <w:numPr>
          <w:ilvl w:val="0"/>
          <w:numId w:val="40"/>
        </w:numPr>
        <w:tabs>
          <w:tab w:val="clear" w:pos="624"/>
          <w:tab w:val="left" w:pos="2137" w:leader="none"/>
        </w:tabs>
        <w:ind w:hanging="720" w:start="2137" w:end="0"/>
        <w:rPr/>
      </w:pPr>
      <w:r>
        <w:rPr/>
        <w:t>Neither party incorporated in, established in etc. England and Wales, or deemed to be so (for these purposes we assume that neither party is incorporated in etc. Scotland or Northern Ireland, either, as the DPA 1998 applies in those jurisdictions also), and Pooling Points, one of which is located in England and Wales.  In this case, application of the DPA 1998 depends on whether the data are judged to be merely in transit through the UK.  If so, then it is probable the DPA 1998 does not apply.  If the data are being processed by either party within the UK, as data controller, but those data are not in transit, then the DPA 1998 is likely to apply.</w:t>
      </w:r>
    </w:p>
    <w:p>
      <w:pPr>
        <w:pStyle w:val="BodyText2"/>
        <w:ind w:start="2137" w:end="0"/>
        <w:rPr/>
      </w:pPr>
      <w:r>
        <w:rPr/>
        <w:t>Where two Pooling Points are within the UK, the same applies in respect of each Pooling Point.</w:t>
      </w:r>
    </w:p>
    <w:p>
      <w:pPr>
        <w:pStyle w:val="bullet"/>
        <w:numPr>
          <w:ilvl w:val="0"/>
          <w:numId w:val="25"/>
        </w:numPr>
        <w:tabs>
          <w:tab w:val="clear" w:pos="624"/>
          <w:tab w:val="left" w:pos="2137" w:leader="none"/>
        </w:tabs>
        <w:ind w:hanging="720" w:start="2137" w:end="0"/>
        <w:rPr/>
      </w:pPr>
      <w:r>
        <w:rPr/>
        <w:t>Where either party is incorporated in etc. England and Wales, if that party is acting as data controller and personal data are processed in the context of its establishment in the UK, then that party will be subject to the DPA 1998</w:t>
      </w:r>
    </w:p>
    <w:p>
      <w:pPr>
        <w:pStyle w:val="ListAlpha2"/>
        <w:numPr>
          <w:ilvl w:val="1"/>
          <w:numId w:val="15"/>
        </w:numPr>
        <w:ind w:hanging="0" w:start="0"/>
        <w:rPr>
          <w:b/>
          <w:i/>
          <w:i/>
        </w:rPr>
      </w:pPr>
      <w:r>
        <w:rPr>
          <w:b/>
          <w:i/>
        </w:rPr>
        <w:t>Does the telecoms licensing regime in England and Wales distinguish, in any respect, between domestic operations and operations involving other territories and, if so, how?</w:t>
      </w:r>
    </w:p>
    <w:p>
      <w:pPr>
        <w:pStyle w:val="BodyText2"/>
        <w:rPr/>
      </w:pPr>
      <w:r>
        <w:rPr/>
        <w:t xml:space="preserve">Different telecommunications licences in the UK have different scope and application with respect to domestic and international operations.  </w:t>
      </w:r>
    </w:p>
    <w:p>
      <w:pPr>
        <w:pStyle w:val="BodyText2"/>
        <w:rPr/>
      </w:pPr>
      <w:r>
        <w:rPr/>
        <w:t xml:space="preserve">Prior to 27 September 1999, there were separate telecommunications licences for domestic and international telecommunications systems (the fixed Public Telecommunications Operator ("PTO") Licence and International Facilities Operator ("IFL") Licence, respectively).  All existing PTO and IFL licences have now been converted into, and all new fixed domestic and international licences are now granted in the form of, a new standard-form PTO Licence which authorises the running in the UK of telecommunications systems for both domestic and international services and facilities.  Thus, the new standard PTO Licence authorises the licensee to connect to its telecommunications system any telecommunications system licensed in the UK </w:t>
      </w:r>
      <w:r>
        <w:rPr>
          <w:i/>
        </w:rPr>
        <w:t>and</w:t>
      </w:r>
      <w:r>
        <w:rPr/>
        <w:t xml:space="preserve"> any telecommunications system outside the UK (other than systems notified to the licensee by the Secretary of State).</w:t>
      </w:r>
    </w:p>
    <w:p>
      <w:pPr>
        <w:pStyle w:val="BodyText2"/>
        <w:rPr/>
      </w:pPr>
      <w:r>
        <w:rPr/>
        <w:t>Other licences, e.g. the TSL class licence, do not permit connection to offshore systems (with some limited exceptions e.g. relating to systems used in offshore installations).</w:t>
      </w:r>
    </w:p>
    <w:p>
      <w:pPr>
        <w:pStyle w:val="BodyText2"/>
        <w:rPr/>
      </w:pPr>
      <w:r>
        <w:rPr/>
        <w:t>Similarly, the type of licence held will affect the type of telecommunications services that can be provided.  Thus, the standard PTO Licence authorises the licensee to provide almost all telecommunications services via that system.  In contrast, the TSL class licence does not permit international simple voice resale services to be provided via that system (being voice messages conveyed from or to a public switched network in the UK to or from a public switched network overseas via a fixed (i.e. unswitched) point-to-point link).  The latter service may instead be provided under a different class licence specifically for international voice resale services, which imposes (amongst other things) requirements for balanced traffic flows to and from the UK.</w:t>
      </w:r>
    </w:p>
    <w:p>
      <w:pPr>
        <w:pStyle w:val="BodyText2"/>
        <w:rPr/>
      </w:pPr>
      <w:r>
        <w:rPr/>
        <w:t>We emphasise that this is a very short overview only of aspects of telecommunications regulation in the UK that differ depending on whether the telecommunications system and/or services are domestic or international, as it is not clear from the Documents precisely what type of system ECI intends to run in the UK and what types of telecommunications services it wishes to provide across that system.</w:t>
      </w:r>
    </w:p>
    <w:p>
      <w:pPr>
        <w:pStyle w:val="BodyText2"/>
        <w:rPr/>
      </w:pPr>
      <w:r>
        <w:rPr/>
      </w:r>
    </w:p>
    <w:p>
      <w:pPr>
        <w:pStyle w:val="BodyText2"/>
        <w:rPr/>
      </w:pPr>
      <w:r>
        <w:rPr/>
      </w:r>
    </w:p>
    <w:p>
      <w:pPr>
        <w:pStyle w:val="BodyText"/>
        <w:keepNext w:val="true"/>
        <w:spacing w:before="0" w:after="0"/>
        <w:ind w:start="0" w:end="0"/>
        <w:rPr>
          <w:b/>
        </w:rPr>
      </w:pPr>
      <w:r>
        <w:rPr>
          <w:b/>
        </w:rPr>
        <w:t>Clifford Chance</w:t>
      </w:r>
    </w:p>
    <w:p>
      <w:pPr>
        <w:pStyle w:val="BodyText"/>
        <w:keepNext w:val="true"/>
        <w:spacing w:before="0" w:after="0"/>
        <w:ind w:start="0" w:end="0"/>
        <w:rPr>
          <w:b/>
        </w:rPr>
      </w:pPr>
      <w:r>
        <w:rPr>
          <w:b/>
        </w:rPr>
        <w:t>6 December 1999</w:t>
      </w:r>
      <w:r>
        <w:br w:type="page"/>
      </w:r>
    </w:p>
    <w:p>
      <w:pPr>
        <w:pStyle w:val="Normal"/>
        <w:jc w:val="center"/>
        <w:rPr>
          <w:b/>
        </w:rPr>
      </w:pPr>
      <w:r>
        <w:rPr>
          <w:b/>
        </w:rPr>
        <w:t>ANNEX 1</w:t>
      </w:r>
    </w:p>
    <w:p>
      <w:pPr>
        <w:sectPr>
          <w:headerReference w:type="default" r:id="rId18"/>
          <w:headerReference w:type="first" r:id="rId19"/>
          <w:footerReference w:type="default" r:id="rId20"/>
          <w:footerReference w:type="first" r:id="rId21"/>
          <w:footnotePr>
            <w:numFmt w:val="decimal"/>
          </w:footnotePr>
          <w:type w:val="nextPage"/>
          <w:pgSz w:w="11906" w:h="16838"/>
          <w:pgMar w:left="1701" w:right="1701" w:gutter="0" w:header="720" w:top="1440" w:footer="283" w:bottom="1134"/>
          <w:pgNumType w:fmt="decimal"/>
          <w:formProt w:val="false"/>
          <w:textDirection w:val="lrTb"/>
          <w:docGrid w:type="default" w:linePitch="360" w:charSpace="0"/>
        </w:sectPr>
        <w:pStyle w:val="Normal"/>
        <w:jc w:val="center"/>
        <w:rPr>
          <w:b/>
        </w:rPr>
      </w:pPr>
      <w:r>
        <w:rPr>
          <w:b/>
        </w:rPr>
        <w:t>The Survey Questionnaire</w:t>
      </w:r>
    </w:p>
    <w:p>
      <w:pPr>
        <w:pStyle w:val="Normal"/>
        <w:jc w:val="center"/>
        <w:rPr>
          <w:b/>
        </w:rPr>
      </w:pPr>
      <w:r>
        <w:rPr>
          <w:b/>
        </w:rPr>
        <w:t>ANNEX 2</w:t>
      </w:r>
    </w:p>
    <w:p>
      <w:pPr>
        <w:pStyle w:val="Normal"/>
        <w:jc w:val="center"/>
        <w:rPr>
          <w:b/>
        </w:rPr>
      </w:pPr>
      <w:r>
        <w:rPr>
          <w:b/>
        </w:rPr>
        <w:t>(Section 1A(f)(i))</w:t>
      </w:r>
    </w:p>
    <w:p>
      <w:pPr>
        <w:pStyle w:val="Normal"/>
        <w:jc w:val="center"/>
        <w:rPr>
          <w:b/>
        </w:rPr>
      </w:pPr>
      <w:r>
        <w:rPr>
          <w:b/>
        </w:rPr>
        <w:t>Requirements for Recognition of Investment Exchange from Schedule 4 of FSAct</w:t>
      </w:r>
    </w:p>
    <w:p>
      <w:pPr>
        <w:pStyle w:val="Normal"/>
        <w:rPr/>
      </w:pPr>
      <w:r>
        <w:rPr/>
        <w:t>Modification: this Schedule is modified by the Traded Securities (Disclosure) Regulations 1994, SI 1994/188, art 3, 4, as from 1 March 1994, such that rules of a recognised investment exchange must, at least, enable the exchange, in the event of a failure by an issuer whose securities are admitted to trading on a regulated market which the exchange regulates and supervises to comply with the obligation imposed by paragraph (1) above, to do any of the following, that is to say—</w:t>
      </w:r>
    </w:p>
    <w:p>
      <w:pPr>
        <w:pStyle w:val="ListAlpha1"/>
        <w:numPr>
          <w:ilvl w:val="0"/>
          <w:numId w:val="15"/>
        </w:numPr>
        <w:ind w:hanging="0" w:start="0"/>
        <w:rPr/>
      </w:pPr>
      <w:r>
        <w:rPr/>
        <w:t>discontinue the admission of the securities to trading;</w:t>
      </w:r>
    </w:p>
    <w:p>
      <w:pPr>
        <w:pStyle w:val="ListAlpha1"/>
        <w:numPr>
          <w:ilvl w:val="0"/>
          <w:numId w:val="15"/>
        </w:numPr>
        <w:ind w:hanging="0" w:start="0"/>
        <w:rPr/>
      </w:pPr>
      <w:r>
        <w:rPr/>
        <w:t>suspend trading in the securities;</w:t>
      </w:r>
    </w:p>
    <w:p>
      <w:pPr>
        <w:pStyle w:val="ListAlpha1"/>
        <w:numPr>
          <w:ilvl w:val="0"/>
          <w:numId w:val="15"/>
        </w:numPr>
        <w:ind w:hanging="0" w:start="0"/>
        <w:rPr/>
      </w:pPr>
      <w:r>
        <w:rPr/>
        <w:t>publish the fact that the issuer has failed to comply with the obligation; and</w:t>
      </w:r>
    </w:p>
    <w:p>
      <w:pPr>
        <w:pStyle w:val="ListAlpha1"/>
        <w:numPr>
          <w:ilvl w:val="0"/>
          <w:numId w:val="15"/>
        </w:numPr>
        <w:ind w:hanging="0" w:start="0"/>
        <w:rPr/>
      </w:pPr>
      <w:r>
        <w:rPr/>
        <w:t>itself make public any information which the issuer has failed to publish.</w:t>
      </w:r>
    </w:p>
    <w:p>
      <w:pPr>
        <w:pStyle w:val="Normal"/>
        <w:rPr/>
      </w:pPr>
      <w:r>
        <w:rPr/>
        <w:t>In addition, the Financial Services Act 1986 shall have effect as if the requirement was the case of a recognised investment exchange which is not an overseas investment exchange, among those specified in Schedule 4 to that Act (requirements for recognition of UK investment exchange); and in the case of an overseas investment exchange, among those mentioned in section 37(7)(a) of that Act (revocation of recognition order) and specified in section 40(2) of that Act (requirements for recognition of overseas investment exchange etc).</w:t>
      </w:r>
    </w:p>
    <w:p>
      <w:pPr>
        <w:pStyle w:val="Normal"/>
        <w:rPr/>
      </w:pPr>
      <w:r>
        <w:rPr/>
        <w:t>See also additional criteria for recognition, Companies Act 1989, Sch 21—</w:t>
      </w:r>
    </w:p>
    <w:p>
      <w:pPr>
        <w:pStyle w:val="ListLegal1"/>
        <w:numPr>
          <w:ilvl w:val="0"/>
          <w:numId w:val="13"/>
        </w:numPr>
        <w:ind w:hanging="0" w:start="0"/>
        <w:rPr/>
      </w:pPr>
      <w:r>
        <w:rPr/>
        <w:t>Default rules</w:t>
      </w:r>
    </w:p>
    <w:p>
      <w:pPr>
        <w:pStyle w:val="ListArabic2"/>
        <w:numPr>
          <w:ilvl w:val="1"/>
          <w:numId w:val="10"/>
        </w:numPr>
        <w:ind w:hanging="0" w:start="0"/>
        <w:rPr/>
      </w:pPr>
      <w:r>
        <w:rPr/>
        <w:t>The exchange must have default rules which, in the event of a member of the exchange appearing to be unable to meet his obligations in respect of one or more market contracts, enable action to be taken in respect of unsettled market contracts to which he is party.</w:t>
      </w:r>
    </w:p>
    <w:p>
      <w:pPr>
        <w:pStyle w:val="ListArabic2"/>
        <w:numPr>
          <w:ilvl w:val="1"/>
          <w:numId w:val="10"/>
        </w:numPr>
        <w:ind w:hanging="0" w:start="0"/>
        <w:rPr/>
      </w:pPr>
      <w:r>
        <w:rPr/>
        <w:t>The rules may authorise the taking of the same or similar action in relation to a member who appears to be likely to become unable to meet his obligations in respect of one or more market contracts.</w:t>
      </w:r>
    </w:p>
    <w:p>
      <w:pPr>
        <w:pStyle w:val="ListArabic2"/>
        <w:numPr>
          <w:ilvl w:val="1"/>
          <w:numId w:val="10"/>
        </w:numPr>
        <w:ind w:hanging="0" w:start="0"/>
        <w:rPr/>
      </w:pPr>
      <w:r>
        <w:rPr/>
        <w:t>The rules must enable action to be taken in respect of all unsettled market contracts, other than those entered into by a recognised clearing house for the purposes of or in connection with the provision of clearing services for the exchange.</w:t>
      </w:r>
    </w:p>
    <w:p>
      <w:pPr>
        <w:pStyle w:val="ListArabic2"/>
        <w:numPr>
          <w:ilvl w:val="1"/>
          <w:numId w:val="10"/>
        </w:numPr>
        <w:ind w:hanging="0" w:start="0"/>
        <w:rPr/>
      </w:pPr>
      <w:r>
        <w:rPr/>
        <w:t>As regards contracts [falling within section 155(2)(b) above], the rules must contain provision corresponding to that required by paragraphs [  ] to [   ] below in the case of a UK clearing house.</w:t>
      </w:r>
    </w:p>
    <w:p>
      <w:pPr>
        <w:pStyle w:val="ListArabic2"/>
        <w:numPr>
          <w:ilvl w:val="1"/>
          <w:numId w:val="10"/>
        </w:numPr>
        <w:ind w:hanging="0" w:start="0"/>
        <w:rPr/>
      </w:pPr>
      <w:r>
        <w:rPr/>
        <w:t>As regards [contracts falling within section 155(2)(a) above] the rules must contain provision complying with paragraphs 2 and 3 below.</w:t>
      </w:r>
    </w:p>
    <w:p>
      <w:pPr>
        <w:pStyle w:val="ListLegal1"/>
        <w:numPr>
          <w:ilvl w:val="0"/>
          <w:numId w:val="13"/>
        </w:numPr>
        <w:ind w:hanging="0" w:start="0"/>
        <w:rPr/>
      </w:pPr>
      <w:r>
        <w:rPr/>
        <w:t>Content of rules</w:t>
      </w:r>
    </w:p>
    <w:p>
      <w:pPr>
        <w:pStyle w:val="ListArabic2"/>
        <w:numPr>
          <w:ilvl w:val="1"/>
          <w:numId w:val="10"/>
        </w:numPr>
        <w:ind w:hanging="0" w:start="0"/>
        <w:rPr/>
      </w:pPr>
      <w:r>
        <w:rPr/>
        <w:t>The rules must provide for all rights and liabilities between those party as principal to unsettled market contracts to which the defaulter is party as principal to be discharged and for there to be paid by one party to the other such sum of money (if any) as may be determined in accordance with the rules.</w:t>
      </w:r>
    </w:p>
    <w:p>
      <w:pPr>
        <w:pStyle w:val="ListArabic2"/>
        <w:numPr>
          <w:ilvl w:val="1"/>
          <w:numId w:val="10"/>
        </w:numPr>
        <w:ind w:hanging="0" w:start="0"/>
        <w:rPr/>
      </w:pPr>
      <w:r>
        <w:rPr/>
        <w:t>The rules must further provide—</w:t>
      </w:r>
    </w:p>
    <w:p>
      <w:pPr>
        <w:pStyle w:val="ListAlpha3"/>
        <w:numPr>
          <w:ilvl w:val="2"/>
          <w:numId w:val="15"/>
        </w:numPr>
        <w:tabs>
          <w:tab w:val="left" w:pos="1928" w:leader="none"/>
        </w:tabs>
        <w:ind w:hanging="0" w:start="0"/>
        <w:rPr/>
      </w:pPr>
      <w:r>
        <w:rPr/>
        <w:t>for the sums so payable in respect of different contracts between the same parties to be aggregated or set off so as to produce a net sum, and</w:t>
      </w:r>
    </w:p>
    <w:p>
      <w:pPr>
        <w:pStyle w:val="ListAlpha3"/>
        <w:numPr>
          <w:ilvl w:val="2"/>
          <w:numId w:val="15"/>
        </w:numPr>
        <w:tabs>
          <w:tab w:val="left" w:pos="1928" w:leader="none"/>
        </w:tabs>
        <w:ind w:hanging="0" w:start="0"/>
        <w:rPr/>
      </w:pPr>
      <w:r>
        <w:rPr/>
        <w:t>for the certification by or on behalf of the exchange of the net sum payable or, as the case may be, of the fact that no sum is payable.</w:t>
      </w:r>
    </w:p>
    <w:p>
      <w:pPr>
        <w:pStyle w:val="ListArabic2"/>
        <w:numPr>
          <w:ilvl w:val="1"/>
          <w:numId w:val="10"/>
        </w:numPr>
        <w:ind w:hanging="0" w:start="0"/>
        <w:rPr/>
      </w:pPr>
      <w:r>
        <w:rPr/>
        <w:t>The rules may make special provision with respect to, or exclude from the provisions required by sub-paragraphs (1) and (2), contracts of any description prescribed for the purposes of this sub-paragraph by regulations made by the Secretary of State.</w:t>
      </w:r>
    </w:p>
    <w:p>
      <w:pPr>
        <w:pStyle w:val="ListArabic2"/>
        <w:numPr>
          <w:ilvl w:val="1"/>
          <w:numId w:val="10"/>
        </w:numPr>
        <w:ind w:hanging="0" w:start="0"/>
        <w:rPr/>
      </w:pPr>
      <w:r>
        <w:rPr/>
        <w:t>[The reference in sub-paragraph (1) to rights and liabilities between those party as principal to unsettled market contracts does not include rights and liabilities—</w:t>
      </w:r>
    </w:p>
    <w:p>
      <w:pPr>
        <w:pStyle w:val="ListAlpha3"/>
        <w:numPr>
          <w:ilvl w:val="2"/>
          <w:numId w:val="26"/>
        </w:numPr>
        <w:rPr/>
      </w:pPr>
      <w:r>
        <w:rPr/>
        <w:t>in respect of margin; or</w:t>
      </w:r>
    </w:p>
    <w:p>
      <w:pPr>
        <w:pStyle w:val="ListAlpha3"/>
        <w:numPr>
          <w:ilvl w:val="2"/>
          <w:numId w:val="15"/>
        </w:numPr>
        <w:tabs>
          <w:tab w:val="left" w:pos="1928" w:leader="none"/>
        </w:tabs>
        <w:ind w:hanging="0" w:start="0"/>
        <w:rPr/>
      </w:pPr>
      <w:r>
        <w:rPr/>
        <w:t>arising out of a failure to perform a market contract.]</w:t>
      </w:r>
    </w:p>
    <w:p>
      <w:pPr>
        <w:pStyle w:val="ListLegal1"/>
        <w:numPr>
          <w:ilvl w:val="0"/>
          <w:numId w:val="13"/>
        </w:numPr>
        <w:ind w:hanging="0" w:start="0"/>
        <w:rPr/>
      </w:pPr>
      <w:r>
        <w:rPr/>
        <w:t>Notification to other parties affected</w:t>
      </w:r>
    </w:p>
    <w:p>
      <w:pPr>
        <w:pStyle w:val="BodyText"/>
        <w:rPr/>
      </w:pPr>
      <w:r>
        <w:rPr/>
        <w:t>The exchange must have adequate arrangements for securing that—</w:t>
      </w:r>
    </w:p>
    <w:p>
      <w:pPr>
        <w:pStyle w:val="ListAlpha2"/>
        <w:numPr>
          <w:ilvl w:val="1"/>
          <w:numId w:val="26"/>
        </w:numPr>
        <w:rPr/>
      </w:pPr>
      <w:r>
        <w:rPr/>
        <w:t>parties to unsettled market contracts with a defaulter acting as principal are notified as soon as reasonably practicable of the default and of any decision taken under the rules in relation to contracts to which they are a party; and</w:t>
      </w:r>
    </w:p>
    <w:p>
      <w:pPr>
        <w:pStyle w:val="ListAlpha2"/>
        <w:numPr>
          <w:ilvl w:val="1"/>
          <w:numId w:val="15"/>
        </w:numPr>
        <w:ind w:hanging="0" w:start="0"/>
        <w:rPr/>
      </w:pPr>
      <w:r>
        <w:rPr/>
        <w:t>parties to unsettled market contracts with a defaulter acting as agent and the defaulter’s principals are notified as soon as reasonably practicable of the default and of the identity of the other party to the contract.</w:t>
      </w:r>
    </w:p>
    <w:p>
      <w:pPr>
        <w:pStyle w:val="ListLegal1"/>
        <w:numPr>
          <w:ilvl w:val="0"/>
          <w:numId w:val="13"/>
        </w:numPr>
        <w:ind w:hanging="0" w:start="0"/>
        <w:rPr/>
      </w:pPr>
      <w:r>
        <w:rPr/>
        <w:t>Application of default rules to designated non-members</w:t>
      </w:r>
    </w:p>
    <w:p>
      <w:pPr>
        <w:pStyle w:val="ListArabic2"/>
        <w:numPr>
          <w:ilvl w:val="1"/>
          <w:numId w:val="41"/>
        </w:numPr>
        <w:ind w:hanging="0" w:start="0"/>
        <w:rPr/>
      </w:pPr>
      <w:r>
        <w:rPr/>
        <w:t>The rules may make the same or similar provision in relation to designated non-members as in relation to members of the exchange.</w:t>
      </w:r>
    </w:p>
    <w:p>
      <w:pPr>
        <w:pStyle w:val="ListArabic2"/>
        <w:keepNext w:val="true"/>
        <w:numPr>
          <w:ilvl w:val="1"/>
          <w:numId w:val="10"/>
        </w:numPr>
        <w:ind w:hanging="0" w:start="0"/>
        <w:rPr/>
      </w:pPr>
      <w:r>
        <w:rPr/>
        <w:t>If such provision is made, the exchange must have adequate procedures —</w:t>
      </w:r>
    </w:p>
    <w:p>
      <w:pPr>
        <w:pStyle w:val="ListAlpha3"/>
        <w:keepNext w:val="true"/>
        <w:numPr>
          <w:ilvl w:val="2"/>
          <w:numId w:val="15"/>
        </w:numPr>
        <w:tabs>
          <w:tab w:val="left" w:pos="1928" w:leader="none"/>
        </w:tabs>
        <w:ind w:hanging="0" w:start="0"/>
        <w:rPr/>
      </w:pPr>
      <w:r>
        <w:rPr/>
        <w:t>for designating the persons, or descriptions of person, in respect of whom action may be taken,</w:t>
      </w:r>
    </w:p>
    <w:p>
      <w:pPr>
        <w:pStyle w:val="ListAlpha3"/>
        <w:numPr>
          <w:ilvl w:val="2"/>
          <w:numId w:val="15"/>
        </w:numPr>
        <w:tabs>
          <w:tab w:val="left" w:pos="1928" w:leader="none"/>
        </w:tabs>
        <w:ind w:hanging="0" w:start="0"/>
        <w:rPr/>
      </w:pPr>
      <w:r>
        <w:rPr/>
        <w:t>for keeping under review the question which persons or descriptions of person should be or remain so designated, and</w:t>
      </w:r>
    </w:p>
    <w:p>
      <w:pPr>
        <w:pStyle w:val="ListAlpha3"/>
        <w:numPr>
          <w:ilvl w:val="2"/>
          <w:numId w:val="15"/>
        </w:numPr>
        <w:tabs>
          <w:tab w:val="left" w:pos="1928" w:leader="none"/>
        </w:tabs>
        <w:ind w:hanging="0" w:start="0"/>
        <w:rPr/>
      </w:pPr>
      <w:r>
        <w:rPr/>
        <w:t>for withdrawing such designation.</w:t>
      </w:r>
    </w:p>
    <w:p>
      <w:pPr>
        <w:pStyle w:val="ListArabic2"/>
        <w:numPr>
          <w:ilvl w:val="1"/>
          <w:numId w:val="10"/>
        </w:numPr>
        <w:ind w:hanging="0" w:start="0"/>
        <w:rPr/>
      </w:pPr>
      <w:r>
        <w:rPr/>
        <w:t>The procedures shall be designed to secure that a person is not or does not remain designated if failure by him to meet his obligations in respect of one or more market contracts would be unlikely adversely to affect the operation of the market, and that a description of persons is not or does not remain designated if failure by a person of that description to meet his obligations in respect of one or more market contracts would be unlikely adversely to affect the operation of the market.</w:t>
      </w:r>
    </w:p>
    <w:p>
      <w:pPr>
        <w:pStyle w:val="ListArabic2"/>
        <w:numPr>
          <w:ilvl w:val="1"/>
          <w:numId w:val="10"/>
        </w:numPr>
        <w:ind w:hanging="0" w:start="0"/>
        <w:rPr/>
      </w:pPr>
      <w:r>
        <w:rPr/>
        <w:t>The exchange must have adequate arrangements—</w:t>
      </w:r>
    </w:p>
    <w:p>
      <w:pPr>
        <w:pStyle w:val="ListAlpha3"/>
        <w:numPr>
          <w:ilvl w:val="2"/>
          <w:numId w:val="27"/>
        </w:numPr>
        <w:rPr/>
      </w:pPr>
      <w:r>
        <w:rPr/>
        <w:t>for bringing a designation or withdrawal of designation to the attention of the person or description of persons concerned, and</w:t>
      </w:r>
    </w:p>
    <w:p>
      <w:pPr>
        <w:pStyle w:val="ListAlpha3"/>
        <w:numPr>
          <w:ilvl w:val="2"/>
          <w:numId w:val="15"/>
        </w:numPr>
        <w:tabs>
          <w:tab w:val="left" w:pos="1928" w:leader="none"/>
        </w:tabs>
        <w:ind w:hanging="0" w:start="0"/>
        <w:rPr/>
      </w:pPr>
      <w:r>
        <w:rPr/>
        <w:t>where a description of persons is designated, or the designation of a description of persons is withdrawn, for ascertaining which persons fall within that description.</w:t>
      </w:r>
    </w:p>
    <w:p>
      <w:pPr>
        <w:pStyle w:val="ListLegal1"/>
        <w:numPr>
          <w:ilvl w:val="0"/>
          <w:numId w:val="13"/>
        </w:numPr>
        <w:ind w:hanging="0" w:start="0"/>
        <w:rPr/>
      </w:pPr>
      <w:r>
        <w:rPr/>
        <w:t>Delegation of functions in connection with default procedures</w:t>
      </w:r>
    </w:p>
    <w:p>
      <w:pPr>
        <w:pStyle w:val="BodyText"/>
        <w:rPr/>
      </w:pPr>
      <w:r>
        <w:rPr/>
        <w:t>The rules may make provision for the whole or part of the functions mentioned in paragraphs 1 to 4 to be performed by another body or person on behalf of the exchange.</w:t>
      </w:r>
    </w:p>
    <w:p>
      <w:pPr>
        <w:pStyle w:val="ListLegal1"/>
        <w:numPr>
          <w:ilvl w:val="0"/>
          <w:numId w:val="13"/>
        </w:numPr>
        <w:ind w:hanging="0" w:start="0"/>
        <w:rPr/>
      </w:pPr>
      <w:r>
        <w:rPr/>
        <w:t>Co-operation with other authorities</w:t>
      </w:r>
    </w:p>
    <w:p>
      <w:pPr>
        <w:pStyle w:val="BodyText"/>
        <w:rPr/>
      </w:pPr>
      <w:r>
        <w:rPr/>
        <w:t>The exchange must be able and willing to co-operate, by the sharing of information and otherwise, with the Secretary of State, any relevant office-holder and any other authority or body having responsibility for any matter arising out of, or connected with, the default of a member of the exchange or any designated non-member.</w:t>
      </w:r>
    </w:p>
    <w:p>
      <w:pPr>
        <w:pStyle w:val="ListLegal1"/>
        <w:numPr>
          <w:ilvl w:val="0"/>
          <w:numId w:val="13"/>
        </w:numPr>
        <w:ind w:hanging="0" w:start="0"/>
        <w:rPr/>
      </w:pPr>
      <w:r>
        <w:rPr/>
        <w:t>[Margin</w:t>
      </w:r>
    </w:p>
    <w:p>
      <w:pPr>
        <w:pStyle w:val="BodyText"/>
        <w:rPr/>
      </w:pPr>
      <w:r>
        <w:rPr/>
        <w:t>Where the exchange provides clearing services, paragraph 14 below applies in respect of any margined transactions effected by or on behalf of the exchange as it applies in relation to a clearing house.]</w:t>
      </w:r>
    </w:p>
    <w:p>
      <w:pPr>
        <w:pStyle w:val="Normal"/>
        <w:rPr>
          <w:b/>
          <w:i/>
          <w:i/>
        </w:rPr>
      </w:pPr>
      <w:r>
        <w:rPr>
          <w:b/>
          <w:i/>
        </w:rPr>
        <w:t>Financial resources</w:t>
      </w:r>
    </w:p>
    <w:p>
      <w:pPr>
        <w:pStyle w:val="Normal"/>
        <w:ind w:hanging="720" w:start="720" w:end="0"/>
        <w:rPr/>
      </w:pPr>
      <w:r>
        <w:rPr/>
        <w:t xml:space="preserve">1. </w:t>
        <w:tab/>
        <w:t>The exchange must have financial resources sufficient for the proper performance of its functions.</w:t>
      </w:r>
    </w:p>
    <w:p>
      <w:pPr>
        <w:pStyle w:val="Normal"/>
        <w:keepNext w:val="true"/>
        <w:rPr>
          <w:b/>
          <w:i/>
          <w:i/>
        </w:rPr>
      </w:pPr>
      <w:r>
        <w:rPr>
          <w:b/>
          <w:i/>
        </w:rPr>
        <w:t>Safeguards for investors</w:t>
      </w:r>
    </w:p>
    <w:p>
      <w:pPr>
        <w:pStyle w:val="Normal"/>
        <w:ind w:hanging="720" w:start="720" w:end="0"/>
        <w:rPr/>
      </w:pPr>
      <w:r>
        <w:rPr/>
        <w:t>2.(1)</w:t>
        <w:tab/>
        <w:t>The rules and practices of the exchange must ensure that business conducted by means of its facilities is conducted in an orderly manner and so as to afford proper protection to investors.</w:t>
      </w:r>
    </w:p>
    <w:p>
      <w:pPr>
        <w:pStyle w:val="Normal"/>
        <w:rPr/>
      </w:pPr>
      <w:r>
        <w:rPr>
          <w:rFonts w:eastAsia="CG Times"/>
        </w:rPr>
        <w:t xml:space="preserve">   </w:t>
      </w:r>
      <w:r>
        <w:rPr/>
        <w:t>(2)</w:t>
        <w:tab/>
        <w:t>The exchange must—</w:t>
      </w:r>
    </w:p>
    <w:p>
      <w:pPr>
        <w:pStyle w:val="ListAlpha2"/>
        <w:numPr>
          <w:ilvl w:val="1"/>
          <w:numId w:val="26"/>
        </w:numPr>
        <w:rPr/>
      </w:pPr>
      <w:r>
        <w:rPr/>
        <w:tab/>
        <w:t>limit dealings on the exchange to investments in which there is a proper market; and</w:t>
      </w:r>
    </w:p>
    <w:p>
      <w:pPr>
        <w:pStyle w:val="ListAlpha2"/>
        <w:numPr>
          <w:ilvl w:val="1"/>
          <w:numId w:val="15"/>
        </w:numPr>
        <w:ind w:hanging="0" w:start="0"/>
        <w:rPr/>
      </w:pPr>
      <w:r>
        <w:rPr/>
        <w:t>where relevant, require issuers of investments dealt in on the exchange to comply with such obligations as will, so far as possible, afford to persons dealing in the investments proper information for determining their current value.</w:t>
      </w:r>
    </w:p>
    <w:p>
      <w:pPr>
        <w:pStyle w:val="Normal"/>
        <w:ind w:hanging="720" w:start="720" w:end="0"/>
        <w:rPr/>
      </w:pPr>
      <w:r>
        <w:rPr>
          <w:rFonts w:eastAsia="CG Times"/>
        </w:rPr>
        <w:t xml:space="preserve">   </w:t>
      </w:r>
      <w:r>
        <w:rPr/>
        <w:t>(3)</w:t>
        <w:tab/>
        <w:t>In the case of securities to which Part IV of this Act applies compliance by The Stock Exchange with the provisions of that Part shall be treated as compliance by it with sub-paragraph (2) above.</w:t>
      </w:r>
    </w:p>
    <w:p>
      <w:pPr>
        <w:pStyle w:val="Normal"/>
        <w:ind w:hanging="720" w:start="720" w:end="0"/>
        <w:rPr/>
      </w:pPr>
      <w:r>
        <w:rPr>
          <w:rFonts w:eastAsia="CG Times"/>
        </w:rPr>
        <w:t xml:space="preserve">   </w:t>
      </w:r>
      <w:r>
        <w:rPr/>
        <w:t>(4)</w:t>
        <w:tab/>
        <w:t>The exchange must either have its own arrangements for ensuring the performance of transactions effected on the exchange or ensure their performance by means of services provided under clearing arrangements made by it with a recognised clearing house.</w:t>
      </w:r>
    </w:p>
    <w:p>
      <w:pPr>
        <w:pStyle w:val="Normal"/>
        <w:ind w:hanging="720" w:start="720" w:end="0"/>
        <w:rPr/>
      </w:pPr>
      <w:r>
        <w:rPr>
          <w:rFonts w:eastAsia="CG Times"/>
        </w:rPr>
        <w:t xml:space="preserve">   </w:t>
      </w:r>
      <w:r>
        <w:rPr/>
        <w:t>(5)</w:t>
        <w:tab/>
        <w:t>The exchange must either itself have or secure the provision on its behalf of satisfactory arrangements for recording the transactions effected on the exchange.</w:t>
      </w:r>
    </w:p>
    <w:p>
      <w:pPr>
        <w:pStyle w:val="Normal"/>
        <w:ind w:hanging="720" w:start="720" w:end="0"/>
        <w:rPr/>
      </w:pPr>
      <w:r>
        <w:rPr>
          <w:rFonts w:eastAsia="CG Times"/>
        </w:rPr>
        <w:t xml:space="preserve">   </w:t>
      </w:r>
      <w:r>
        <w:rPr/>
        <w:t>(6)</w:t>
        <w:tab/>
        <w:t>Sub-paragraphs (2),(4) and (5) above are without prejudice to the generality of sub-paragraph (1) above.</w:t>
      </w:r>
    </w:p>
    <w:p>
      <w:pPr>
        <w:pStyle w:val="Normal"/>
        <w:rPr>
          <w:b/>
          <w:i/>
          <w:i/>
        </w:rPr>
      </w:pPr>
      <w:r>
        <w:rPr>
          <w:b/>
          <w:i/>
        </w:rPr>
        <w:t>Monitoring and enforcement</w:t>
      </w:r>
    </w:p>
    <w:p>
      <w:pPr>
        <w:pStyle w:val="Normal"/>
        <w:ind w:hanging="720" w:start="720" w:end="0"/>
        <w:rPr/>
      </w:pPr>
      <w:r>
        <w:rPr/>
        <w:t>3.(1)</w:t>
        <w:tab/>
        <w:t>The exchange must have adequate arrangements and resources for the effective monitoring and enforcement of compliance with its rules and any clearing arrangements made by it.</w:t>
      </w:r>
    </w:p>
    <w:p>
      <w:pPr>
        <w:pStyle w:val="Normal"/>
        <w:ind w:hanging="720" w:start="720" w:end="0"/>
        <w:rPr/>
      </w:pPr>
      <w:r>
        <w:rPr>
          <w:rFonts w:eastAsia="CG Times"/>
        </w:rPr>
        <w:t xml:space="preserve">   </w:t>
      </w:r>
      <w:r>
        <w:rPr/>
        <w:t>(2)</w:t>
        <w:tab/>
        <w:t>The arrangements for monitoring may make provision for that function to be performed on behalf of the exchange (and without affecting its responsibility) by any other body or person who is able and willing to perform it.</w:t>
      </w:r>
    </w:p>
    <w:p>
      <w:pPr>
        <w:pStyle w:val="Normal"/>
        <w:rPr>
          <w:b/>
          <w:i/>
          <w:i/>
        </w:rPr>
      </w:pPr>
      <w:r>
        <w:rPr>
          <w:b/>
          <w:i/>
        </w:rPr>
        <w:t>Investigation of complaints</w:t>
      </w:r>
    </w:p>
    <w:p>
      <w:pPr>
        <w:pStyle w:val="Normal"/>
        <w:ind w:hanging="720" w:start="720" w:end="0"/>
        <w:rPr/>
      </w:pPr>
      <w:r>
        <w:rPr/>
        <w:t>4.</w:t>
        <w:tab/>
        <w:t>The exchange must have effective arrangements for the investigation of complaints in respect of business transacted by means of its facilities.</w:t>
      </w:r>
    </w:p>
    <w:p>
      <w:pPr>
        <w:pStyle w:val="Normal"/>
        <w:rPr>
          <w:b/>
          <w:i/>
          <w:i/>
        </w:rPr>
      </w:pPr>
      <w:r>
        <w:rPr>
          <w:b/>
          <w:i/>
        </w:rPr>
        <w:t>Promotion and maintenance of standards</w:t>
      </w:r>
    </w:p>
    <w:p>
      <w:pPr>
        <w:pStyle w:val="Normal"/>
        <w:ind w:hanging="720" w:start="720" w:end="0"/>
        <w:rPr/>
      </w:pPr>
      <w:r>
        <w:rPr/>
        <w:t>5.</w:t>
        <w:tab/>
        <w:t>The exchange must be able and willing to promote and maintain high standards of integrity and fair dealing in the carrying on of investment business and to co-operate, by the sharing of information and otherwise, with the Secretary of State and any other authority, body or person having responsibility for the supervision or regulation of investment business or other financial services.</w:t>
      </w:r>
    </w:p>
    <w:p>
      <w:pPr>
        <w:pStyle w:val="Normal"/>
        <w:rPr>
          <w:i/>
          <w:i/>
        </w:rPr>
      </w:pPr>
      <w:r>
        <w:rPr>
          <w:i/>
        </w:rPr>
        <w:t>[</w:t>
      </w:r>
      <w:r>
        <w:rPr>
          <w:b/>
          <w:i/>
        </w:rPr>
        <w:t>Supplementary</w:t>
      </w:r>
    </w:p>
    <w:p>
      <w:pPr>
        <w:pStyle w:val="Normal"/>
        <w:ind w:hanging="720" w:start="720" w:end="0"/>
        <w:rPr/>
      </w:pPr>
      <w:r>
        <w:rPr/>
        <w:t>6.(1)</w:t>
        <w:tab/>
        <w:t>The provisions of this Schedule relate to an exchange only so far as it provides facilities for the carrying on of investment business; and nothing in this Schedule shall be construed as requiring an exchange to limit dealings on the exchange to dealings in investments.</w:t>
      </w:r>
    </w:p>
    <w:p>
      <w:pPr>
        <w:sectPr>
          <w:headerReference w:type="default" r:id="rId22"/>
          <w:headerReference w:type="first" r:id="rId23"/>
          <w:footerReference w:type="default" r:id="rId24"/>
          <w:footerReference w:type="first" r:id="rId25"/>
          <w:footnotePr>
            <w:numFmt w:val="decimal"/>
          </w:footnotePr>
          <w:type w:val="nextPage"/>
          <w:pgSz w:w="11906" w:h="16838"/>
          <w:pgMar w:left="1701" w:right="1701" w:gutter="0" w:header="720" w:top="1440" w:footer="283" w:bottom="1134"/>
          <w:pgNumType w:fmt="decimal"/>
          <w:formProt w:val="false"/>
          <w:textDirection w:val="lrTb"/>
          <w:docGrid w:type="default" w:linePitch="360" w:charSpace="0"/>
        </w:sectPr>
        <w:pStyle w:val="Normal"/>
        <w:ind w:hanging="720" w:start="720" w:end="0"/>
        <w:rPr/>
      </w:pPr>
      <w:r>
        <w:rPr>
          <w:rFonts w:eastAsia="CG Times"/>
        </w:rPr>
        <w:t xml:space="preserve">   </w:t>
      </w:r>
      <w:r>
        <w:rPr/>
        <w:t>(2)</w:t>
        <w:tab/>
        <w:t>The references in this Schedule, and elsewhere in this Act, to ensuring the performance of transactions on an exchange are to providing satisfactory procedures (including default procedures) for the settlement of transactions on the exchange.]</w:t>
      </w:r>
    </w:p>
    <w:p>
      <w:pPr>
        <w:pStyle w:val="Normal"/>
        <w:jc w:val="center"/>
        <w:rPr>
          <w:b/>
        </w:rPr>
      </w:pPr>
      <w:r>
        <w:rPr>
          <w:b/>
        </w:rPr>
        <w:t>ANNEX 3</w:t>
      </w:r>
    </w:p>
    <w:p>
      <w:pPr>
        <w:pStyle w:val="Normal"/>
        <w:jc w:val="center"/>
        <w:rPr>
          <w:b/>
        </w:rPr>
      </w:pPr>
      <w:r>
        <w:rPr>
          <w:b/>
        </w:rPr>
        <w:t>(Section H(a))</w:t>
      </w:r>
    </w:p>
    <w:p>
      <w:pPr>
        <w:pStyle w:val="Normal"/>
        <w:jc w:val="center"/>
        <w:rPr>
          <w:b/>
        </w:rPr>
      </w:pPr>
      <w:r>
        <w:rPr>
          <w:b/>
        </w:rPr>
      </w:r>
    </w:p>
    <w:p>
      <w:pPr>
        <w:pStyle w:val="Normal"/>
        <w:jc w:val="center"/>
        <w:rPr>
          <w:b/>
        </w:rPr>
      </w:pPr>
      <w:r>
        <w:rPr>
          <w:b/>
        </w:rPr>
        <w:t>British Codes of Advertising and Sales Promotion (excerpts)</w:t>
      </w:r>
    </w:p>
    <w:p>
      <w:pPr>
        <w:pStyle w:val="Normal"/>
        <w:rPr>
          <w:b/>
        </w:rPr>
      </w:pPr>
      <w:r>
        <w:rPr>
          <w:b/>
        </w:rPr>
      </w:r>
    </w:p>
    <w:p>
      <w:pPr>
        <w:pStyle w:val="Normal"/>
        <w:rPr/>
      </w:pPr>
      <w:r>
        <w:rPr/>
        <w:t>2.1 All advertisements should be legal, decent, honest and truthful.</w:t>
      </w:r>
    </w:p>
    <w:p>
      <w:pPr>
        <w:pStyle w:val="Normal"/>
        <w:rPr/>
      </w:pPr>
      <w:r>
        <w:rPr/>
        <w:t>2.2 All advertisements should be prepared with a sense of responsibility to consumers and to society.</w:t>
      </w:r>
    </w:p>
    <w:p>
      <w:pPr>
        <w:pStyle w:val="Normal"/>
        <w:rPr/>
      </w:pPr>
      <w:r>
        <w:rPr/>
        <w:t>2.3 All advertisements should respect the principles of fair competition generally accepted in business.</w:t>
      </w:r>
    </w:p>
    <w:p>
      <w:pPr>
        <w:pStyle w:val="Normal"/>
        <w:rPr/>
      </w:pPr>
      <w:r>
        <w:rPr/>
        <w:t>2.4 No advertisement should bring advertising into disrepute.</w:t>
      </w:r>
    </w:p>
    <w:p>
      <w:pPr>
        <w:pStyle w:val="Normal"/>
        <w:rPr/>
      </w:pPr>
      <w:r>
        <w:rPr/>
        <w:t xml:space="preserve">2.5 Advertisements must conform with the Codes. Primary responsibility for observing the Codes falls on advertisers. Others involved in preparing and publishing advertisements such as agencies, publishers and other service suppliers also accept an obligation to abide by the Codes. </w:t>
      </w:r>
    </w:p>
    <w:p>
      <w:pPr>
        <w:pStyle w:val="Normal"/>
        <w:rPr/>
      </w:pPr>
      <w:r>
        <w:rPr/>
        <w:t>2.6 Any unreasonable delay in responding to the Advertising Standard Authority ("</w:t>
      </w:r>
      <w:r>
        <w:rPr>
          <w:b/>
        </w:rPr>
        <w:t>ASA</w:t>
      </w:r>
      <w:r>
        <w:rPr/>
        <w:t>")'s enquiries may be considered a breach of the Codes.</w:t>
      </w:r>
    </w:p>
    <w:p>
      <w:pPr>
        <w:pStyle w:val="Normal"/>
        <w:rPr/>
      </w:pPr>
      <w:r>
        <w:rPr/>
        <w:t>2.7 The ASA will on request treat in confidence any private or secret material supplied unless the courts or officials acting within their statutory powers compel its disclosure.</w:t>
      </w:r>
    </w:p>
    <w:p>
      <w:pPr>
        <w:pStyle w:val="Normal"/>
        <w:rPr/>
      </w:pPr>
      <w:r>
        <w:rPr/>
        <w:t>2.8 The Codes are applied in the spirit as well as in the letter.</w:t>
      </w:r>
    </w:p>
    <w:p>
      <w:pPr>
        <w:pStyle w:val="Normal"/>
        <w:rPr>
          <w:b/>
          <w:i/>
          <w:i/>
        </w:rPr>
      </w:pPr>
      <w:r>
        <w:rPr>
          <w:b/>
          <w:i/>
        </w:rPr>
        <w:t>Substantiation</w:t>
      </w:r>
    </w:p>
    <w:p>
      <w:pPr>
        <w:pStyle w:val="Normal"/>
        <w:rPr/>
      </w:pPr>
      <w:r>
        <w:rPr/>
        <w:t>3.1 Before submitting an advertisement for publication, advertisers must hold documentary evidence to prove all claims, whether direct or implied, that are capable of objective substantiation. Relevant evidence should be sent without delay if requested by the ASA. The adequacy of evidence will be judged on whether it supports both the detailed claims and the overall impression created by the advertisement.</w:t>
      </w:r>
    </w:p>
    <w:p>
      <w:pPr>
        <w:pStyle w:val="Normal"/>
        <w:rPr/>
      </w:pPr>
      <w:r>
        <w:rPr/>
        <w:t>3.2 If there is a significant division of informed opinion about any claims made in an advertisement they should not be portrayed as universally agreed.</w:t>
      </w:r>
    </w:p>
    <w:p>
      <w:pPr>
        <w:pStyle w:val="Normal"/>
        <w:rPr/>
      </w:pPr>
      <w:r>
        <w:rPr/>
        <w:t>3.3 If the contents of non-fiction books, tapes, videos and the like have not been independently substantiated, advertisements should not exaggerate the value or practical usefulness of their contents.</w:t>
      </w:r>
    </w:p>
    <w:p>
      <w:pPr>
        <w:pStyle w:val="Normal"/>
        <w:rPr/>
      </w:pPr>
      <w:r>
        <w:rPr/>
        <w:t>3.4 Obvious untruths or exaggerations that are unlikely to mislead and incidental minor errors and unorthodox spellings are all allowed provided they do not affect the accuracy or perception of the advertisement in any material way.</w:t>
      </w:r>
    </w:p>
    <w:p>
      <w:pPr>
        <w:pStyle w:val="Normal"/>
        <w:rPr>
          <w:b/>
          <w:i/>
          <w:i/>
        </w:rPr>
      </w:pPr>
      <w:r>
        <w:rPr>
          <w:b/>
          <w:i/>
        </w:rPr>
        <w:t>Legality</w:t>
      </w:r>
    </w:p>
    <w:p>
      <w:pPr>
        <w:pStyle w:val="Normal"/>
        <w:rPr/>
      </w:pPr>
      <w:r>
        <w:rPr/>
        <w:t>4.1 Advertisers have primary responsibility for ensuring that their advertisements are legal. Advertisements should contain nothing that breaks the law or incites anyone to break it, and should omit nothing that the law requires.</w:t>
      </w:r>
    </w:p>
    <w:p>
      <w:pPr>
        <w:pStyle w:val="Normal"/>
        <w:rPr>
          <w:b/>
          <w:i/>
          <w:i/>
        </w:rPr>
      </w:pPr>
      <w:r>
        <w:rPr>
          <w:b/>
          <w:i/>
        </w:rPr>
        <w:t>Decency</w:t>
      </w:r>
    </w:p>
    <w:p>
      <w:pPr>
        <w:pStyle w:val="Normal"/>
        <w:rPr/>
      </w:pPr>
      <w:r>
        <w:rPr/>
        <w:t>5.1 Advertisements should contain nothing that is likely to cause serious or widespread offence. Particular care should be taken to avoid causing offence on the grounds of race, religion, sex, sexual orientation or disability. Compliance with the Codes will be judged on the context, medium, audience, product and prevailing standards of decency.</w:t>
      </w:r>
    </w:p>
    <w:p>
      <w:pPr>
        <w:pStyle w:val="Normal"/>
        <w:rPr/>
      </w:pPr>
      <w:r>
        <w:rPr/>
        <w:t>5.2 Advertisements may be distasteful without necessarily conflicting with 5.1 above. Advertisers are urged to consider public sensitivities before using potentially offensive material.</w:t>
      </w:r>
    </w:p>
    <w:p>
      <w:pPr>
        <w:pStyle w:val="Normal"/>
        <w:rPr/>
      </w:pPr>
      <w:r>
        <w:rPr/>
        <w:t>5.3 The fact that a particular product is offensive to some people is not sufficient grounds for objecting to an advertisement for it.</w:t>
      </w:r>
    </w:p>
    <w:p>
      <w:pPr>
        <w:pStyle w:val="Normal"/>
        <w:rPr>
          <w:b/>
          <w:i/>
          <w:i/>
        </w:rPr>
      </w:pPr>
      <w:r>
        <w:rPr>
          <w:b/>
          <w:i/>
        </w:rPr>
        <w:t>Honesty</w:t>
      </w:r>
    </w:p>
    <w:p>
      <w:pPr>
        <w:pStyle w:val="Normal"/>
        <w:rPr/>
      </w:pPr>
      <w:r>
        <w:rPr/>
        <w:t>6.1 Advertisers should not exploit the credulity, lack of knowledge or inexperience of consumers.</w:t>
      </w:r>
    </w:p>
    <w:p>
      <w:pPr>
        <w:pStyle w:val="Normal"/>
        <w:rPr>
          <w:b/>
          <w:i/>
          <w:i/>
        </w:rPr>
      </w:pPr>
      <w:r>
        <w:rPr>
          <w:b/>
          <w:i/>
        </w:rPr>
        <w:t>Truthfulness</w:t>
      </w:r>
    </w:p>
    <w:p>
      <w:pPr>
        <w:pStyle w:val="Normal"/>
        <w:rPr/>
      </w:pPr>
      <w:r>
        <w:rPr/>
        <w:t xml:space="preserve">7.1 No advertisement should mislead by inaccuracy, ambiguity, exaggeration, omission or otherwise. </w:t>
      </w:r>
    </w:p>
    <w:p>
      <w:pPr>
        <w:pStyle w:val="Normal"/>
        <w:rPr>
          <w:b/>
          <w:i/>
          <w:i/>
        </w:rPr>
      </w:pPr>
      <w:r>
        <w:rPr>
          <w:b/>
          <w:i/>
        </w:rPr>
        <w:t>Matters of opinion</w:t>
      </w:r>
    </w:p>
    <w:p>
      <w:pPr>
        <w:pStyle w:val="Normal"/>
        <w:rPr/>
      </w:pPr>
      <w:r>
        <w:rPr/>
        <w:t>8.1 Advertisers may give a view about any matter, including the qualities or desirability of their products, provided it is clear that they are expressing their own opinion rather than stating a fact. Assertions or comparisons that go beyond subjective opinions are subject to 3.1 above.</w:t>
      </w:r>
    </w:p>
    <w:p>
      <w:pPr>
        <w:pStyle w:val="Normal"/>
        <w:rPr>
          <w:b/>
          <w:i/>
          <w:i/>
        </w:rPr>
      </w:pPr>
      <w:r>
        <w:rPr>
          <w:b/>
          <w:i/>
        </w:rPr>
        <w:t>Fear and distress</w:t>
      </w:r>
    </w:p>
    <w:p>
      <w:pPr>
        <w:pStyle w:val="Normal"/>
        <w:rPr/>
      </w:pPr>
      <w:r>
        <w:rPr/>
        <w:t>9.1 No advertisement should cause fear or distress without good reason. Advertisers should not use shocking claims or images merely to attract attention.</w:t>
      </w:r>
    </w:p>
    <w:p>
      <w:pPr>
        <w:pStyle w:val="Normal"/>
        <w:rPr/>
      </w:pPr>
      <w:r>
        <w:rPr/>
        <w:t>9.2 Advertisers may use an appeal to fear to encourage prudent behaviour or to discourage dangerous or ill-advised actions; the fear likely to be aroused should not be disproportionate to the risk.</w:t>
      </w:r>
    </w:p>
    <w:p>
      <w:pPr>
        <w:pStyle w:val="Normal"/>
        <w:rPr>
          <w:b/>
          <w:i/>
          <w:i/>
        </w:rPr>
      </w:pPr>
      <w:r>
        <w:rPr>
          <w:b/>
          <w:i/>
        </w:rPr>
        <w:t>Safety</w:t>
      </w:r>
    </w:p>
    <w:p>
      <w:pPr>
        <w:pStyle w:val="Normal"/>
        <w:rPr/>
      </w:pPr>
      <w:r>
        <w:rPr/>
        <w:t>10.1 Advertisements should not show or encourage unsafe practices except in the context of promoting safety. Particular care should be taken with advertisements addressed to or depicting children and young people.</w:t>
      </w:r>
    </w:p>
    <w:p>
      <w:pPr>
        <w:pStyle w:val="Normal"/>
        <w:rPr/>
      </w:pPr>
      <w:r>
        <w:rPr/>
        <w:t>10.2 Consumers should not be encouraged to drink and drive. Advertisements, including those for breath testing devices, should not suggest that the effects of drinking alcohol can be masked and should include a prominent warning on the dangers of drinking and driving.</w:t>
      </w:r>
    </w:p>
    <w:p>
      <w:pPr>
        <w:pStyle w:val="Normal"/>
        <w:rPr>
          <w:b/>
          <w:i/>
          <w:i/>
        </w:rPr>
      </w:pPr>
      <w:r>
        <w:rPr>
          <w:b/>
          <w:i/>
        </w:rPr>
        <w:t>Violence and anti-social behaviour</w:t>
      </w:r>
    </w:p>
    <w:p>
      <w:pPr>
        <w:pStyle w:val="Normal"/>
        <w:rPr/>
      </w:pPr>
      <w:r>
        <w:rPr/>
        <w:t>11.1 Advertisements should contain nothing that condones or is likely to provoke violence or anti-social behaviour.</w:t>
      </w:r>
    </w:p>
    <w:p>
      <w:pPr>
        <w:pStyle w:val="Normal"/>
        <w:rPr>
          <w:b/>
          <w:i/>
          <w:i/>
        </w:rPr>
      </w:pPr>
      <w:r>
        <w:rPr>
          <w:b/>
          <w:i/>
        </w:rPr>
        <w:t xml:space="preserve">Political advertising </w:t>
      </w:r>
    </w:p>
    <w:p>
      <w:pPr>
        <w:pStyle w:val="Normal"/>
        <w:rPr/>
      </w:pPr>
      <w:r>
        <w:rPr/>
        <w:t>12.1 Any advertisement whose principal function is to influence opinion in favour of or against any political party or electoral candidate contesting a UK, European parliamentary or local government election, or any matter before the electorate for a referendum, is exempt from clauses 3.1, 7.1, 14.3, 19.2 and 20.1. All other rules in the Codes apply.</w:t>
      </w:r>
    </w:p>
    <w:p>
      <w:pPr>
        <w:pStyle w:val="Normal"/>
        <w:rPr/>
      </w:pPr>
      <w:r>
        <w:rPr/>
        <w:t>12.2 The identity and status of such advertisers should be clear. If their address or other contact details are not generally available they should be included in the advertisement.</w:t>
      </w:r>
    </w:p>
    <w:p>
      <w:pPr>
        <w:pStyle w:val="Normal"/>
        <w:rPr/>
      </w:pPr>
      <w:r>
        <w:rPr/>
        <w:t>12.3 There is a formal distinction between government policy and that of political parties. Advertisements by central or local government, or those concerning government policy as distinct from party policy, are subject to all the Codes' rules.</w:t>
      </w:r>
    </w:p>
    <w:p>
      <w:pPr>
        <w:pStyle w:val="Normal"/>
        <w:rPr>
          <w:b/>
          <w:i/>
          <w:i/>
        </w:rPr>
      </w:pPr>
      <w:r>
        <w:rPr>
          <w:b/>
          <w:i/>
        </w:rPr>
        <w:t>Protection of privacy</w:t>
      </w:r>
    </w:p>
    <w:p>
      <w:pPr>
        <w:pStyle w:val="Normal"/>
        <w:rPr/>
      </w:pPr>
      <w:r>
        <w:rPr/>
        <w:t>13.1 Advertisers are urged to obtain written permission in advance if they portray or refer to individuals or their identifiable possessions in any advertisement. Exceptions include most crowd scenes, portraying anyone who is the subject of the book or film being advertised and depicting property in general outdoor locations.</w:t>
      </w:r>
    </w:p>
    <w:p>
      <w:pPr>
        <w:pStyle w:val="Normal"/>
        <w:rPr/>
      </w:pPr>
      <w:r>
        <w:rPr/>
        <w:t>13.2 Advertisers who have not obtained prior permission from entertainers, politicians, sportsmen and others whose work gives them a high public profile should ensure that they are not portrayed in an offensive or adverse way. Advertisements should not claim or imply an endorsement where none exists.</w:t>
      </w:r>
    </w:p>
    <w:p>
      <w:pPr>
        <w:pStyle w:val="Normal"/>
        <w:rPr/>
      </w:pPr>
      <w:r>
        <w:rPr/>
        <w:t>13.3 Prior permission may not be needed when the advertisement contains nothing that is inconsistent with the position or views of the person featured. Advertisers should be aware that individuals who do not wish to be associated with the advertised product may have a legal claim.</w:t>
      </w:r>
    </w:p>
    <w:p>
      <w:pPr>
        <w:pStyle w:val="Normal"/>
        <w:rPr/>
      </w:pPr>
      <w:r>
        <w:rPr/>
        <w:t>13.4 References to anyone who is deceased should be handled with particular care to avoid causing offence or distress.</w:t>
      </w:r>
    </w:p>
    <w:p>
      <w:pPr>
        <w:pStyle w:val="Normal"/>
        <w:rPr/>
      </w:pPr>
      <w:r>
        <w:rPr/>
        <w:t xml:space="preserve">13.5 References to members of the Royal Family and the use of the Royal Arms and Emblems are not normally permitted; advertisers should consult the Lord Chamberlain's Office. References to Royal Warrants should be checked with the Royal Warrant Holders' Association. </w:t>
      </w:r>
    </w:p>
    <w:p>
      <w:pPr>
        <w:pStyle w:val="Normal"/>
        <w:keepNext w:val="true"/>
        <w:rPr>
          <w:b/>
          <w:i/>
          <w:i/>
        </w:rPr>
      </w:pPr>
      <w:r>
        <w:rPr>
          <w:b/>
          <w:i/>
        </w:rPr>
        <w:t>Testimonials and endorsements</w:t>
      </w:r>
    </w:p>
    <w:p>
      <w:pPr>
        <w:pStyle w:val="Normal"/>
        <w:keepNext w:val="true"/>
        <w:rPr/>
      </w:pPr>
      <w:r>
        <w:rPr/>
        <w:t xml:space="preserve">14.1 Advertisers should hold signed and dated proof, including a contact address, for any testimonial they use. Testimonials should be used only with the written permission of those giving them. </w:t>
      </w:r>
    </w:p>
    <w:p>
      <w:pPr>
        <w:pStyle w:val="Normal"/>
        <w:rPr/>
      </w:pPr>
      <w:r>
        <w:rPr/>
        <w:t xml:space="preserve">14.2 Testimonials should relate to the product being advertised. </w:t>
      </w:r>
    </w:p>
    <w:p>
      <w:pPr>
        <w:pStyle w:val="Normal"/>
        <w:rPr/>
      </w:pPr>
      <w:r>
        <w:rPr/>
        <w:t>14.3 Testimonials alone do not constitute substantiation and the opinions expressed in them must be supported, where necessary, with independent evidence of their accuracy. Any claims based on a testimonial must conform with the Codes.</w:t>
      </w:r>
    </w:p>
    <w:p>
      <w:pPr>
        <w:pStyle w:val="Normal"/>
        <w:rPr/>
      </w:pPr>
      <w:r>
        <w:rPr/>
        <w:t>14.4 Fictitious endorsements should not be presented as though they were genuine testimonials.</w:t>
      </w:r>
    </w:p>
    <w:p>
      <w:pPr>
        <w:pStyle w:val="Normal"/>
        <w:rPr/>
      </w:pPr>
      <w:r>
        <w:rPr/>
        <w:t>14.5 References to tests, trials, professional endorsements, research facilities and professional journals should be used only with the permission of those concerned. They should originate from within the European Union unless otherwise stated in the advertisement. Any establishment referred to should be under the direct supervision of an appropriately qualified professional.</w:t>
      </w:r>
    </w:p>
    <w:p>
      <w:pPr>
        <w:pStyle w:val="Normal"/>
        <w:rPr>
          <w:b/>
          <w:i/>
          <w:i/>
        </w:rPr>
      </w:pPr>
      <w:r>
        <w:rPr>
          <w:b/>
          <w:i/>
        </w:rPr>
        <w:t>Prices</w:t>
      </w:r>
    </w:p>
    <w:p>
      <w:pPr>
        <w:pStyle w:val="Normal"/>
        <w:rPr/>
      </w:pPr>
      <w:r>
        <w:rPr/>
        <w:t>15.1 Any stated price should be clear and should relate to the product advertised. Advertisers should ensure that prices match the products illustrated.</w:t>
      </w:r>
    </w:p>
    <w:p>
      <w:pPr>
        <w:pStyle w:val="Normal"/>
        <w:rPr/>
      </w:pPr>
      <w:r>
        <w:rPr/>
        <w:t>15.2 Unless addressed exclusively to the trade, prices quoted should include any VAT payable. It should be apparent immediately whether any prices quoted exclude other taxes, duties or compulsory charges and these should, wherever possible, be given in the advertisement.</w:t>
      </w:r>
    </w:p>
    <w:p>
      <w:pPr>
        <w:pStyle w:val="Normal"/>
        <w:rPr/>
      </w:pPr>
      <w:r>
        <w:rPr/>
        <w:t>15.3 If the price of one product is dependent on the purchase of another, the extent of any commitment by consumers should be made clear.</w:t>
      </w:r>
    </w:p>
    <w:p>
      <w:pPr>
        <w:pStyle w:val="Normal"/>
        <w:rPr/>
      </w:pPr>
      <w:r>
        <w:rPr/>
        <w:t>15.4 Price claims such as 'up to' and 'from' should not exaggerate the availability of benefits likely to be obtained by consumers.</w:t>
      </w:r>
    </w:p>
    <w:p>
      <w:pPr>
        <w:pStyle w:val="Normal"/>
        <w:rPr>
          <w:b/>
          <w:i/>
          <w:i/>
        </w:rPr>
      </w:pPr>
      <w:r>
        <w:rPr>
          <w:b/>
          <w:i/>
        </w:rPr>
        <w:t>Free offers</w:t>
      </w:r>
    </w:p>
    <w:p>
      <w:pPr>
        <w:pStyle w:val="Normal"/>
        <w:rPr/>
      </w:pPr>
      <w:r>
        <w:rPr/>
        <w:t xml:space="preserve">16.1 There is no objection to making a free offer conditional on the purchase of other items. Consumers' liability for any costs should be made clear in all material featuring the offer. An offer should only be described as free if consumers pay no more than: a the current public rates of postage b the actual cost of freight or delivery c the cost, including incidental expenses, of any travel involved if consumers collect the offer. Advertisers should make no additional charges for packing and handling. </w:t>
      </w:r>
    </w:p>
    <w:p>
      <w:pPr>
        <w:pStyle w:val="Normal"/>
        <w:rPr/>
      </w:pPr>
      <w:r>
        <w:rPr/>
        <w:t>16.2 Advertisers must not attempt to recover their costs by reducing the quality or composition or by inflating the price of any product that must be purchased as a pre-condition of obtaining another product free.</w:t>
      </w:r>
    </w:p>
    <w:p>
      <w:pPr>
        <w:pStyle w:val="Normal"/>
        <w:rPr>
          <w:b/>
          <w:i/>
          <w:i/>
        </w:rPr>
      </w:pPr>
      <w:r>
        <w:rPr>
          <w:b/>
          <w:i/>
        </w:rPr>
        <w:t xml:space="preserve">Availability of products </w:t>
      </w:r>
    </w:p>
    <w:p>
      <w:pPr>
        <w:pStyle w:val="Normal"/>
        <w:rPr/>
      </w:pPr>
      <w:r>
        <w:rPr/>
        <w:t>17.1 Advertisers must make it clear if stocks are limited. Products must not be advertised unless advertisers can demonstrate that they have reasonable grounds for believing that they can satisfy demand. If a product becomes unavailable, advertisers will be required to show evidence of stock monitoring, communications with outlets and the swift withdrawal of advertisements whenever possible.</w:t>
      </w:r>
    </w:p>
    <w:p>
      <w:pPr>
        <w:pStyle w:val="Normal"/>
        <w:rPr/>
      </w:pPr>
      <w:r>
        <w:rPr/>
        <w:t xml:space="preserve">17.2 Products which cannot be supplied should not normally be advertised as a way of assessing potential demand. </w:t>
      </w:r>
    </w:p>
    <w:p>
      <w:pPr>
        <w:pStyle w:val="Normal"/>
        <w:rPr/>
      </w:pPr>
      <w:r>
        <w:rPr/>
        <w:t>17.3 Advertisers must not use the technique of switch selling, where their sales staff criticise the advertised product or suggest that it is not available and recommend the purchase of a more expensive alternative. They should not place obstacles in the way of purchasing the product or delivering it promptly.</w:t>
      </w:r>
    </w:p>
    <w:p>
      <w:pPr>
        <w:pStyle w:val="Normal"/>
        <w:rPr>
          <w:b/>
          <w:i/>
          <w:i/>
        </w:rPr>
      </w:pPr>
      <w:r>
        <w:rPr>
          <w:b/>
          <w:i/>
        </w:rPr>
        <w:t>Guarantees</w:t>
      </w:r>
    </w:p>
    <w:p>
      <w:pPr>
        <w:pStyle w:val="Normal"/>
        <w:rPr/>
      </w:pPr>
      <w:r>
        <w:rPr/>
        <w:t>18.1 The full terms of any guarantee should be available for consumers to inspect before they are committed to purchase. Any substantial limitations should be spelled out in the advertisement.</w:t>
      </w:r>
    </w:p>
    <w:p>
      <w:pPr>
        <w:pStyle w:val="Normal"/>
        <w:rPr/>
      </w:pPr>
      <w:r>
        <w:rPr/>
        <w:t xml:space="preserve">18.2 Advertisers should inform consumers about the nature and extent of any additional rights provided by the guarantee, over and above those given to them by law, and should make clear how to obtain redress. </w:t>
      </w:r>
    </w:p>
    <w:p>
      <w:pPr>
        <w:pStyle w:val="Normal"/>
        <w:rPr/>
      </w:pPr>
      <w:r>
        <w:rPr/>
        <w:t>18.3 'Guarantee' when used simply as a figure of speech should not cause confusion about consumers' legal rights.</w:t>
      </w:r>
    </w:p>
    <w:p>
      <w:pPr>
        <w:pStyle w:val="Normal"/>
        <w:rPr>
          <w:b/>
          <w:i/>
          <w:i/>
        </w:rPr>
      </w:pPr>
      <w:r>
        <w:rPr>
          <w:b/>
          <w:i/>
        </w:rPr>
        <w:t>Comparisons</w:t>
      </w:r>
    </w:p>
    <w:p>
      <w:pPr>
        <w:pStyle w:val="Normal"/>
        <w:rPr/>
      </w:pPr>
      <w:r>
        <w:rPr/>
        <w:t>19.1 Comparisons can be explicit or implied and can relate to advertisers' own products or to those of their competitors; they are permitted in the interests of vigorous competition and public information.</w:t>
      </w:r>
    </w:p>
    <w:p>
      <w:pPr>
        <w:pStyle w:val="Normal"/>
        <w:rPr/>
      </w:pPr>
      <w:r>
        <w:rPr/>
        <w:t>19.2 Comparisons should be clear and fair. The elements of any comparison should not be selected in a way that gives the advertisers an artificial advantage.</w:t>
      </w:r>
    </w:p>
    <w:p>
      <w:pPr>
        <w:pStyle w:val="Normal"/>
        <w:rPr>
          <w:b/>
          <w:i/>
          <w:i/>
        </w:rPr>
      </w:pPr>
      <w:r>
        <w:rPr>
          <w:b/>
          <w:i/>
        </w:rPr>
        <w:t>Denigration</w:t>
      </w:r>
    </w:p>
    <w:p>
      <w:pPr>
        <w:pStyle w:val="Normal"/>
        <w:rPr/>
      </w:pPr>
      <w:r>
        <w:rPr/>
        <w:t>20.1 Advertisers should not unfairly attack or discredit other businesses or their products.</w:t>
      </w:r>
    </w:p>
    <w:p>
      <w:pPr>
        <w:pStyle w:val="Normal"/>
        <w:rPr/>
      </w:pPr>
      <w:r>
        <w:rPr/>
        <w:t>20.2 The only acceptable use of another business's broken or defaced products in advertisements is in the illustration of comparative tests, and the source, nature and results of these should be clear.</w:t>
      </w:r>
    </w:p>
    <w:p>
      <w:pPr>
        <w:pStyle w:val="Normal"/>
        <w:rPr>
          <w:b/>
          <w:i/>
          <w:i/>
        </w:rPr>
      </w:pPr>
      <w:r>
        <w:rPr>
          <w:b/>
          <w:i/>
        </w:rPr>
        <w:t>Exploitation of goodwill</w:t>
      </w:r>
    </w:p>
    <w:p>
      <w:pPr>
        <w:pStyle w:val="Normal"/>
        <w:rPr/>
      </w:pPr>
      <w:r>
        <w:rPr/>
        <w:t>21.1 Advertisers should not make unfair use of the goodwill attached to the trade mark, name, brand, or the advertising campaign of any other business Imitation.</w:t>
      </w:r>
    </w:p>
    <w:p>
      <w:pPr>
        <w:pStyle w:val="Normal"/>
        <w:rPr/>
      </w:pPr>
      <w:r>
        <w:rPr/>
        <w:t>22.1 No advertisement should so closely resemble any other that it misleads or causes confusion.</w:t>
      </w:r>
    </w:p>
    <w:p>
      <w:pPr>
        <w:pStyle w:val="Normal"/>
        <w:rPr>
          <w:b/>
          <w:i/>
          <w:i/>
        </w:rPr>
      </w:pPr>
      <w:r>
        <w:rPr>
          <w:b/>
          <w:i/>
        </w:rPr>
        <w:t>Identifying advertisers and recognising advertisements</w:t>
      </w:r>
    </w:p>
    <w:p>
      <w:pPr>
        <w:pStyle w:val="Normal"/>
        <w:rPr/>
      </w:pPr>
      <w:r>
        <w:rPr/>
        <w:t>23.1 Advertisers, publishers and owners of other media should ensure that advertisements are designed and presented in such a way that they can be easily distinguished from editorial.</w:t>
      </w:r>
    </w:p>
    <w:p>
      <w:pPr>
        <w:pStyle w:val="Normal"/>
        <w:rPr/>
      </w:pPr>
      <w:r>
        <w:rPr/>
        <w:t>23.2 Features, announcements or promotions that are disseminated in exchange for a payment or other reciprocal arrangement should comply with the Codes if their content is controlled by the advertisers. They should also be clearly identified and distinguished from editorial (see clause 41).</w:t>
      </w:r>
    </w:p>
    <w:p>
      <w:pPr>
        <w:pStyle w:val="Normal"/>
        <w:rPr/>
      </w:pPr>
      <w:r>
        <w:rPr/>
        <w:t>23.3 Mail orders and direct response advertisements and those for one day sales, homework schemes, business opportunities and the like should contain the name and address of the advertisers.  Advertisements with a political content should clearly identify their source.  Unless required by law, other advertisers are not obliged to identify themselves.</w:t>
      </w:r>
    </w:p>
    <w:p>
      <w:pPr>
        <w:pStyle w:val="Normal"/>
        <w:rPr/>
      </w:pPr>
      <w:r>
        <w:rPr/>
      </w:r>
    </w:p>
    <w:p>
      <w:pPr>
        <w:pStyle w:val="Normal"/>
        <w:rPr/>
      </w:pPr>
      <w:r>
        <w:rPr/>
      </w:r>
    </w:p>
    <w:p>
      <w:pPr>
        <w:pStyle w:val="bullet"/>
        <w:numPr>
          <w:ilvl w:val="0"/>
          <w:numId w:val="0"/>
        </w:numPr>
        <w:ind w:hanging="0" w:start="1247" w:end="0"/>
        <w:rPr/>
      </w:pPr>
      <w:r>
        <w:rPr/>
      </w:r>
    </w:p>
    <w:p>
      <w:pPr>
        <w:pStyle w:val="Normal"/>
        <w:spacing w:before="0" w:after="200"/>
        <w:rPr/>
      </w:pPr>
      <w:r>
        <w:rPr/>
      </w:r>
    </w:p>
    <w:sectPr>
      <w:headerReference w:type="default" r:id="rId26"/>
      <w:headerReference w:type="first" r:id="rId27"/>
      <w:footerReference w:type="default" r:id="rId28"/>
      <w:footerReference w:type="first" r:id="rId29"/>
      <w:footnotePr>
        <w:numFmt w:val="decimal"/>
      </w:footnotePr>
      <w:type w:val="nextPage"/>
      <w:pgSz w:w="11906" w:h="16838"/>
      <w:pgMar w:left="1701" w:right="1701" w:gutter="0" w:header="720" w:top="1440" w:footer="283" w:bottom="1134"/>
      <w:pgNumType w:start="80"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Copperplate33b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00"/>
      <w:jc w:val="center"/>
      <w:rPr>
        <w:rFonts w:ascii="Copperplate33bc" w:hAnsi="Copperplate33bc" w:cs="Copperplate33bc"/>
        <w:sz w:val="36"/>
      </w:rPr>
    </w:pPr>
    <w:r>
      <w:rPr>
        <w:rFonts w:cs="Copperplate33bc" w:ascii="Copperplate33bc" w:hAnsi="Copperplate33bc"/>
        <w:sz w:val="36"/>
      </w:rPr>
      <w:t>CLIFFORD CHANCE</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jc w:val="start"/>
            <w:rPr/>
          </w:pPr>
          <w:r>
            <w:rPr/>
            <w:t>London-1/447339/02</w:t>
          </w:r>
        </w:p>
      </w:tc>
      <w:tc>
        <w:tcPr>
          <w:tcW w:w="2900" w:type="dxa"/>
          <w:tcBorders/>
          <w:vAlign w:val="center"/>
        </w:tcPr>
        <w:p>
          <w:pPr>
            <w:pStyle w:val="Footer"/>
            <w:jc w:val="center"/>
            <w:rPr/>
          </w:pPr>
          <w:r>
            <w:rPr>
              <w:sz w:val="22"/>
              <w:lang w:eastAsia="en-US"/>
            </w:rPr>
            <w:t xml:space="preserve">- </w:t>
          </w:r>
          <w:r>
            <w:rPr>
              <w:sz w:val="22"/>
              <w:lang w:eastAsia="en-US"/>
            </w:rPr>
            <w:fldChar w:fldCharType="begin"/>
          </w:r>
          <w:r>
            <w:rPr>
              <w:sz w:val="22"/>
              <w:lang w:eastAsia="en-US"/>
            </w:rPr>
            <w:instrText xml:space="preserve"> PAGE </w:instrText>
          </w:r>
          <w:r>
            <w:rPr>
              <w:sz w:val="22"/>
              <w:lang w:eastAsia="en-US"/>
            </w:rPr>
            <w:fldChar w:fldCharType="separate"/>
          </w:r>
          <w:r>
            <w:rPr>
              <w:sz w:val="22"/>
              <w:lang w:eastAsia="en-US"/>
            </w:rPr>
            <w:t>73</w:t>
          </w:r>
          <w:r>
            <w:rPr>
              <w:sz w:val="22"/>
              <w:lang w:eastAsia="en-US"/>
            </w:rPr>
            <w:fldChar w:fldCharType="end"/>
          </w:r>
          <w:r>
            <w:rPr>
              <w:sz w:val="22"/>
              <w:lang w:eastAsia="en-US"/>
            </w:rPr>
            <w:t xml:space="preserve"> -</w:t>
          </w:r>
        </w:p>
      </w:tc>
      <w:tc>
        <w:tcPr>
          <w:tcW w:w="2900" w:type="dxa"/>
          <w:tcBorders/>
          <w:vAlign w:val="bottom"/>
        </w:tcPr>
        <w:p>
          <w:pPr>
            <w:pStyle w:val="Footer"/>
            <w:jc w:val="end"/>
            <w:rPr/>
          </w:pPr>
          <w:r>
            <w:rPr/>
            <w:t>E3270/00388</w:t>
          </w:r>
        </w:p>
      </w:tc>
    </w:tr>
  </w:tbl>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jc w:val="start"/>
            <w:rPr/>
          </w:pPr>
          <w:r>
            <w:rPr/>
            <w:t>London-1/447339/02</w:t>
          </w:r>
        </w:p>
      </w:tc>
      <w:tc>
        <w:tcPr>
          <w:tcW w:w="2900" w:type="dxa"/>
          <w:tcBorders/>
          <w:vAlign w:val="center"/>
        </w:tcPr>
        <w:p>
          <w:pPr>
            <w:pStyle w:val="Footer"/>
            <w:jc w:val="center"/>
            <w:rPr/>
          </w:pPr>
          <w:r>
            <w:rPr>
              <w:sz w:val="22"/>
              <w:lang w:eastAsia="en-US"/>
            </w:rPr>
            <w:t xml:space="preserve">- </w:t>
          </w:r>
          <w:r>
            <w:rPr>
              <w:sz w:val="22"/>
              <w:lang w:eastAsia="en-US"/>
            </w:rPr>
            <w:fldChar w:fldCharType="begin"/>
          </w:r>
          <w:r>
            <w:rPr>
              <w:sz w:val="22"/>
              <w:lang w:eastAsia="en-US"/>
            </w:rPr>
            <w:instrText xml:space="preserve"> PAGE </w:instrText>
          </w:r>
          <w:r>
            <w:rPr>
              <w:sz w:val="22"/>
              <w:lang w:eastAsia="en-US"/>
            </w:rPr>
            <w:fldChar w:fldCharType="separate"/>
          </w:r>
          <w:r>
            <w:rPr>
              <w:sz w:val="22"/>
              <w:lang w:eastAsia="en-US"/>
            </w:rPr>
            <w:t>77</w:t>
          </w:r>
          <w:r>
            <w:rPr>
              <w:sz w:val="22"/>
              <w:lang w:eastAsia="en-US"/>
            </w:rPr>
            <w:fldChar w:fldCharType="end"/>
          </w:r>
          <w:r>
            <w:rPr>
              <w:sz w:val="22"/>
              <w:lang w:eastAsia="en-US"/>
            </w:rPr>
            <w:t xml:space="preserve"> -</w:t>
          </w:r>
        </w:p>
      </w:tc>
      <w:tc>
        <w:tcPr>
          <w:tcW w:w="2900" w:type="dxa"/>
          <w:tcBorders/>
          <w:vAlign w:val="bottom"/>
        </w:tcPr>
        <w:p>
          <w:pPr>
            <w:pStyle w:val="Footer"/>
            <w:jc w:val="end"/>
            <w:rPr/>
          </w:pPr>
          <w:r>
            <w:rPr/>
            <w:t>E3270/00388</w:t>
          </w:r>
        </w:p>
      </w:tc>
    </w:tr>
  </w:tbl>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jc w:val="start"/>
            <w:rPr/>
          </w:pPr>
          <w:r>
            <w:rPr/>
            <w:t>London-1/447339/02</w:t>
          </w:r>
        </w:p>
      </w:tc>
      <w:tc>
        <w:tcPr>
          <w:tcW w:w="2900" w:type="dxa"/>
          <w:tcBorders/>
          <w:vAlign w:val="center"/>
        </w:tcPr>
        <w:p>
          <w:pPr>
            <w:pStyle w:val="Footer"/>
            <w:jc w:val="center"/>
            <w:rPr/>
          </w:pPr>
          <w:r>
            <w:rPr>
              <w:sz w:val="22"/>
              <w:lang w:eastAsia="en-US"/>
            </w:rPr>
            <w:t xml:space="preserve">- </w:t>
          </w:r>
          <w:r>
            <w:rPr>
              <w:sz w:val="22"/>
              <w:lang w:eastAsia="en-US"/>
            </w:rPr>
            <w:fldChar w:fldCharType="begin"/>
          </w:r>
          <w:r>
            <w:rPr>
              <w:sz w:val="22"/>
              <w:lang w:eastAsia="en-US"/>
            </w:rPr>
            <w:instrText xml:space="preserve"> PAGE </w:instrText>
          </w:r>
          <w:r>
            <w:rPr>
              <w:sz w:val="22"/>
              <w:lang w:eastAsia="en-US"/>
            </w:rPr>
            <w:fldChar w:fldCharType="separate"/>
          </w:r>
          <w:r>
            <w:rPr>
              <w:sz w:val="22"/>
              <w:lang w:eastAsia="en-US"/>
            </w:rPr>
            <w:t>85</w:t>
          </w:r>
          <w:r>
            <w:rPr>
              <w:sz w:val="22"/>
              <w:lang w:eastAsia="en-US"/>
            </w:rPr>
            <w:fldChar w:fldCharType="end"/>
          </w:r>
          <w:r>
            <w:rPr>
              <w:sz w:val="22"/>
              <w:lang w:eastAsia="en-US"/>
            </w:rPr>
            <w:t xml:space="preserve"> -</w:t>
          </w:r>
        </w:p>
      </w:tc>
      <w:tc>
        <w:tcPr>
          <w:tcW w:w="2900" w:type="dxa"/>
          <w:tcBorders/>
          <w:vAlign w:val="bottom"/>
        </w:tcPr>
        <w:p>
          <w:pPr>
            <w:pStyle w:val="Footer"/>
            <w:jc w:val="end"/>
            <w:rPr/>
          </w:pPr>
          <w:r>
            <w:rPr/>
            <w:t>E3270/00388</w:t>
          </w:r>
        </w:p>
      </w:tc>
    </w:tr>
  </w:tbl>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jc w:val="start"/>
            <w:rPr/>
          </w:pPr>
          <w:r>
            <w:rPr/>
            <w:t>London-1/447339/02</w:t>
          </w:r>
        </w:p>
      </w:tc>
      <w:tc>
        <w:tcPr>
          <w:tcW w:w="2900" w:type="dxa"/>
          <w:tcBorders/>
          <w:vAlign w:val="center"/>
        </w:tcPr>
        <w:p>
          <w:pPr>
            <w:pStyle w:val="Footer"/>
            <w:snapToGrid w:val="false"/>
            <w:jc w:val="center"/>
            <w:rPr>
              <w:sz w:val="22"/>
            </w:rPr>
          </w:pPr>
          <w:r>
            <w:rPr>
              <w:sz w:val="22"/>
            </w:rPr>
          </w:r>
        </w:p>
      </w:tc>
      <w:tc>
        <w:tcPr>
          <w:tcW w:w="2900" w:type="dxa"/>
          <w:tcBorders/>
          <w:vAlign w:val="bottom"/>
        </w:tcPr>
        <w:p>
          <w:pPr>
            <w:pStyle w:val="Footer"/>
            <w:jc w:val="end"/>
            <w:rPr/>
          </w:pPr>
          <w:r>
            <w:rPr/>
            <w:t>E3270/00388</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jc w:val="start"/>
            <w:rPr/>
          </w:pPr>
          <w:r>
            <w:rPr/>
            <w:t>London-1/447339/02</w:t>
          </w:r>
        </w:p>
      </w:tc>
      <w:tc>
        <w:tcPr>
          <w:tcW w:w="2900" w:type="dxa"/>
          <w:tcBorders/>
          <w:vAlign w:val="center"/>
        </w:tcPr>
        <w:p>
          <w:pPr>
            <w:pStyle w:val="Footer"/>
            <w:jc w:val="center"/>
            <w:rPr>
              <w:sz w:val="22"/>
            </w:rPr>
          </w:pPr>
          <w:r>
            <w:rPr>
              <w:sz w:val="22"/>
              <w:lang w:eastAsia="en-US"/>
            </w:rPr>
            <w:t xml:space="preserve">- </w:t>
          </w:r>
          <w:r>
            <w:rPr>
              <w:sz w:val="22"/>
              <w:lang w:eastAsia="en-US"/>
            </w:rPr>
            <w:fldChar w:fldCharType="begin"/>
          </w:r>
          <w:r>
            <w:rPr>
              <w:sz w:val="22"/>
              <w:lang w:eastAsia="en-US"/>
            </w:rPr>
            <w:instrText xml:space="preserve"> PAGE </w:instrText>
          </w:r>
          <w:r>
            <w:rPr>
              <w:sz w:val="22"/>
              <w:lang w:eastAsia="en-US"/>
            </w:rPr>
            <w:fldChar w:fldCharType="separate"/>
          </w:r>
          <w:r>
            <w:rPr>
              <w:sz w:val="22"/>
              <w:lang w:eastAsia="en-US"/>
            </w:rPr>
            <w:t>49</w:t>
          </w:r>
          <w:r>
            <w:rPr>
              <w:sz w:val="22"/>
              <w:lang w:eastAsia="en-US"/>
            </w:rPr>
            <w:fldChar w:fldCharType="end"/>
          </w:r>
          <w:r>
            <w:rPr>
              <w:sz w:val="22"/>
              <w:lang w:eastAsia="en-US"/>
            </w:rPr>
            <w:t xml:space="preserve"> -</w:t>
          </w:r>
        </w:p>
      </w:tc>
      <w:tc>
        <w:tcPr>
          <w:tcW w:w="2900" w:type="dxa"/>
          <w:tcBorders/>
          <w:vAlign w:val="bottom"/>
        </w:tcPr>
        <w:p>
          <w:pPr>
            <w:pStyle w:val="Footer"/>
            <w:jc w:val="end"/>
            <w:rPr/>
          </w:pPr>
          <w:r>
            <w:rPr/>
            <w:t>E3270/00388</w:t>
          </w:r>
        </w:p>
      </w:tc>
    </w:tr>
  </w:tbl>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jc w:val="start"/>
            <w:rPr/>
          </w:pPr>
          <w:r>
            <w:rPr/>
            <w:t>London-1/447339/02</w:t>
          </w:r>
        </w:p>
      </w:tc>
      <w:tc>
        <w:tcPr>
          <w:tcW w:w="2900" w:type="dxa"/>
          <w:tcBorders/>
          <w:vAlign w:val="center"/>
        </w:tcPr>
        <w:p>
          <w:pPr>
            <w:pStyle w:val="Footer"/>
            <w:jc w:val="center"/>
            <w:rPr/>
          </w:pPr>
          <w:r>
            <w:rPr>
              <w:sz w:val="22"/>
              <w:lang w:eastAsia="en-US"/>
            </w:rPr>
            <w:t xml:space="preserve">- </w:t>
          </w:r>
          <w:r>
            <w:rPr>
              <w:sz w:val="22"/>
              <w:lang w:eastAsia="en-US"/>
            </w:rPr>
            <w:fldChar w:fldCharType="begin"/>
          </w:r>
          <w:r>
            <w:rPr>
              <w:sz w:val="22"/>
              <w:lang w:eastAsia="en-US"/>
            </w:rPr>
            <w:instrText xml:space="preserve"> PAGE </w:instrText>
          </w:r>
          <w:r>
            <w:rPr>
              <w:sz w:val="22"/>
              <w:lang w:eastAsia="en-US"/>
            </w:rPr>
            <w:fldChar w:fldCharType="separate"/>
          </w:r>
          <w:r>
            <w:rPr>
              <w:sz w:val="22"/>
              <w:lang w:eastAsia="en-US"/>
            </w:rPr>
            <w:t>54</w:t>
          </w:r>
          <w:r>
            <w:rPr>
              <w:sz w:val="22"/>
              <w:lang w:eastAsia="en-US"/>
            </w:rPr>
            <w:fldChar w:fldCharType="end"/>
          </w:r>
          <w:r>
            <w:rPr>
              <w:sz w:val="22"/>
              <w:lang w:eastAsia="en-US"/>
            </w:rPr>
            <w:t xml:space="preserve"> -</w:t>
          </w:r>
        </w:p>
      </w:tc>
      <w:tc>
        <w:tcPr>
          <w:tcW w:w="2900" w:type="dxa"/>
          <w:tcBorders/>
          <w:vAlign w:val="bottom"/>
        </w:tcPr>
        <w:p>
          <w:pPr>
            <w:pStyle w:val="Footer"/>
            <w:jc w:val="end"/>
            <w:rPr/>
          </w:pPr>
          <w:r>
            <w:rPr/>
            <w:t>E3270/00388</w:t>
          </w:r>
        </w:p>
      </w:tc>
    </w:tr>
  </w:tbl>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jc w:val="start"/>
            <w:rPr/>
          </w:pPr>
          <w:r>
            <w:rPr/>
            <w:t>London-1/447339/02</w:t>
          </w:r>
        </w:p>
      </w:tc>
      <w:tc>
        <w:tcPr>
          <w:tcW w:w="2900" w:type="dxa"/>
          <w:tcBorders/>
          <w:vAlign w:val="center"/>
        </w:tcPr>
        <w:p>
          <w:pPr>
            <w:pStyle w:val="Footer"/>
            <w:jc w:val="center"/>
            <w:rPr/>
          </w:pPr>
          <w:r>
            <w:rPr>
              <w:sz w:val="22"/>
              <w:lang w:eastAsia="en-US"/>
            </w:rPr>
            <w:t xml:space="preserve">- </w:t>
          </w:r>
          <w:r>
            <w:rPr>
              <w:sz w:val="22"/>
              <w:lang w:eastAsia="en-US"/>
            </w:rPr>
            <w:fldChar w:fldCharType="begin"/>
          </w:r>
          <w:r>
            <w:rPr>
              <w:sz w:val="22"/>
              <w:lang w:eastAsia="en-US"/>
            </w:rPr>
            <w:instrText xml:space="preserve"> PAGE </w:instrText>
          </w:r>
          <w:r>
            <w:rPr>
              <w:sz w:val="22"/>
              <w:lang w:eastAsia="en-US"/>
            </w:rPr>
            <w:fldChar w:fldCharType="separate"/>
          </w:r>
          <w:r>
            <w:rPr>
              <w:sz w:val="22"/>
              <w:lang w:eastAsia="en-US"/>
            </w:rPr>
            <w:t>69</w:t>
          </w:r>
          <w:r>
            <w:rPr>
              <w:sz w:val="22"/>
              <w:lang w:eastAsia="en-US"/>
            </w:rPr>
            <w:fldChar w:fldCharType="end"/>
          </w:r>
          <w:r>
            <w:rPr>
              <w:sz w:val="22"/>
              <w:lang w:eastAsia="en-US"/>
            </w:rPr>
            <w:t xml:space="preserve"> -</w:t>
          </w:r>
        </w:p>
      </w:tc>
      <w:tc>
        <w:tcPr>
          <w:tcW w:w="2900" w:type="dxa"/>
          <w:tcBorders/>
          <w:vAlign w:val="bottom"/>
        </w:tcPr>
        <w:p>
          <w:pPr>
            <w:pStyle w:val="Footer"/>
            <w:jc w:val="end"/>
            <w:rPr/>
          </w:pPr>
          <w:r>
            <w:rPr/>
            <w:t>E3270/00388</w:t>
          </w:r>
        </w:p>
      </w:tc>
    </w:tr>
  </w:tbl>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00"/>
        <w:ind w:hanging="113" w:start="113" w:end="0"/>
        <w:rPr/>
      </w:pPr>
      <w:r>
        <w:rPr>
          <w:rStyle w:val="FootnoteCharacters"/>
        </w:rPr>
        <w:footnoteRef/>
      </w:r>
      <w:r>
        <w:rPr/>
        <w:t xml:space="preserve"> </w:t>
      </w:r>
      <w:r>
        <w:rPr/>
        <w:t>Radiocommunications are regulated under a series of Wireless Telegraphy Acts.</w:t>
      </w:r>
    </w:p>
  </w:footnote>
  <w:footnote w:id="3">
    <w:p>
      <w:pPr>
        <w:pStyle w:val="FootnoteText"/>
        <w:spacing w:before="0" w:after="100"/>
        <w:ind w:hanging="113" w:start="113" w:end="0"/>
        <w:rPr/>
      </w:pPr>
      <w:r>
        <w:rPr>
          <w:rStyle w:val="FootnoteCharacters"/>
        </w:rPr>
        <w:footnoteRef/>
      </w:r>
      <w:r>
        <w:rPr/>
        <w:t xml:space="preserve"> </w:t>
      </w:r>
      <w:r>
        <w:rPr/>
        <w:t>We note that system-less service providers are in some contexts regulated under the UK telecommunications regime (although not in relation to the Transactions).  For example, under the Telecommunications (Open Network Provision) (Voice Telephony) Regulations 1998 (SI 1998, No. 1580), the DTI can designate a system-less service provider providing voice telephony services as having significant market power.</w:t>
      </w:r>
    </w:p>
  </w:footnote>
  <w:footnote w:id="4">
    <w:p>
      <w:pPr>
        <w:pStyle w:val="FootnoteText"/>
        <w:spacing w:before="0" w:after="100"/>
        <w:ind w:hanging="113" w:start="113" w:end="0"/>
        <w:rPr/>
      </w:pPr>
      <w:r>
        <w:rPr>
          <w:rStyle w:val="FootnoteCharacters"/>
        </w:rPr>
        <w:footnoteRef/>
      </w:r>
      <w:r>
        <w:rPr/>
        <w:t xml:space="preserve"> </w:t>
      </w:r>
      <w:r>
        <w:rPr/>
        <w:t>See also Section 1H and Annex 3 below.</w:t>
      </w:r>
    </w:p>
  </w:footnote>
  <w:footnote w:id="5">
    <w:p>
      <w:pPr>
        <w:pStyle w:val="FootnoteText"/>
        <w:spacing w:before="0" w:after="100"/>
        <w:ind w:hanging="113" w:start="113" w:end="0"/>
        <w:rPr/>
      </w:pPr>
      <w:r>
        <w:rPr>
          <w:rStyle w:val="FootnoteCharacters"/>
        </w:rPr>
        <w:footnoteRef/>
      </w:r>
      <w:r>
        <w:rPr/>
        <w:t xml:space="preserve"> </w:t>
      </w:r>
      <w:r>
        <w:rPr/>
        <w:t>See discussion above Section 1C(c)(ii).</w:t>
      </w:r>
    </w:p>
  </w:footnote>
  <w:footnote w:id="6">
    <w:p>
      <w:pPr>
        <w:pStyle w:val="FootnoteText"/>
        <w:spacing w:before="0" w:after="100"/>
        <w:ind w:hanging="113" w:start="113" w:end="0"/>
        <w:rPr/>
      </w:pPr>
      <w:r>
        <w:rPr>
          <w:rStyle w:val="FootnoteCharacters"/>
        </w:rPr>
        <w:footnoteRef/>
      </w:r>
      <w:r>
        <w:rPr/>
        <w:t xml:space="preserve"> </w:t>
      </w:r>
      <w:r>
        <w:rPr/>
        <w:t xml:space="preserve">[1939] AC 277, per Lord Wright at p.290.  This principle was affirmed in </w:t>
      </w:r>
      <w:r>
        <w:rPr>
          <w:i/>
        </w:rPr>
        <w:t xml:space="preserve">Whitworth Street Estates (Manchester) Ltd -v- James Miller and Partners Ltd, </w:t>
      </w:r>
      <w:r>
        <w:rPr/>
        <w:t xml:space="preserve">[1970] AC 583. </w:t>
      </w:r>
    </w:p>
  </w:footnote>
  <w:footnote w:id="7">
    <w:p>
      <w:pPr>
        <w:pStyle w:val="BodyText2"/>
        <w:spacing w:before="0" w:after="200"/>
        <w:ind w:hanging="142" w:start="142" w:end="0"/>
        <w:rPr/>
      </w:pPr>
      <w:r>
        <w:rPr>
          <w:rStyle w:val="FootnoteCharacters"/>
        </w:rPr>
        <w:footnoteRef/>
      </w:r>
      <w:r>
        <w:rPr/>
        <w:t xml:space="preserve"> </w:t>
      </w:r>
      <w:r>
        <w:rPr>
          <w:i/>
          <w:sz w:val="18"/>
        </w:rPr>
        <w:t xml:space="preserve">Lucks -v- Standard Oil Co </w:t>
      </w:r>
      <w:r>
        <w:rPr>
          <w:sz w:val="18"/>
        </w:rPr>
        <w:t>224 NY 99, 111. Although historically there was some initial reluctance, the principle of party autonomy has also been accepted in the United States.</w:t>
      </w:r>
    </w:p>
  </w:footnote>
  <w:footnote w:id="8">
    <w:p>
      <w:pPr>
        <w:pStyle w:val="FootnoteText"/>
        <w:spacing w:before="0" w:after="100"/>
        <w:ind w:hanging="113" w:start="113" w:end="0"/>
        <w:rPr/>
      </w:pPr>
      <w:r>
        <w:rPr>
          <w:rStyle w:val="FootnoteCharacters"/>
        </w:rPr>
        <w:footnoteRef/>
      </w:r>
      <w:r>
        <w:rPr/>
        <w:t xml:space="preserve"> </w:t>
      </w:r>
      <w:r>
        <w:rPr/>
        <w:t>Section.1(1).</w:t>
      </w:r>
    </w:p>
  </w:footnote>
  <w:footnote w:id="9">
    <w:p>
      <w:pPr>
        <w:pStyle w:val="FootnoteText"/>
        <w:spacing w:before="0" w:after="100"/>
        <w:ind w:hanging="113" w:start="113" w:end="0"/>
        <w:rPr/>
      </w:pPr>
      <w:r>
        <w:rPr>
          <w:rStyle w:val="FootnoteCharacters"/>
        </w:rPr>
        <w:footnoteRef/>
      </w:r>
      <w:r>
        <w:rPr/>
        <w:t xml:space="preserve"> </w:t>
      </w:r>
      <w:r>
        <w:rPr/>
        <w:t>Article 17 (1).</w:t>
      </w:r>
    </w:p>
  </w:footnote>
  <w:footnote w:id="10">
    <w:p>
      <w:pPr>
        <w:pStyle w:val="FootnoteText"/>
        <w:spacing w:before="0" w:after="100"/>
        <w:ind w:hanging="113" w:start="113" w:end="0"/>
        <w:rPr/>
      </w:pPr>
      <w:r>
        <w:rPr>
          <w:rStyle w:val="FootnoteCharacters"/>
        </w:rPr>
        <w:footnoteRef/>
      </w:r>
      <w:r>
        <w:rPr/>
        <w:t xml:space="preserve"> </w:t>
      </w:r>
      <w:r>
        <w:rPr/>
        <w:t>Article 22.3.</w:t>
      </w:r>
    </w:p>
  </w:footnote>
  <w:footnote w:id="11">
    <w:p>
      <w:pPr>
        <w:pStyle w:val="FootnoteText"/>
        <w:spacing w:before="0" w:after="100"/>
        <w:ind w:hanging="113" w:start="113" w:end="0"/>
        <w:rPr/>
      </w:pPr>
      <w:r>
        <w:rPr>
          <w:rStyle w:val="FootnoteCharacters"/>
        </w:rPr>
        <w:footnoteRef/>
      </w:r>
      <w:r>
        <w:rPr/>
        <w:t xml:space="preserve"> </w:t>
      </w:r>
      <w:r>
        <w:rPr/>
        <w:t>Article 28.</w:t>
      </w:r>
    </w:p>
  </w:footnote>
  <w:footnote w:id="12">
    <w:p>
      <w:pPr>
        <w:pStyle w:val="FootnoteText"/>
        <w:spacing w:before="0" w:after="100"/>
        <w:ind w:hanging="113" w:start="113" w:end="0"/>
        <w:rPr/>
      </w:pPr>
      <w:r>
        <w:rPr>
          <w:rStyle w:val="FootnoteCharacters"/>
        </w:rPr>
        <w:footnoteRef/>
      </w:r>
      <w:r>
        <w:rPr/>
        <w:t xml:space="preserve"> </w:t>
      </w:r>
      <w:r>
        <w:rPr/>
        <w:t>Section 5(6). It is noted that Article II (2) of the New York Convention requires signature by the parties to a written agreement for it to be valid.</w:t>
      </w:r>
    </w:p>
  </w:footnote>
  <w:footnote w:id="13">
    <w:p>
      <w:pPr>
        <w:pStyle w:val="FootnoteText"/>
        <w:spacing w:before="0" w:after="100"/>
        <w:ind w:hanging="113" w:start="113" w:end="0"/>
        <w:rPr/>
      </w:pPr>
      <w:r>
        <w:rPr>
          <w:rStyle w:val="FootnoteCharacters"/>
        </w:rPr>
        <w:footnoteRef/>
      </w:r>
      <w:r>
        <w:rPr/>
        <w:t xml:space="preserve"> </w:t>
      </w:r>
      <w:r>
        <w:rPr/>
        <w:t>Section 5(2)(b).</w:t>
      </w:r>
    </w:p>
  </w:footnote>
  <w:footnote w:id="14">
    <w:p>
      <w:pPr>
        <w:pStyle w:val="FootnoteText"/>
        <w:spacing w:before="0" w:after="100"/>
        <w:ind w:hanging="113" w:start="113" w:end="0"/>
        <w:rPr/>
      </w:pPr>
      <w:r>
        <w:rPr>
          <w:rStyle w:val="FootnoteCharacters"/>
        </w:rPr>
        <w:footnoteRef/>
      </w:r>
      <w:r>
        <w:rPr/>
        <w:t xml:space="preserve"> </w:t>
      </w:r>
      <w:r>
        <w:rPr/>
        <w:t>It is noted that the New York Convention entered into force in the United States on 29 December 1970.  The United Kingdom, when ratifying the 1958 New York Convention, included a "reciprocity" reservation, meaning that the United Kingdom will apply the Convention to the recognition and enforcement of awards made only in the territory of a state which is a Contracting State to the Convention.  The United States has made a similar reservation but has taken the additional step of taking advantage of the "commercial" reservation, under which the United States will apply the Convention only to differences arising out of legal relationships, whether contractual or not, which are regarded as commercial under its law.  The United Kingdom has not adopted this later reservation.</w:t>
      </w:r>
    </w:p>
  </w:footnote>
  <w:footnote w:id="15">
    <w:p>
      <w:pPr>
        <w:pStyle w:val="FootnoteText"/>
        <w:spacing w:before="0" w:after="100"/>
        <w:ind w:hanging="113" w:start="113" w:end="0"/>
        <w:rPr/>
      </w:pPr>
      <w:r>
        <w:rPr>
          <w:rStyle w:val="FootnoteCharacters"/>
        </w:rPr>
        <w:footnoteRef/>
      </w:r>
      <w:r>
        <w:rPr/>
        <w:t xml:space="preserve"> </w:t>
      </w:r>
      <w:r>
        <w:rPr>
          <w:i/>
        </w:rPr>
        <w:t>Rosseel -v- The Oriental and Commercial and Shipping Co (UK) Ltd</w:t>
      </w:r>
      <w:r>
        <w:rPr/>
        <w:t xml:space="preserve"> [1991] 2 Lloyd's Rep. 625.</w:t>
      </w:r>
    </w:p>
  </w:footnote>
  <w:footnote w:id="16">
    <w:p>
      <w:pPr>
        <w:pStyle w:val="FootnoteText"/>
        <w:spacing w:before="0" w:after="100"/>
        <w:ind w:hanging="113" w:start="113" w:end="0"/>
        <w:rPr/>
      </w:pPr>
      <w:r>
        <w:rPr>
          <w:rStyle w:val="FootnoteCharacters"/>
        </w:rPr>
        <w:footnoteRef/>
      </w:r>
      <w:r>
        <w:rPr/>
        <w:t xml:space="preserve"> </w:t>
      </w:r>
      <w:r>
        <w:rPr/>
        <w:t xml:space="preserve">Section 66 (1). </w:t>
      </w:r>
    </w:p>
  </w:footnote>
  <w:footnote w:id="17">
    <w:p>
      <w:pPr>
        <w:pStyle w:val="FootnoteText"/>
        <w:spacing w:before="0" w:after="100"/>
        <w:ind w:hanging="113" w:start="113" w:end="0"/>
        <w:rPr/>
      </w:pPr>
      <w:r>
        <w:rPr>
          <w:rStyle w:val="FootnoteCharacters"/>
        </w:rPr>
        <w:footnoteRef/>
      </w:r>
      <w:r>
        <w:rPr/>
        <w:t xml:space="preserve"> </w:t>
      </w:r>
      <w:r>
        <w:rPr/>
        <w:t>Section 103.</w:t>
      </w:r>
    </w:p>
  </w:footnote>
  <w:footnote w:id="18">
    <w:p>
      <w:pPr>
        <w:pStyle w:val="FootnoteText"/>
        <w:spacing w:before="0" w:after="100"/>
        <w:ind w:hanging="113" w:start="113" w:end="0"/>
        <w:rPr/>
      </w:pPr>
      <w:r>
        <w:rPr>
          <w:rStyle w:val="FootnoteCharacters"/>
        </w:rPr>
        <w:footnoteRef/>
      </w:r>
      <w:r>
        <w:rPr/>
        <w:t xml:space="preserve"> </w:t>
      </w:r>
      <w:r>
        <w:rPr/>
        <w:t>Section 7.</w:t>
      </w:r>
    </w:p>
  </w:footnote>
  <w:footnote w:id="19">
    <w:p>
      <w:pPr>
        <w:pStyle w:val="FootnoteText"/>
        <w:spacing w:before="0" w:after="100"/>
        <w:ind w:hanging="113" w:start="113" w:end="0"/>
        <w:rPr/>
      </w:pPr>
      <w:r>
        <w:rPr>
          <w:rStyle w:val="FootnoteCharacters"/>
        </w:rPr>
        <w:footnoteRef/>
      </w:r>
      <w:r>
        <w:rPr/>
        <w:t xml:space="preserve"> </w:t>
      </w:r>
      <w:r>
        <w:rPr/>
        <w:t>Section 103 (2)(f).</w:t>
      </w:r>
    </w:p>
  </w:footnote>
  <w:footnote w:id="20">
    <w:p>
      <w:pPr>
        <w:pStyle w:val="FootnoteText"/>
        <w:spacing w:before="0" w:after="100"/>
        <w:ind w:hanging="113" w:start="113" w:end="0"/>
        <w:rPr/>
      </w:pPr>
      <w:r>
        <w:rPr>
          <w:rStyle w:val="FootnoteCharacters"/>
        </w:rPr>
        <w:footnoteRef/>
      </w:r>
      <w:r>
        <w:rPr/>
        <w:t xml:space="preserve"> </w:t>
      </w:r>
      <w:r>
        <w:rPr/>
        <w:t>Section 103 (5).</w:t>
      </w:r>
    </w:p>
  </w:footnote>
  <w:footnote w:id="21">
    <w:p>
      <w:pPr>
        <w:pStyle w:val="FootnoteText"/>
        <w:spacing w:before="0" w:after="100"/>
        <w:ind w:hanging="113" w:start="113" w:end="0"/>
        <w:rPr/>
      </w:pPr>
      <w:r>
        <w:rPr>
          <w:rStyle w:val="FootnoteCharacters"/>
        </w:rPr>
        <w:footnoteRef/>
      </w:r>
      <w:r>
        <w:rPr/>
        <w:t xml:space="preserve"> </w:t>
      </w:r>
      <w:r>
        <w:rPr/>
        <w:t xml:space="preserve">Section 103 (3). </w:t>
      </w:r>
    </w:p>
  </w:footnote>
  <w:footnote w:id="22">
    <w:p>
      <w:pPr>
        <w:pStyle w:val="FootnoteText"/>
        <w:spacing w:before="0" w:after="100"/>
        <w:ind w:hanging="113" w:start="113" w:end="0"/>
        <w:rPr/>
      </w:pPr>
      <w:r>
        <w:rPr>
          <w:rStyle w:val="FootnoteCharacters"/>
        </w:rPr>
        <w:footnoteRef/>
      </w:r>
      <w:r>
        <w:rPr/>
        <w:t xml:space="preserve"> </w:t>
      </w:r>
      <w:r>
        <w:rPr/>
        <w:t xml:space="preserve">Section 183 (3). </w:t>
      </w:r>
    </w:p>
  </w:footnote>
  <w:footnote w:id="23">
    <w:p>
      <w:pPr>
        <w:pStyle w:val="FootnoteText"/>
        <w:spacing w:before="0" w:after="100"/>
        <w:ind w:hanging="113" w:start="113" w:end="0"/>
        <w:rPr/>
      </w:pPr>
      <w:r>
        <w:rPr>
          <w:rStyle w:val="FootnoteCharacters"/>
        </w:rPr>
        <w:footnoteRef/>
      </w:r>
      <w:r>
        <w:rPr/>
        <w:t xml:space="preserve"> </w:t>
      </w:r>
      <w:r>
        <w:rPr/>
        <w:t>[1987] 2 All ER 796.</w:t>
      </w:r>
    </w:p>
  </w:footnote>
  <w:footnote w:id="24">
    <w:p>
      <w:pPr>
        <w:pStyle w:val="FootnoteText"/>
        <w:spacing w:before="0" w:after="100"/>
        <w:ind w:hanging="113" w:start="113" w:end="0"/>
        <w:rPr/>
      </w:pPr>
      <w:r>
        <w:rPr>
          <w:rStyle w:val="FootnoteCharacters"/>
        </w:rPr>
        <w:footnoteRef/>
      </w:r>
      <w:r>
        <w:rPr/>
        <w:t xml:space="preserve"> </w:t>
      </w:r>
      <w:r>
        <w:rPr/>
        <w:t>Section 66.</w:t>
      </w:r>
    </w:p>
  </w:footnote>
  <w:footnote w:id="25">
    <w:p>
      <w:pPr>
        <w:pStyle w:val="FootnoteText"/>
        <w:spacing w:before="0" w:after="100"/>
        <w:ind w:hanging="113" w:start="113" w:end="0"/>
        <w:rPr/>
      </w:pPr>
      <w:r>
        <w:rPr>
          <w:rStyle w:val="FootnoteCharacters"/>
        </w:rPr>
        <w:footnoteRef/>
      </w:r>
      <w:r>
        <w:rPr/>
        <w:t xml:space="preserve"> </w:t>
      </w:r>
      <w:r>
        <w:rPr/>
        <w:t>Section 67.</w:t>
      </w:r>
    </w:p>
  </w:footnote>
  <w:footnote w:id="26">
    <w:p>
      <w:pPr>
        <w:pStyle w:val="FootnoteText"/>
        <w:spacing w:before="0" w:after="100"/>
        <w:ind w:hanging="113" w:start="113" w:end="0"/>
        <w:rPr/>
      </w:pPr>
      <w:r>
        <w:rPr>
          <w:rStyle w:val="FootnoteCharacters"/>
        </w:rPr>
        <w:footnoteRef/>
      </w:r>
      <w:r>
        <w:rPr/>
        <w:t xml:space="preserve"> </w:t>
      </w:r>
      <w:r>
        <w:rPr/>
        <w:t>Section 68.</w:t>
      </w:r>
    </w:p>
  </w:footnote>
  <w:footnote w:id="27">
    <w:p>
      <w:pPr>
        <w:pStyle w:val="FootnoteText"/>
        <w:spacing w:before="0" w:after="100"/>
        <w:ind w:hanging="113" w:start="113" w:end="0"/>
        <w:rPr/>
      </w:pPr>
      <w:r>
        <w:rPr>
          <w:rStyle w:val="FootnoteCharacters"/>
        </w:rPr>
        <w:footnoteRef/>
      </w:r>
      <w:r>
        <w:rPr/>
        <w:t xml:space="preserve"> </w:t>
      </w:r>
      <w:r>
        <w:rPr/>
        <w:t>Section 68(2).</w:t>
      </w:r>
    </w:p>
  </w:footnote>
  <w:footnote w:id="28">
    <w:p>
      <w:pPr>
        <w:pStyle w:val="FootnoteText"/>
        <w:spacing w:before="0" w:after="100"/>
        <w:ind w:hanging="113" w:start="113" w:end="0"/>
        <w:rPr/>
      </w:pPr>
      <w:r>
        <w:rPr>
          <w:rStyle w:val="FootnoteCharacters"/>
        </w:rPr>
        <w:footnoteRef/>
      </w:r>
      <w:r>
        <w:rPr/>
        <w:t xml:space="preserve"> </w:t>
      </w:r>
      <w:r>
        <w:rPr/>
        <w:t>Section 69.</w:t>
      </w:r>
    </w:p>
  </w:footnote>
  <w:footnote w:id="29">
    <w:p>
      <w:pPr>
        <w:pStyle w:val="FootnoteText"/>
        <w:spacing w:before="0" w:after="100"/>
        <w:ind w:hanging="113" w:start="113" w:end="0"/>
        <w:rPr/>
      </w:pPr>
      <w:r>
        <w:rPr>
          <w:rStyle w:val="FootnoteCharacters"/>
        </w:rPr>
        <w:footnoteRef/>
      </w:r>
      <w:r>
        <w:rPr/>
        <w:t xml:space="preserve"> </w:t>
      </w:r>
      <w:r>
        <w:rPr/>
        <w:t>Where a partnership includes a corporate partner it should be possible to make that partner subject to all of the insolvency procedures mentioned in the ordinary way subject to certain modifications where the partnership itself is subject to an insolvency procedure.</w:t>
      </w:r>
    </w:p>
  </w:footnote>
  <w:footnote w:id="30">
    <w:p>
      <w:pPr>
        <w:pStyle w:val="FootnoteText"/>
        <w:spacing w:before="0" w:after="100"/>
        <w:ind w:hanging="113" w:start="113" w:end="0"/>
        <w:rPr/>
      </w:pPr>
      <w:r>
        <w:rPr>
          <w:rStyle w:val="FootnoteCharacters"/>
        </w:rPr>
        <w:footnoteRef/>
      </w:r>
      <w:r>
        <w:rPr/>
        <w:t xml:space="preserve"> </w:t>
      </w:r>
      <w:r>
        <w:rPr>
          <w:i/>
        </w:rPr>
        <w:t>Tamlin v Hannaford [1950] 1 KB 18</w:t>
      </w:r>
      <w:r>
        <w:rPr/>
        <w:t xml:space="preserve"> in which it was held that where a corporation: (i) performs governmental or administrative functions (as opposed to commercial activities); (ii) its responsibilities of management are owed to the government; (iii) it has no shareholders: (iv) its primary source of funding is the Treasury; (v) it makes no profit - its revenues and expenditure balance, then it is not liable to be wound up "at the suit of any creditor". </w:t>
      </w:r>
    </w:p>
  </w:footnote>
  <w:footnote w:id="31">
    <w:p>
      <w:pPr>
        <w:pStyle w:val="FootnoteText"/>
        <w:spacing w:before="0" w:after="100"/>
        <w:ind w:hanging="113" w:start="113" w:end="0"/>
        <w:rPr/>
      </w:pPr>
      <w:r>
        <w:rPr>
          <w:rStyle w:val="FootnoteCharacters"/>
        </w:rPr>
        <w:footnoteRef/>
      </w:r>
      <w:r>
        <w:rPr/>
        <w:t xml:space="preserve"> </w:t>
      </w:r>
      <w:r>
        <w:rPr/>
        <w:t>Being agreements or practices between undertakings with the object or effect of the prevention, restriction or distortion of trade.</w:t>
      </w:r>
    </w:p>
  </w:footnote>
  <w:footnote w:id="32">
    <w:p>
      <w:pPr>
        <w:pStyle w:val="FootnoteText"/>
        <w:spacing w:before="0" w:after="100"/>
        <w:ind w:hanging="113" w:start="113" w:end="0"/>
        <w:rPr/>
      </w:pPr>
      <w:r>
        <w:rPr>
          <w:rStyle w:val="FootnoteCharacters"/>
        </w:rPr>
        <w:footnoteRef/>
      </w:r>
      <w:r>
        <w:rPr/>
        <w:t xml:space="preserve"> </w:t>
      </w:r>
      <w:r>
        <w:rPr/>
        <w:t>Conduct on the part of one or more undertakings having a dominant position on a market which is abusive is prohibited under both Article 82 of the Treaty of Rome and the Chapter II UK Competition Act 1998. Such abuses would include imposing high prices or applying dissimilar conditions to equivalent transactions with different parties.</w:t>
      </w:r>
    </w:p>
  </w:footnote>
  <w:footnote w:id="33">
    <w:p>
      <w:pPr>
        <w:pStyle w:val="FootnoteText"/>
        <w:spacing w:before="0" w:after="100"/>
        <w:ind w:hanging="113" w:start="113" w:end="0"/>
        <w:rPr/>
      </w:pPr>
      <w:r>
        <w:rPr>
          <w:rStyle w:val="FootnoteCharacters"/>
        </w:rPr>
        <w:footnoteRef/>
      </w:r>
      <w:r>
        <w:rPr/>
        <w:t xml:space="preserve"> </w:t>
      </w:r>
      <w:r>
        <w:rPr/>
        <w:t>See the definition of "telecommunications system" set out in Section 1A(a)(ii) above.</w:t>
      </w:r>
    </w:p>
  </w:footnote>
  <w:footnote w:id="34">
    <w:p>
      <w:pPr>
        <w:pStyle w:val="FootnoteText"/>
        <w:spacing w:before="0" w:after="100"/>
        <w:ind w:hanging="113" w:start="113" w:end="0"/>
        <w:rPr/>
      </w:pPr>
      <w:r>
        <w:rPr>
          <w:rStyle w:val="FootnoteCharacters"/>
        </w:rPr>
        <w:footnoteRef/>
      </w:r>
      <w:r>
        <w:rPr/>
        <w:t xml:space="preserve"> </w:t>
      </w:r>
      <w:r>
        <w:rPr/>
        <w:t>"Telecommunications apparatus" is defined broadly in the Telecommunications Act and includes all apparatus constructed or adapted for use in transmitting, receiving or conveying signals, voice, data, images etc.</w:t>
      </w:r>
    </w:p>
  </w:footnote>
  <w:footnote w:id="35">
    <w:p>
      <w:pPr>
        <w:pStyle w:val="FootnoteText"/>
        <w:spacing w:before="0" w:after="100"/>
        <w:ind w:hanging="113" w:start="113" w:end="0"/>
        <w:rPr/>
      </w:pPr>
      <w:r>
        <w:rPr>
          <w:rStyle w:val="FootnoteCharacters"/>
        </w:rPr>
        <w:footnoteRef/>
      </w:r>
      <w:r>
        <w:rPr/>
        <w:t xml:space="preserve"> </w:t>
      </w:r>
      <w:r>
        <w:rPr/>
        <w:t>Being the current version of the TSL that came into force on 27 September 1999.</w:t>
      </w:r>
    </w:p>
  </w:footnote>
  <w:footnote w:id="36">
    <w:p>
      <w:pPr>
        <w:pStyle w:val="FootnoteText"/>
        <w:spacing w:before="0" w:after="100"/>
        <w:ind w:hanging="113" w:start="113" w:end="0"/>
        <w:rPr/>
      </w:pPr>
      <w:r>
        <w:rPr>
          <w:rStyle w:val="FootnoteCharacters"/>
        </w:rPr>
        <w:footnoteRef/>
      </w:r>
      <w:r>
        <w:rPr/>
        <w:t xml:space="preserve"> </w:t>
      </w:r>
      <w:r>
        <w:rPr/>
        <w:t>SI 1997, No. 2932.</w:t>
      </w:r>
    </w:p>
  </w:footnote>
  <w:footnote w:id="37">
    <w:p>
      <w:pPr>
        <w:pStyle w:val="FootnoteText"/>
        <w:spacing w:before="0" w:after="100"/>
        <w:ind w:hanging="113" w:start="113" w:end="0"/>
        <w:rPr/>
      </w:pPr>
      <w:r>
        <w:rPr>
          <w:rStyle w:val="FootnoteCharacters"/>
        </w:rPr>
        <w:footnoteRef/>
      </w:r>
      <w:r>
        <w:rPr/>
        <w:t xml:space="preserve"> </w:t>
      </w:r>
      <w:r>
        <w:rPr/>
        <w:t>Interception of Communications Act 1985, Section 2.</w:t>
      </w:r>
    </w:p>
  </w:footnote>
  <w:footnote w:id="38">
    <w:p>
      <w:pPr>
        <w:pStyle w:val="FootnoteText"/>
        <w:spacing w:before="0" w:after="100"/>
        <w:ind w:hanging="113" w:start="113" w:end="0"/>
        <w:rPr/>
      </w:pPr>
      <w:r>
        <w:rPr>
          <w:rStyle w:val="FootnoteCharacters"/>
        </w:rPr>
        <w:footnoteRef/>
      </w:r>
      <w:r>
        <w:rPr/>
        <w:t xml:space="preserve"> </w:t>
      </w:r>
      <w:r>
        <w:rPr/>
        <w:t>Telecommunications Act, Section 106(1) and Section 9(1).</w:t>
      </w:r>
    </w:p>
  </w:footnote>
  <w:footnote w:id="39">
    <w:p>
      <w:pPr>
        <w:pStyle w:val="FootnoteText"/>
        <w:spacing w:before="0" w:after="100"/>
        <w:ind w:hanging="113" w:start="113" w:end="0"/>
        <w:rPr/>
      </w:pPr>
      <w:r>
        <w:rPr>
          <w:rStyle w:val="FootnoteCharacters"/>
        </w:rPr>
        <w:footnoteRef/>
      </w:r>
      <w:r>
        <w:rPr/>
        <w:t xml:space="preserve"> </w:t>
      </w:r>
      <w:r>
        <w:rPr/>
        <w:t>Interception of Communications in the United Kingdom: A Consultation Paper, June 1999.</w:t>
      </w:r>
    </w:p>
  </w:footnote>
  <w:footnote w:id="40">
    <w:p>
      <w:pPr>
        <w:pStyle w:val="FootnoteText"/>
        <w:spacing w:before="0" w:after="100"/>
        <w:ind w:hanging="113" w:start="113" w:end="0"/>
        <w:rPr/>
      </w:pPr>
      <w:r>
        <w:rPr>
          <w:rStyle w:val="FootnoteCharacters"/>
        </w:rPr>
        <w:footnoteRef/>
      </w:r>
      <w:r>
        <w:rPr/>
        <w:t xml:space="preserve"> </w:t>
      </w:r>
      <w:r>
        <w:rPr/>
        <w:t>See further Section 1C above.</w:t>
      </w:r>
    </w:p>
  </w:footnote>
  <w:footnote w:id="41">
    <w:p>
      <w:pPr>
        <w:pStyle w:val="FootnoteText"/>
        <w:spacing w:before="0" w:after="100"/>
        <w:ind w:hanging="113" w:start="113" w:end="0"/>
        <w:rPr/>
      </w:pPr>
      <w:r>
        <w:rPr>
          <w:rStyle w:val="FootnoteCharacters"/>
        </w:rPr>
        <w:footnoteRef/>
      </w:r>
      <w:r>
        <w:rPr/>
        <w:t xml:space="preserve"> </w:t>
      </w:r>
      <w:r>
        <w:rPr/>
        <w:t>See also our response to Section 3A(g) above.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Header"/>
            <w:snapToGrid w:val="false"/>
            <w:jc w:val="start"/>
            <w:rPr/>
          </w:pPr>
          <w:r>
            <w:rPr/>
          </w:r>
        </w:p>
      </w:tc>
      <w:tc>
        <w:tcPr>
          <w:tcW w:w="2900" w:type="dxa"/>
          <w:tcBorders/>
          <w:vAlign w:val="center"/>
        </w:tcPr>
        <w:p>
          <w:pPr>
            <w:pStyle w:val="Header"/>
            <w:snapToGrid w:val="false"/>
            <w:jc w:val="start"/>
            <w:rPr>
              <w:sz w:val="22"/>
            </w:rPr>
          </w:pPr>
          <w:r>
            <w:rPr>
              <w:sz w:val="22"/>
            </w:rPr>
          </w:r>
        </w:p>
      </w:tc>
      <w:tc>
        <w:tcPr>
          <w:tcW w:w="2900" w:type="dxa"/>
          <w:tcBorders/>
          <w:vAlign w:val="bottom"/>
        </w:tcPr>
        <w:p>
          <w:pPr>
            <w:pStyle w:val="Header"/>
            <w:snapToGrid w:val="false"/>
            <w:jc w:val="end"/>
            <w:rPr>
              <w:sz w:val="22"/>
            </w:rPr>
          </w:pPr>
          <w:r>
            <w:rPr>
              <w:sz w:val="22"/>
            </w:rPr>
          </w:r>
        </w:p>
      </w:tc>
    </w:tr>
  </w:tbl>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Header"/>
            <w:snapToGrid w:val="false"/>
            <w:jc w:val="start"/>
            <w:rPr/>
          </w:pPr>
          <w:r>
            <w:rPr/>
          </w:r>
        </w:p>
      </w:tc>
      <w:tc>
        <w:tcPr>
          <w:tcW w:w="2900" w:type="dxa"/>
          <w:tcBorders/>
          <w:vAlign w:val="center"/>
        </w:tcPr>
        <w:p>
          <w:pPr>
            <w:pStyle w:val="Header"/>
            <w:snapToGrid w:val="false"/>
            <w:jc w:val="start"/>
            <w:rPr>
              <w:sz w:val="22"/>
            </w:rPr>
          </w:pPr>
          <w:r>
            <w:rPr>
              <w:sz w:val="22"/>
            </w:rPr>
          </w:r>
        </w:p>
      </w:tc>
      <w:tc>
        <w:tcPr>
          <w:tcW w:w="2900" w:type="dxa"/>
          <w:tcBorders/>
          <w:vAlign w:val="bottom"/>
        </w:tcPr>
        <w:p>
          <w:pPr>
            <w:pStyle w:val="Header"/>
            <w:snapToGrid w:val="false"/>
            <w:jc w:val="end"/>
            <w:rPr>
              <w:sz w:val="22"/>
            </w:rPr>
          </w:pPr>
          <w:r>
            <w:rPr>
              <w:sz w:val="22"/>
            </w:rPr>
          </w:r>
        </w:p>
      </w:tc>
    </w:tr>
  </w:tbl>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Header"/>
            <w:snapToGrid w:val="false"/>
            <w:jc w:val="start"/>
            <w:rPr/>
          </w:pPr>
          <w:r>
            <w:rPr/>
          </w:r>
        </w:p>
      </w:tc>
      <w:tc>
        <w:tcPr>
          <w:tcW w:w="2900" w:type="dxa"/>
          <w:tcBorders/>
          <w:vAlign w:val="center"/>
        </w:tcPr>
        <w:p>
          <w:pPr>
            <w:pStyle w:val="Header"/>
            <w:snapToGrid w:val="false"/>
            <w:jc w:val="start"/>
            <w:rPr>
              <w:sz w:val="22"/>
            </w:rPr>
          </w:pPr>
          <w:r>
            <w:rPr>
              <w:sz w:val="22"/>
            </w:rPr>
          </w:r>
        </w:p>
      </w:tc>
      <w:tc>
        <w:tcPr>
          <w:tcW w:w="2900" w:type="dxa"/>
          <w:tcBorders/>
          <w:vAlign w:val="bottom"/>
        </w:tcPr>
        <w:p>
          <w:pPr>
            <w:pStyle w:val="Header"/>
            <w:snapToGrid w:val="false"/>
            <w:jc w:val="end"/>
            <w:rPr>
              <w:sz w:val="22"/>
            </w:rPr>
          </w:pPr>
          <w:r>
            <w:rPr>
              <w:sz w:val="22"/>
            </w:rPr>
          </w:r>
        </w:p>
      </w:tc>
    </w:tr>
  </w:tbl>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Header"/>
            <w:snapToGrid w:val="false"/>
            <w:jc w:val="start"/>
            <w:rPr/>
          </w:pPr>
          <w:r>
            <w:rPr/>
          </w:r>
        </w:p>
      </w:tc>
      <w:tc>
        <w:tcPr>
          <w:tcW w:w="2900" w:type="dxa"/>
          <w:tcBorders/>
          <w:vAlign w:val="center"/>
        </w:tcPr>
        <w:p>
          <w:pPr>
            <w:pStyle w:val="Header"/>
            <w:snapToGrid w:val="false"/>
            <w:jc w:val="start"/>
            <w:rPr>
              <w:sz w:val="22"/>
            </w:rPr>
          </w:pPr>
          <w:r>
            <w:rPr>
              <w:sz w:val="22"/>
            </w:rPr>
          </w:r>
        </w:p>
      </w:tc>
      <w:tc>
        <w:tcPr>
          <w:tcW w:w="2900" w:type="dxa"/>
          <w:tcBorders/>
          <w:vAlign w:val="bottom"/>
        </w:tcPr>
        <w:p>
          <w:pPr>
            <w:pStyle w:val="Header"/>
            <w:snapToGrid w:val="false"/>
            <w:jc w:val="end"/>
            <w:rPr>
              <w:sz w:val="22"/>
            </w:rPr>
          </w:pPr>
          <w:r>
            <w:rPr>
              <w:sz w:val="22"/>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Header"/>
            <w:snapToGrid w:val="false"/>
            <w:jc w:val="start"/>
            <w:rPr/>
          </w:pPr>
          <w:r>
            <w:rPr/>
          </w:r>
        </w:p>
      </w:tc>
      <w:tc>
        <w:tcPr>
          <w:tcW w:w="2900" w:type="dxa"/>
          <w:tcBorders/>
          <w:vAlign w:val="center"/>
        </w:tcPr>
        <w:p>
          <w:pPr>
            <w:pStyle w:val="Header"/>
            <w:snapToGrid w:val="false"/>
            <w:jc w:val="start"/>
            <w:rPr>
              <w:sz w:val="22"/>
            </w:rPr>
          </w:pPr>
          <w:r>
            <w:rPr>
              <w:sz w:val="22"/>
            </w:rPr>
          </w:r>
        </w:p>
      </w:tc>
      <w:tc>
        <w:tcPr>
          <w:tcW w:w="2900" w:type="dxa"/>
          <w:tcBorders/>
          <w:vAlign w:val="bottom"/>
        </w:tcPr>
        <w:p>
          <w:pPr>
            <w:pStyle w:val="Header"/>
            <w:snapToGrid w:val="false"/>
            <w:jc w:val="end"/>
            <w:rPr>
              <w:sz w:val="22"/>
            </w:rPr>
          </w:pPr>
          <w:r>
            <w:rPr>
              <w:sz w:val="22"/>
            </w:rPr>
          </w:r>
        </w:p>
      </w:tc>
    </w:tr>
  </w:tbl>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Header"/>
            <w:snapToGrid w:val="false"/>
            <w:jc w:val="start"/>
            <w:rPr/>
          </w:pPr>
          <w:r>
            <w:rPr/>
          </w:r>
        </w:p>
      </w:tc>
      <w:tc>
        <w:tcPr>
          <w:tcW w:w="2900" w:type="dxa"/>
          <w:tcBorders/>
          <w:vAlign w:val="center"/>
        </w:tcPr>
        <w:p>
          <w:pPr>
            <w:pStyle w:val="Header"/>
            <w:snapToGrid w:val="false"/>
            <w:jc w:val="start"/>
            <w:rPr>
              <w:sz w:val="22"/>
            </w:rPr>
          </w:pPr>
          <w:r>
            <w:rPr>
              <w:sz w:val="22"/>
            </w:rPr>
          </w:r>
        </w:p>
      </w:tc>
      <w:tc>
        <w:tcPr>
          <w:tcW w:w="2900" w:type="dxa"/>
          <w:tcBorders/>
          <w:vAlign w:val="bottom"/>
        </w:tcPr>
        <w:p>
          <w:pPr>
            <w:pStyle w:val="Header"/>
            <w:snapToGrid w:val="false"/>
            <w:jc w:val="end"/>
            <w:rPr>
              <w:sz w:val="22"/>
            </w:rPr>
          </w:pPr>
          <w:r>
            <w:rPr>
              <w:sz w:val="22"/>
            </w:rPr>
          </w:r>
        </w:p>
      </w:tc>
    </w:tr>
  </w:tbl>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Header"/>
            <w:snapToGrid w:val="false"/>
            <w:jc w:val="start"/>
            <w:rPr/>
          </w:pPr>
          <w:r>
            <w:rPr/>
          </w:r>
        </w:p>
      </w:tc>
      <w:tc>
        <w:tcPr>
          <w:tcW w:w="2900" w:type="dxa"/>
          <w:tcBorders/>
          <w:vAlign w:val="center"/>
        </w:tcPr>
        <w:p>
          <w:pPr>
            <w:pStyle w:val="Header"/>
            <w:snapToGrid w:val="false"/>
            <w:jc w:val="start"/>
            <w:rPr>
              <w:sz w:val="22"/>
            </w:rPr>
          </w:pPr>
          <w:r>
            <w:rPr>
              <w:sz w:val="22"/>
            </w:rPr>
          </w:r>
        </w:p>
      </w:tc>
      <w:tc>
        <w:tcPr>
          <w:tcW w:w="2900" w:type="dxa"/>
          <w:tcBorders/>
          <w:vAlign w:val="bottom"/>
        </w:tcPr>
        <w:p>
          <w:pPr>
            <w:pStyle w:val="Header"/>
            <w:snapToGrid w:val="false"/>
            <w:jc w:val="end"/>
            <w:rPr>
              <w:sz w:val="22"/>
            </w:rPr>
          </w:pPr>
          <w:r>
            <w:rPr>
              <w:sz w:val="22"/>
            </w:rPr>
          </w:r>
        </w:p>
      </w:tc>
    </w:tr>
  </w:tbl>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624"/>
        </w:tabs>
        <w:ind w:start="624" w:hanging="624"/>
      </w:pPr>
      <w:rPr>
        <w:sz w:val="20"/>
        <w:i w:val="false"/>
        <w:b w:val="false"/>
        <w:rFonts w:ascii="CG Times" w:hAnsi="CG Times" w:cs="CG Times"/>
      </w:rPr>
    </w:lvl>
    <w:lvl w:ilvl="1">
      <w:start w:val="1"/>
      <w:pStyle w:val="Heading2"/>
      <w:numFmt w:val="decimal"/>
      <w:lvlText w:val="%1.%2"/>
      <w:lvlJc w:val="start"/>
      <w:pPr>
        <w:tabs>
          <w:tab w:val="num" w:pos="624"/>
        </w:tabs>
        <w:ind w:start="624" w:hanging="624"/>
      </w:pPr>
      <w:rPr>
        <w:sz w:val="20"/>
        <w:i w:val="false"/>
        <w:b w:val="false"/>
      </w:rPr>
    </w:lvl>
    <w:lvl w:ilvl="2">
      <w:start w:val="1"/>
      <w:pStyle w:val="Heading3"/>
      <w:numFmt w:val="decimal"/>
      <w:lvlText w:val="%1.%2.%3"/>
      <w:lvlJc w:val="start"/>
      <w:pPr>
        <w:tabs>
          <w:tab w:val="num" w:pos="1417"/>
        </w:tabs>
        <w:ind w:start="1417" w:hanging="793"/>
      </w:pPr>
      <w:rPr>
        <w:sz w:val="18"/>
        <w:i w:val="false"/>
        <w:b w:val="false"/>
      </w:rPr>
    </w:lvl>
    <w:lvl w:ilvl="3">
      <w:start w:val="1"/>
      <w:pStyle w:val="Heading4"/>
      <w:numFmt w:val="lowerLetter"/>
      <w:lvlText w:val="(%4)"/>
      <w:lvlJc w:val="start"/>
      <w:pPr>
        <w:tabs>
          <w:tab w:val="num" w:pos="1928"/>
        </w:tabs>
        <w:ind w:start="1928" w:hanging="511"/>
      </w:pPr>
      <w:rPr>
        <w:sz w:val="20"/>
        <w:i w:val="false"/>
        <w:b w:val="false"/>
      </w:rPr>
    </w:lvl>
    <w:lvl w:ilvl="4">
      <w:start w:val="1"/>
      <w:pStyle w:val="Heading5"/>
      <w:numFmt w:val="lowerRoman"/>
      <w:lvlText w:val="(%5)"/>
      <w:lvlJc w:val="start"/>
      <w:pPr>
        <w:tabs>
          <w:tab w:val="num" w:pos="2438"/>
        </w:tabs>
        <w:ind w:start="2438" w:hanging="510"/>
      </w:pPr>
      <w:rPr>
        <w:sz w:val="18"/>
        <w:i w:val="false"/>
        <w:b w:val="false"/>
      </w:rPr>
    </w:lvl>
    <w:lvl w:ilvl="5">
      <w:start w:val="1"/>
      <w:pStyle w:val="Heading6"/>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decimal"/>
      <w:lvlText w:val="SCHEDULE %9"/>
      <w:lvlJc w:val="start"/>
      <w:pPr>
        <w:tabs>
          <w:tab w:val="num" w:pos="0"/>
        </w:tabs>
        <w:ind w:start="0" w:hanging="0"/>
      </w:pPr>
      <w:rPr>
        <w:caps/>
        <w:sz w:val="22"/>
        <w:i w:val="false"/>
        <w:b/>
      </w:r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720"/>
        </w:tabs>
        <w:ind w:start="720" w:hanging="720"/>
      </w:pPr>
      <w:rPr>
        <w:rFonts w:ascii="Symbol" w:hAnsi="Symbol" w:cs="Symbol" w:hint="default"/>
      </w:rPr>
    </w:lvl>
  </w:abstractNum>
  <w:abstractNum w:abstractNumId="4">
    <w:lvl w:ilvl="0">
      <w:start w:val="1"/>
      <w:numFmt w:val="upperLetter"/>
      <w:lvlText w:val="Part %1"/>
      <w:lvlJc w:val="start"/>
      <w:pPr>
        <w:tabs>
          <w:tab w:val="num" w:pos="612"/>
        </w:tabs>
        <w:ind w:start="0" w:hanging="0"/>
      </w:pPr>
      <w:rPr>
        <w:sz w:val="21"/>
        <w:b/>
        <w:rFonts w:ascii="CG Times" w:hAnsi="CG Times" w:cs="CG Times"/>
      </w:rPr>
    </w:lvl>
    <w:lvl w:ilvl="1">
      <w:start w:val="1"/>
      <w:numFmt w:val="decimal"/>
      <w:lvlText w:val="%2."/>
      <w:lvlJc w:val="start"/>
      <w:pPr>
        <w:tabs>
          <w:tab w:val="num" w:pos="624"/>
        </w:tabs>
        <w:ind w:start="624" w:hanging="624"/>
      </w:pPr>
    </w:lvl>
    <w:lvl w:ilvl="2">
      <w:start w:val="1"/>
      <w:numFmt w:val="lowerRoman"/>
      <w:lvlText w:val="(%3)"/>
      <w:lvlJc w:val="start"/>
      <w:pPr>
        <w:tabs>
          <w:tab w:val="num" w:pos="720"/>
        </w:tabs>
        <w:ind w:start="624" w:hanging="624"/>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bullet"/>
      <w:lvlText w:val=""/>
      <w:lvlJc w:val="start"/>
      <w:pPr>
        <w:tabs>
          <w:tab w:val="num" w:pos="360"/>
        </w:tabs>
        <w:ind w:start="360" w:hanging="360"/>
      </w:pPr>
      <w:rPr>
        <w:rFonts w:ascii="Wingdings" w:hAnsi="Wingdings" w:cs="Wingdings" w:hint="default"/>
        <w:sz w:val="16"/>
      </w:rPr>
    </w:lvl>
  </w:abstractNum>
  <w:abstractNum w:abstractNumId="6">
    <w:lvl w:ilvl="0">
      <w:start w:val="1"/>
      <w:numFmt w:val="bullet"/>
      <w:lvlText w:val=""/>
      <w:lvlJc w:val="start"/>
      <w:pPr>
        <w:tabs>
          <w:tab w:val="num" w:pos="720"/>
        </w:tabs>
        <w:ind w:start="720" w:hanging="72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sz w:val="16"/>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2)"/>
      <w:lvlJc w:val="start"/>
      <w:pPr>
        <w:tabs>
          <w:tab w:val="num" w:pos="1417"/>
        </w:tabs>
        <w:ind w:start="1417" w:hanging="793"/>
      </w:pPr>
      <w:rPr>
        <w:sz w:val="20"/>
        <w:i w:val="false"/>
        <w:b w:val="false"/>
      </w:rPr>
    </w:lvl>
    <w:lvl w:ilvl="2">
      <w:start w:val="1"/>
      <w:numFmt w:val="decimal"/>
      <w:lvlText w:val="(%3)"/>
      <w:lvlJc w:val="start"/>
      <w:pPr>
        <w:tabs>
          <w:tab w:val="num" w:pos="1928"/>
        </w:tabs>
        <w:ind w:start="1928" w:hanging="511"/>
      </w:pPr>
      <w:rPr>
        <w:sz w:val="20"/>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11">
    <w:lvl w:ilvl="0">
      <w:start w:val="1"/>
      <w:numFmt w:val="upperLetter"/>
      <w:lvlText w:val="(%1)"/>
      <w:lvlJc w:val="start"/>
      <w:pPr>
        <w:tabs>
          <w:tab w:val="num" w:pos="624"/>
        </w:tabs>
        <w:ind w:start="624" w:hanging="624"/>
      </w:pPr>
      <w:rPr>
        <w:sz w:val="20"/>
        <w:i w:val="false"/>
        <w:b w:val="false"/>
        <w:rFonts w:ascii="CG Times" w:hAnsi="CG Times" w:cs="CG Times"/>
      </w:rPr>
    </w:lvl>
    <w:lvl w:ilvl="1">
      <w:start w:val="1"/>
      <w:numFmt w:val="upperLetter"/>
      <w:lvlText w:val="(%2)"/>
      <w:lvlJc w:val="start"/>
      <w:pPr>
        <w:tabs>
          <w:tab w:val="num" w:pos="1417"/>
        </w:tabs>
        <w:ind w:start="1417" w:hanging="793"/>
      </w:pPr>
      <w:rPr>
        <w:sz w:val="20"/>
        <w:i w:val="false"/>
        <w:b w:val="false"/>
      </w:rPr>
    </w:lvl>
    <w:lvl w:ilvl="2">
      <w:start w:val="1"/>
      <w:numFmt w:val="upp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12">
    <w:lvl w:ilvl="0">
      <w:start w:val="1"/>
      <w:numFmt w:val="lowerRoman"/>
      <w:lvlText w:val="(%1)"/>
      <w:lvlJc w:val="start"/>
      <w:pPr>
        <w:tabs>
          <w:tab w:val="num" w:pos="624"/>
        </w:tabs>
        <w:ind w:start="624" w:hanging="624"/>
      </w:pPr>
      <w:rPr>
        <w:sz w:val="18"/>
        <w:i w:val="false"/>
        <w:b w:val="false"/>
        <w:rFonts w:ascii="CG Times" w:hAnsi="CG Times" w:cs="CG Times"/>
      </w:rPr>
    </w:lvl>
    <w:lvl w:ilvl="1">
      <w:start w:val="1"/>
      <w:numFmt w:val="lowerRoman"/>
      <w:lvlText w:val="(%2)"/>
      <w:lvlJc w:val="start"/>
      <w:pPr>
        <w:tabs>
          <w:tab w:val="num" w:pos="1417"/>
        </w:tabs>
        <w:ind w:start="1417" w:hanging="793"/>
      </w:pPr>
      <w:rPr>
        <w:sz w:val="18"/>
        <w:i w:val="false"/>
        <w:b w:val="false"/>
      </w:rPr>
    </w:lvl>
    <w:lvl w:ilvl="2">
      <w:start w:val="1"/>
      <w:numFmt w:val="lowerRoman"/>
      <w:lvlText w:val="(%3)"/>
      <w:lvlJc w:val="start"/>
      <w:pPr>
        <w:tabs>
          <w:tab w:val="num" w:pos="1928"/>
        </w:tabs>
        <w:ind w:start="1928" w:hanging="511"/>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13">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lowerLetter"/>
      <w:lvlText w:val="(%1)"/>
      <w:lvlJc w:val="start"/>
      <w:pPr>
        <w:tabs>
          <w:tab w:val="num" w:pos="624"/>
        </w:tabs>
        <w:ind w:start="624" w:hanging="624"/>
      </w:pPr>
      <w:rPr>
        <w:sz w:val="20"/>
        <w:i w:val="false"/>
        <w:b w:val="false"/>
        <w:rFonts w:ascii="CG Times" w:hAnsi="CG Times" w:cs="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16">
    <w:lvl w:ilvl="0">
      <w:start w:val="1"/>
      <w:numFmt w:val="bullet"/>
      <w:lvlText w:val=""/>
      <w:lvlJc w:val="start"/>
      <w:pPr>
        <w:tabs>
          <w:tab w:val="num" w:pos="720"/>
        </w:tabs>
        <w:ind w:start="720" w:hanging="72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sz w:val="16"/>
      </w:rPr>
    </w:lvl>
  </w:abstractNum>
  <w:abstractNum w:abstractNumId="18">
    <w:lvl w:ilvl="0">
      <w:start w:val="1"/>
      <w:numFmt w:val="lowerLetter"/>
      <w:lvlText w:val="(%1)"/>
      <w:lvlJc w:val="start"/>
      <w:pPr>
        <w:tabs>
          <w:tab w:val="num" w:pos="624"/>
        </w:tabs>
        <w:ind w:start="624" w:hanging="624"/>
      </w:pPr>
    </w:lvl>
    <w:lvl w:ilvl="1">
      <w:start w:val="1"/>
      <w:numFmt w:val="decimal"/>
      <w:lvlText w:val="%2."/>
      <w:lvlJc w:val="start"/>
      <w:pPr>
        <w:tabs>
          <w:tab w:val="num" w:pos="624"/>
        </w:tabs>
        <w:ind w:start="624" w:hanging="624"/>
      </w:pPr>
    </w:lvl>
    <w:lvl w:ilvl="2">
      <w:start w:val="1"/>
      <w:numFmt w:val="lowerRoman"/>
      <w:lvlText w:val="(%3)"/>
      <w:lvlJc w:val="start"/>
      <w:pPr>
        <w:tabs>
          <w:tab w:val="num" w:pos="720"/>
        </w:tabs>
        <w:ind w:start="624" w:hanging="624"/>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9">
    <w:lvl w:ilvl="0">
      <w:start w:val="1"/>
      <w:numFmt w:val="bullet"/>
      <w:lvlText w:val=""/>
      <w:lvlJc w:val="start"/>
      <w:pPr>
        <w:tabs>
          <w:tab w:val="num" w:pos="360"/>
        </w:tabs>
        <w:ind w:start="360" w:hanging="360"/>
      </w:pPr>
      <w:rPr>
        <w:rFonts w:ascii="Wingdings" w:hAnsi="Wingdings" w:cs="Wingdings" w:hint="default"/>
        <w:sz w:val="16"/>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Wingdings" w:hAnsi="Wingdings" w:cs="Wingdings" w:hint="default"/>
        <w:sz w:val="16"/>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Wingdings" w:hAnsi="Wingdings" w:cs="Wingdings" w:hint="default"/>
        <w:sz w:val="16"/>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720"/>
        </w:tabs>
        <w:ind w:start="720" w:hanging="720"/>
      </w:pPr>
      <w:rPr>
        <w:rFonts w:ascii="Symbol" w:hAnsi="Symbol" w:cs="Symbol" w:hint="default"/>
      </w:rPr>
    </w:lvl>
  </w:abstractNum>
  <w:abstractNum w:abstractNumId="26">
    <w:lvl w:ilvl="0">
      <w:start w:val="4"/>
      <w:numFmt w:val="lowerLetter"/>
      <w:lvlText w:val="(%1)"/>
      <w:lvlJc w:val="start"/>
      <w:pPr>
        <w:tabs>
          <w:tab w:val="num" w:pos="624"/>
        </w:tabs>
        <w:ind w:start="624" w:hanging="624"/>
      </w:pPr>
      <w:rPr>
        <w:sz w:val="20"/>
        <w:i w:val="false"/>
        <w:b w:val="false"/>
        <w:rFonts w:ascii="CG Times" w:hAnsi="CG Times" w:cs="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27">
    <w:lvl w:ilvl="0">
      <w:start w:val="4"/>
      <w:numFmt w:val="lowerLetter"/>
      <w:lvlText w:val="(%1)"/>
      <w:lvlJc w:val="start"/>
      <w:pPr>
        <w:tabs>
          <w:tab w:val="num" w:pos="624"/>
        </w:tabs>
        <w:ind w:start="624" w:hanging="624"/>
      </w:pPr>
      <w:rPr>
        <w:sz w:val="20"/>
        <w:i w:val="false"/>
        <w:b w:val="false"/>
        <w:rFonts w:ascii="CG Times" w:hAnsi="CG Times" w:cs="CG Times"/>
      </w:rPr>
    </w:lvl>
    <w:lvl w:ilvl="1">
      <w:start w:val="2"/>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15"/>
    <w:lvlOverride w:ilvl="0">
      <w:startOverride w:val="1"/>
    </w:lvlOverride>
    <w:lvlOverride w:ilvl="1">
      <w:startOverride w:val="1"/>
    </w:lvlOverride>
  </w:num>
  <w:num w:numId="29">
    <w:abstractNumId w:val="15"/>
    <w:lvlOverride w:ilvl="0">
      <w:startOverride w:val="1"/>
    </w:lvlOverride>
    <w:lvlOverride w:ilvl="1">
      <w:startOverride w:val="1"/>
    </w:lvlOverride>
    <w:lvlOverride w:ilvl="2">
      <w:startOverride w:val="1"/>
    </w:lvlOverride>
  </w:num>
  <w:num w:numId="30">
    <w:abstractNumId w:val="15"/>
    <w:lvlOverride w:ilvl="0">
      <w:startOverride w:val="1"/>
    </w:lvlOverride>
    <w:lvlOverride w:ilvl="1">
      <w:startOverride w:val="1"/>
    </w:lvlOverride>
  </w:num>
  <w:num w:numId="31">
    <w:abstractNumId w:val="12"/>
    <w:lvlOverride w:ilvl="0">
      <w:startOverride w:val="1"/>
    </w:lvlOverride>
    <w:lvlOverride w:ilvl="1">
      <w:startOverride w:val="1"/>
    </w:lvlOverride>
    <w:lvlOverride w:ilvl="2">
      <w:startOverride w:val="1"/>
    </w:lvlOverride>
  </w:num>
  <w:num w:numId="32">
    <w:abstractNumId w:val="12"/>
    <w:lvlOverride w:ilvl="0">
      <w:startOverride w:val="1"/>
    </w:lvlOverride>
    <w:lvlOverride w:ilvl="1">
      <w:startOverride w:val="1"/>
    </w:lvlOverride>
    <w:lvlOverride w:ilvl="2">
      <w:startOverride w:val="1"/>
    </w:lvlOverride>
  </w:num>
  <w:num w:numId="33">
    <w:abstractNumId w:val="16"/>
    <w:lvlOverride w:ilvl="0">
      <w:startOverride w:val="1"/>
    </w:lvlOverride>
  </w:num>
  <w:num w:numId="34">
    <w:abstractNumId w:val="16"/>
    <w:lvlOverride w:ilvl="0">
      <w:startOverride w:val="1"/>
    </w:lvlOverride>
  </w:num>
  <w:num w:numId="35">
    <w:abstractNumId w:val="15"/>
    <w:lvlOverride w:ilvl="0">
      <w:startOverride w:val="1"/>
    </w:lvlOverride>
    <w:lvlOverride w:ilvl="1">
      <w:startOverride w:val="1"/>
    </w:lvlOverride>
  </w:num>
  <w:num w:numId="36">
    <w:abstractNumId w:val="12"/>
    <w:lvlOverride w:ilvl="0">
      <w:startOverride w:val="1"/>
    </w:lvlOverride>
    <w:lvlOverride w:ilvl="1">
      <w:startOverride w:val="1"/>
    </w:lvlOverride>
    <w:lvlOverride w:ilvl="2">
      <w:startOverride w:val="1"/>
    </w:lvlOverride>
  </w:num>
  <w:num w:numId="37">
    <w:abstractNumId w:val="15"/>
    <w:lvlOverride w:ilvl="0">
      <w:startOverride w:val="1"/>
    </w:lvlOverride>
    <w:lvlOverride w:ilvl="1">
      <w:startOverride w:val="1"/>
    </w:lvlOverride>
  </w:num>
  <w:num w:numId="38">
    <w:abstractNumId w:val="16"/>
    <w:lvlOverride w:ilvl="0">
      <w:startOverride w:val="1"/>
    </w:lvlOverride>
  </w:num>
  <w:num w:numId="39">
    <w:abstractNumId w:val="16"/>
    <w:lvlOverride w:ilvl="0">
      <w:startOverride w:val="1"/>
    </w:lvlOverride>
  </w:num>
  <w:num w:numId="40">
    <w:abstractNumId w:val="16"/>
    <w:lvlOverride w:ilvl="0">
      <w:startOverride w:val="1"/>
    </w:lvlOverride>
  </w:num>
  <w:num w:numId="41">
    <w:abstractNumId w:val="10"/>
    <w:lvlOverride w:ilvl="0">
      <w:startOverride w:val="1"/>
    </w:lvlOverride>
    <w:lvlOverride w:ilvl="1">
      <w:startOverride w:val="1"/>
    </w:lvlOverride>
  </w:num>
</w:numbering>
</file>

<file path=word/settings.xml><?xml version="1.0" encoding="utf-8"?>
<w:settings xmlns:w="http://schemas.openxmlformats.org/wordprocessingml/2006/main">
  <w:zoom w:percent="100"/>
  <w:defaultTabStop w:val="624"/>
  <w:autoHyphenation w:val="true"/>
  <w:hyphenationZone w:val="0"/>
  <w:footnotePr>
    <w:numFmt w:val="decimal"/>
    <w:footnote w:id="0"/>
    <w:footnote w:id="1"/>
  </w:footnotePr>
  <w:compat>
    <w:doNotExpandShiftReturn/>
    <w:compatSetting w:name="compatibilityMode" w:uri="http://schemas.microsoft.com/office/word" w:val="11"/>
  </w:compat>
  <w:docVars>
    <w:docVar w:name="STYLE" w:val="1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before="0" w:after="200"/>
      <w:jc w:val="both"/>
    </w:pPr>
    <w:rPr>
      <w:rFonts w:ascii="CG Times" w:hAnsi="CG Times" w:eastAsia="Times New Roman" w:cs="CG Times"/>
      <w:color w:val="auto"/>
      <w:sz w:val="22"/>
      <w:szCs w:val="20"/>
      <w:lang w:val="en-GB" w:eastAsia="zh-CN" w:bidi="hi-IN"/>
    </w:rPr>
  </w:style>
  <w:style w:type="paragraph" w:styleId="Heading1">
    <w:name w:val="heading 1"/>
    <w:basedOn w:val="Normal"/>
    <w:next w:val="BodyText"/>
    <w:qFormat/>
    <w:pPr>
      <w:keepNext w:val="true"/>
      <w:numPr>
        <w:ilvl w:val="0"/>
        <w:numId w:val="1"/>
      </w:numPr>
      <w:tabs>
        <w:tab w:val="clear" w:pos="624"/>
      </w:tabs>
      <w:spacing w:before="100" w:after="100"/>
      <w:outlineLvl w:val="0"/>
    </w:pPr>
    <w:rPr>
      <w:b/>
      <w:caps/>
      <w:kern w:val="2"/>
      <w:sz w:val="20"/>
    </w:rPr>
  </w:style>
  <w:style w:type="paragraph" w:styleId="Heading2">
    <w:name w:val="heading 2"/>
    <w:basedOn w:val="Normal"/>
    <w:next w:val="BodyText"/>
    <w:qFormat/>
    <w:pPr>
      <w:numPr>
        <w:ilvl w:val="1"/>
        <w:numId w:val="1"/>
      </w:numPr>
      <w:tabs>
        <w:tab w:val="clear" w:pos="624"/>
      </w:tabs>
      <w:outlineLvl w:val="1"/>
    </w:pPr>
    <w:rPr>
      <w:b/>
      <w:kern w:val="2"/>
    </w:rPr>
  </w:style>
  <w:style w:type="paragraph" w:styleId="Heading3">
    <w:name w:val="heading 3"/>
    <w:basedOn w:val="Normal"/>
    <w:next w:val="BodyText2"/>
    <w:qFormat/>
    <w:pPr>
      <w:numPr>
        <w:ilvl w:val="2"/>
        <w:numId w:val="1"/>
      </w:numPr>
      <w:tabs>
        <w:tab w:val="clear" w:pos="624"/>
      </w:tabs>
      <w:outlineLvl w:val="2"/>
    </w:pPr>
    <w:rPr>
      <w:b/>
      <w:i/>
    </w:rPr>
  </w:style>
  <w:style w:type="paragraph" w:styleId="Heading4">
    <w:name w:val="heading 4"/>
    <w:basedOn w:val="Normal"/>
    <w:next w:val="BodyText3"/>
    <w:qFormat/>
    <w:pPr>
      <w:numPr>
        <w:ilvl w:val="3"/>
        <w:numId w:val="1"/>
      </w:numPr>
      <w:outlineLvl w:val="3"/>
    </w:pPr>
    <w:rPr/>
  </w:style>
  <w:style w:type="paragraph" w:styleId="Heading5">
    <w:name w:val="heading 5"/>
    <w:basedOn w:val="Normal"/>
    <w:next w:val="BodyText4"/>
    <w:qFormat/>
    <w:pPr>
      <w:numPr>
        <w:ilvl w:val="4"/>
        <w:numId w:val="1"/>
      </w:numPr>
      <w:tabs>
        <w:tab w:val="clear" w:pos="624"/>
        <w:tab w:val="left" w:pos="86" w:leader="none"/>
      </w:tabs>
      <w:outlineLvl w:val="4"/>
    </w:pPr>
    <w:rPr/>
  </w:style>
  <w:style w:type="paragraph" w:styleId="Heading6">
    <w:name w:val="heading 6"/>
    <w:basedOn w:val="Normal"/>
    <w:next w:val="BodyText5"/>
    <w:qFormat/>
    <w:pPr>
      <w:numPr>
        <w:ilvl w:val="5"/>
        <w:numId w:val="1"/>
      </w:numPr>
      <w:tabs>
        <w:tab w:val="clear" w:pos="624"/>
        <w:tab w:val="left" w:pos="104" w:leader="none"/>
      </w:tabs>
      <w:outlineLvl w:val="5"/>
    </w:pPr>
    <w:rPr/>
  </w:style>
  <w:style w:type="paragraph" w:styleId="Heading7">
    <w:name w:val="heading 7"/>
    <w:basedOn w:val="Normal"/>
    <w:next w:val="Normal"/>
    <w:qFormat/>
    <w:pPr>
      <w:spacing w:before="0" w:after="0"/>
      <w:outlineLvl w:val="6"/>
    </w:pPr>
    <w:rPr/>
  </w:style>
  <w:style w:type="paragraph" w:styleId="Heading8">
    <w:name w:val="heading 8"/>
    <w:basedOn w:val="Normal"/>
    <w:next w:val="Normal"/>
    <w:qFormat/>
    <w:pPr>
      <w:spacing w:before="0" w:after="0"/>
      <w:outlineLvl w:val="7"/>
    </w:pPr>
    <w:rPr/>
  </w:style>
  <w:style w:type="paragraph" w:styleId="Heading9">
    <w:name w:val="heading 9"/>
    <w:basedOn w:val="Normal"/>
    <w:next w:val="Normal"/>
    <w:qFormat/>
    <w:pPr>
      <w:pageBreakBefore/>
      <w:numPr>
        <w:ilvl w:val="8"/>
        <w:numId w:val="1"/>
      </w:numPr>
      <w:tabs>
        <w:tab w:val="clear" w:pos="624"/>
        <w:tab w:val="left" w:pos="1440" w:leader="none"/>
      </w:tabs>
      <w:suppressAutoHyphens w:val="true"/>
      <w:spacing w:lineRule="auto" w:line="336" w:before="0" w:after="300"/>
      <w:jc w:val="center"/>
      <w:outlineLvl w:val="8"/>
    </w:pPr>
    <w:rPr>
      <w:b/>
      <w:smallCaps/>
      <w:sz w:val="21"/>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1z3">
    <w:name w:val="WW8Num11z3"/>
    <w:qFormat/>
    <w:rPr>
      <w:b w:val="false"/>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Wingdings" w:hAnsi="Wingdings" w:cs="Wingdings"/>
      <w:sz w:val="16"/>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Wingdings" w:hAnsi="Wingdings" w:cs="Wingdings"/>
      <w:sz w:val="16"/>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CG Times" w:hAnsi="CG Times" w:cs="CG Times"/>
      <w:b/>
      <w:sz w:val="21"/>
    </w:rPr>
  </w:style>
  <w:style w:type="character" w:styleId="WW8Num29z0">
    <w:name w:val="WW8Num29z0"/>
    <w:qFormat/>
    <w:rPr>
      <w:rFonts w:ascii="Symbol" w:hAnsi="Symbol" w:cs="Symbol"/>
    </w:rPr>
  </w:style>
  <w:style w:type="character" w:styleId="WW8Num30z0">
    <w:name w:val="WW8Num30z0"/>
    <w:qFormat/>
    <w:rPr>
      <w:rFonts w:ascii="Wingdings" w:hAnsi="Wingdings" w:cs="Wingdings"/>
      <w:sz w:val="16"/>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Wingdings" w:hAnsi="Wingdings" w:cs="Wingdings"/>
      <w:sz w:val="16"/>
    </w:rPr>
  </w:style>
  <w:style w:type="character" w:styleId="WW8Num36z0">
    <w:name w:val="WW8Num36z0"/>
    <w:qFormat/>
    <w:rPr>
      <w:rFonts w:ascii="Wingdings" w:hAnsi="Wingdings" w:cs="Wingdings"/>
      <w:sz w:val="16"/>
    </w:rPr>
  </w:style>
  <w:style w:type="character" w:styleId="WW8Num37z0">
    <w:name w:val="WW8Num37z0"/>
    <w:qFormat/>
    <w:rPr>
      <w:rFonts w:ascii="Symbol" w:hAnsi="Symbol" w:cs="Symbol"/>
    </w:rPr>
  </w:style>
  <w:style w:type="character" w:styleId="WW8Num38z0">
    <w:name w:val="WW8Num38z0"/>
    <w:qFormat/>
    <w:rPr>
      <w:rFonts w:ascii="Times New Roman" w:hAnsi="Times New Roman" w:cs="Times New Roman"/>
    </w:rPr>
  </w:style>
  <w:style w:type="character" w:styleId="WW8Num39z0">
    <w:name w:val="WW8Num39z0"/>
    <w:qFormat/>
    <w:rPr>
      <w:rFonts w:ascii="Wingdings" w:hAnsi="Wingdings" w:cs="Wingdings"/>
      <w:sz w:val="16"/>
    </w:rPr>
  </w:style>
  <w:style w:type="character" w:styleId="WW8Num40z0">
    <w:name w:val="WW8Num40z0"/>
    <w:qFormat/>
    <w:rPr>
      <w:rFonts w:ascii="Wingdings" w:hAnsi="Wingdings" w:cs="Wingdings"/>
    </w:rPr>
  </w:style>
  <w:style w:type="character" w:styleId="WW8Num41z0">
    <w:name w:val="WW8Num41z0"/>
    <w:qFormat/>
    <w:rPr>
      <w:rFonts w:ascii="Times New Roman" w:hAnsi="Times New Roman" w:cs="Times New Roman"/>
    </w:rPr>
  </w:style>
  <w:style w:type="character" w:styleId="WW8Num42z0">
    <w:name w:val="WW8Num42z0"/>
    <w:qFormat/>
    <w:rPr>
      <w:rFonts w:ascii="Wingdings" w:hAnsi="Wingdings" w:cs="Wingdings"/>
      <w:sz w:val="16"/>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Times New Roman" w:hAnsi="Times New Roman" w:cs="Times New Roman"/>
    </w:rPr>
  </w:style>
  <w:style w:type="character" w:styleId="WW8Num53z0">
    <w:name w:val="WW8Num53z0"/>
    <w:qFormat/>
    <w:rPr>
      <w:rFonts w:ascii="Times New Roman" w:hAnsi="Times New Roman" w:cs="Times New Roman"/>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Wingdings" w:hAnsi="Wingdings" w:cs="Wingdings"/>
      <w:sz w:val="16"/>
    </w:rPr>
  </w:style>
  <w:style w:type="character" w:styleId="WW8Num58z0">
    <w:name w:val="WW8Num58z0"/>
    <w:qFormat/>
    <w:rPr>
      <w:rFonts w:ascii="Symbol" w:hAnsi="Symbol" w:cs="Symbol"/>
    </w:rPr>
  </w:style>
  <w:style w:type="character" w:styleId="WW8Num59z0">
    <w:name w:val="WW8Num59z0"/>
    <w:qFormat/>
    <w:rPr>
      <w:rFonts w:ascii="Symbol" w:hAnsi="Symbol" w:cs="Symbol"/>
      <w:color w:val="auto"/>
    </w:rPr>
  </w:style>
  <w:style w:type="character" w:styleId="WW8Num60z0">
    <w:name w:val="WW8Num60z0"/>
    <w:qFormat/>
    <w:rPr>
      <w:rFonts w:ascii="Times New Roman" w:hAnsi="Times New Roman" w:cs="Times New Roman"/>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b w:val="false"/>
      <w:i w:val="false"/>
    </w:rPr>
  </w:style>
  <w:style w:type="character" w:styleId="WW8Num64z0">
    <w:name w:val="WW8Num64z0"/>
    <w:qFormat/>
    <w:rPr>
      <w:rFonts w:ascii="Symbol" w:hAnsi="Symbol" w:cs="Symbol"/>
    </w:rPr>
  </w:style>
  <w:style w:type="character" w:styleId="WW8Num66z0">
    <w:name w:val="WW8Num66z0"/>
    <w:qFormat/>
    <w:rPr>
      <w:rFonts w:ascii="Wingdings" w:hAnsi="Wingdings" w:cs="Wingdings"/>
      <w:sz w:val="16"/>
    </w:rPr>
  </w:style>
  <w:style w:type="character" w:styleId="WW8Num67z0">
    <w:name w:val="WW8Num67z0"/>
    <w:qFormat/>
    <w:rPr>
      <w:rFonts w:ascii="Times New Roman" w:hAnsi="Times New Roman" w:cs="Times New Roman"/>
    </w:rPr>
  </w:style>
  <w:style w:type="character" w:styleId="WW8Num68z0">
    <w:name w:val="WW8Num68z0"/>
    <w:qFormat/>
    <w:rPr>
      <w:rFonts w:ascii="Symbol" w:hAnsi="Symbol" w:cs="Symbol"/>
    </w:rPr>
  </w:style>
  <w:style w:type="character" w:styleId="WW8Num69z0">
    <w:name w:val="WW8Num69z0"/>
    <w:qFormat/>
    <w:rPr>
      <w:rFonts w:ascii="Times New Roman" w:hAnsi="Times New Roman" w:cs="Times New Roman"/>
    </w:rPr>
  </w:style>
  <w:style w:type="character" w:styleId="WW8Num70z0">
    <w:name w:val="WW8Num70z0"/>
    <w:qFormat/>
    <w:rPr>
      <w:rFonts w:ascii="Times New Roman" w:hAnsi="Times New Roman" w:cs="Times New Roman"/>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Wingdings" w:hAnsi="Wingdings" w:cs="Wingdings"/>
      <w:sz w:val="16"/>
    </w:rPr>
  </w:style>
  <w:style w:type="character" w:styleId="WW8Num75z0">
    <w:name w:val="WW8Num75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Times New Roman" w:hAnsi="Times New Roman" w:cs="Times New Roman"/>
    </w:rPr>
  </w:style>
  <w:style w:type="character" w:styleId="WW8Num82z0">
    <w:name w:val="WW8Num82z0"/>
    <w:qFormat/>
    <w:rPr>
      <w:rFonts w:ascii="Wingdings" w:hAnsi="Wingdings" w:cs="Wingdings"/>
      <w:sz w:val="16"/>
    </w:rPr>
  </w:style>
  <w:style w:type="character" w:styleId="WW8Num83z0">
    <w:name w:val="WW8Num83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Times New Roman" w:hAnsi="Times New Roman" w:cs="Times New Roman"/>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CG Times" w:hAnsi="CG Times" w:cs="CG Times"/>
      <w:b w:val="false"/>
      <w:i w:val="false"/>
      <w:sz w:val="20"/>
    </w:rPr>
  </w:style>
  <w:style w:type="character" w:styleId="WW8Num91z1">
    <w:name w:val="WW8Num91z1"/>
    <w:qFormat/>
    <w:rPr>
      <w:b w:val="false"/>
      <w:i w:val="false"/>
      <w:sz w:val="20"/>
    </w:rPr>
  </w:style>
  <w:style w:type="character" w:styleId="WW8Num91z4">
    <w:name w:val="WW8Num91z4"/>
    <w:qFormat/>
    <w:rPr>
      <w:b w:val="false"/>
      <w:i w:val="false"/>
      <w:sz w:val="18"/>
    </w:rPr>
  </w:style>
  <w:style w:type="character" w:styleId="WW8Num91z8">
    <w:name w:val="WW8Num91z8"/>
    <w:qFormat/>
    <w:rPr>
      <w:b/>
      <w:i w:val="false"/>
      <w:caps/>
      <w:sz w:val="22"/>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b/>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color w:val="auto"/>
    </w:rPr>
  </w:style>
  <w:style w:type="character" w:styleId="WW8Num98z0">
    <w:name w:val="WW8Num98z0"/>
    <w:qFormat/>
    <w:rPr>
      <w:rFonts w:ascii="Symbol" w:hAnsi="Symbol" w:cs="Symbol"/>
    </w:rPr>
  </w:style>
  <w:style w:type="character" w:styleId="WW8Num101z0">
    <w:name w:val="WW8Num101z0"/>
    <w:qFormat/>
    <w:rPr>
      <w:rFonts w:ascii="Wingdings" w:hAnsi="Wingdings" w:cs="Wingdings"/>
      <w:sz w:val="16"/>
    </w:rPr>
  </w:style>
  <w:style w:type="character" w:styleId="WW8Num102z0">
    <w:name w:val="WW8Num102z0"/>
    <w:qFormat/>
    <w:rPr>
      <w:b w:val="false"/>
      <w:i w:val="false"/>
    </w:rPr>
  </w:style>
  <w:style w:type="character" w:styleId="WW8Num103z0">
    <w:name w:val="WW8Num103z0"/>
    <w:qFormat/>
    <w:rPr>
      <w:rFonts w:ascii="Times New Roman" w:hAnsi="Times New Roman" w:cs="Times New Roman"/>
    </w:rPr>
  </w:style>
  <w:style w:type="character" w:styleId="WW8Num104z0">
    <w:name w:val="WW8Num104z0"/>
    <w:qFormat/>
    <w:rPr>
      <w:rFonts w:ascii="Symbol" w:hAnsi="Symbol" w:cs="Symbol"/>
    </w:rPr>
  </w:style>
  <w:style w:type="character" w:styleId="WW8Num105z0">
    <w:name w:val="WW8Num105z0"/>
    <w:qFormat/>
    <w:rPr>
      <w:rFonts w:ascii="Wingdings" w:hAnsi="Wingdings" w:cs="Wingdings"/>
      <w:sz w:val="16"/>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Wingdings" w:hAnsi="Wingdings" w:cs="Wingdings"/>
      <w:sz w:val="16"/>
    </w:rPr>
  </w:style>
  <w:style w:type="character" w:styleId="WW8Num113z0">
    <w:name w:val="WW8Num113z0"/>
    <w:qFormat/>
    <w:rPr>
      <w:rFonts w:ascii="Symbol" w:hAnsi="Symbol" w:cs="Symbol"/>
    </w:rPr>
  </w:style>
  <w:style w:type="character" w:styleId="WW8Num114z0">
    <w:name w:val="WW8Num114z0"/>
    <w:qFormat/>
    <w:rPr>
      <w:rFonts w:ascii="Times New Roman" w:hAnsi="Times New Roman" w:cs="Times New Roman"/>
    </w:rPr>
  </w:style>
  <w:style w:type="character" w:styleId="WW8Num115z0">
    <w:name w:val="WW8Num115z0"/>
    <w:qFormat/>
    <w:rPr>
      <w:rFonts w:ascii="CG Times" w:hAnsi="CG Times" w:cs="CG Times"/>
      <w:b w:val="false"/>
      <w:i w:val="false"/>
      <w:sz w:val="20"/>
    </w:rPr>
  </w:style>
  <w:style w:type="character" w:styleId="WW8Num115z1">
    <w:name w:val="WW8Num115z1"/>
    <w:qFormat/>
    <w:rPr>
      <w:b w:val="false"/>
      <w:i w:val="false"/>
      <w:sz w:val="20"/>
    </w:rPr>
  </w:style>
  <w:style w:type="character" w:styleId="WW8Num115z4">
    <w:name w:val="WW8Num115z4"/>
    <w:qFormat/>
    <w:rPr>
      <w:b w:val="false"/>
      <w:i w:val="false"/>
      <w:sz w:val="18"/>
    </w:rPr>
  </w:style>
  <w:style w:type="character" w:styleId="WW8Num115z8">
    <w:name w:val="WW8Num115z8"/>
    <w:qFormat/>
    <w:rPr>
      <w:b/>
      <w:i w:val="false"/>
      <w:caps/>
      <w:sz w:val="22"/>
    </w:rPr>
  </w:style>
  <w:style w:type="character" w:styleId="WW8Num116z0">
    <w:name w:val="WW8Num116z0"/>
    <w:qFormat/>
    <w:rPr>
      <w:rFonts w:ascii="Symbol" w:hAnsi="Symbol" w:cs="Symbol"/>
    </w:rPr>
  </w:style>
  <w:style w:type="character" w:styleId="WW8Num117z0">
    <w:name w:val="WW8Num117z0"/>
    <w:qFormat/>
    <w:rPr>
      <w:rFonts w:ascii="Wingdings" w:hAnsi="Wingdings" w:cs="Wingdings"/>
      <w:sz w:val="16"/>
    </w:rPr>
  </w:style>
  <w:style w:type="character" w:styleId="WW8Num119z0">
    <w:name w:val="WW8Num119z0"/>
    <w:qFormat/>
    <w:rPr>
      <w:rFonts w:ascii="Symbol" w:hAnsi="Symbol" w:cs="Symbol"/>
    </w:rPr>
  </w:style>
  <w:style w:type="character" w:styleId="WW8Num120z0">
    <w:name w:val="WW8Num120z0"/>
    <w:qFormat/>
    <w:rPr>
      <w:rFonts w:ascii="Times New Roman" w:hAnsi="Times New Roman" w:cs="Times New Roman"/>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Times New Roman" w:hAnsi="Times New Roman" w:cs="Times New Roman"/>
    </w:rPr>
  </w:style>
  <w:style w:type="character" w:styleId="WW8Num124z0">
    <w:name w:val="WW8Num124z0"/>
    <w:qFormat/>
    <w:rPr>
      <w:rFonts w:ascii="CG Times" w:hAnsi="CG Times" w:cs="CG Times"/>
      <w:b w:val="false"/>
      <w:i w:val="false"/>
      <w:sz w:val="20"/>
    </w:rPr>
  </w:style>
  <w:style w:type="character" w:styleId="WW8Num124z1">
    <w:name w:val="WW8Num124z1"/>
    <w:qFormat/>
    <w:rPr>
      <w:b w:val="false"/>
      <w:i w:val="false"/>
      <w:sz w:val="20"/>
    </w:rPr>
  </w:style>
  <w:style w:type="character" w:styleId="WW8Num124z2">
    <w:name w:val="WW8Num124z2"/>
    <w:qFormat/>
    <w:rPr>
      <w:b w:val="false"/>
      <w:i w:val="false"/>
      <w:sz w:val="18"/>
    </w:rPr>
  </w:style>
  <w:style w:type="character" w:styleId="WW8Num124z8">
    <w:name w:val="WW8Num124z8"/>
    <w:qFormat/>
    <w:rPr>
      <w:b/>
      <w:i w:val="false"/>
      <w:caps/>
      <w:sz w:val="22"/>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Wingdings" w:hAnsi="Wingdings" w:cs="Wingdings"/>
      <w:sz w:val="16"/>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b w:val="false"/>
      <w:i w:val="false"/>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Wingdings" w:hAnsi="Wingdings" w:cs="Wingdings"/>
      <w:sz w:val="16"/>
    </w:rPr>
  </w:style>
  <w:style w:type="character" w:styleId="WW8Num135z0">
    <w:name w:val="WW8Num135z0"/>
    <w:qFormat/>
    <w:rPr>
      <w:rFonts w:ascii="Symbol" w:hAnsi="Symbol" w:cs="Symbol"/>
    </w:rPr>
  </w:style>
  <w:style w:type="character" w:styleId="WW8Num136z0">
    <w:name w:val="WW8Num136z0"/>
    <w:qFormat/>
    <w:rPr>
      <w:rFonts w:ascii="CG Times" w:hAnsi="CG Times" w:cs="CG Times"/>
      <w:b w:val="false"/>
      <w:i w:val="false"/>
      <w:sz w:val="18"/>
    </w:rPr>
  </w:style>
  <w:style w:type="character" w:styleId="WW8Num136z1">
    <w:name w:val="WW8Num136z1"/>
    <w:qFormat/>
    <w:rPr>
      <w:b w:val="false"/>
      <w:i w:val="false"/>
      <w:sz w:val="18"/>
    </w:rPr>
  </w:style>
  <w:style w:type="character" w:styleId="WW8Num136z3">
    <w:name w:val="WW8Num136z3"/>
    <w:qFormat/>
    <w:rPr>
      <w:b w:val="false"/>
      <w:i w:val="false"/>
      <w:sz w:val="20"/>
    </w:rPr>
  </w:style>
  <w:style w:type="character" w:styleId="WW8Num136z8">
    <w:name w:val="WW8Num136z8"/>
    <w:qFormat/>
    <w:rPr>
      <w:b/>
      <w:i w:val="false"/>
      <w:caps/>
      <w:sz w:val="22"/>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b/>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color w:val="auto"/>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b w:val="false"/>
      <w:i w:val="false"/>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Times New Roman" w:hAnsi="Times New Roman" w:cs="Times New Roman"/>
    </w:rPr>
  </w:style>
  <w:style w:type="character" w:styleId="WW8Num152z0">
    <w:name w:val="WW8Num152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Wingdings" w:hAnsi="Wingdings" w:cs="Wingdings"/>
    </w:rPr>
  </w:style>
  <w:style w:type="character" w:styleId="WW8Num156z0">
    <w:name w:val="WW8Num156z0"/>
    <w:qFormat/>
    <w:rPr>
      <w:rFonts w:ascii="Times New Roman" w:hAnsi="Times New Roman" w:cs="Times New Roman"/>
    </w:rPr>
  </w:style>
  <w:style w:type="character" w:styleId="WW8Num157z0">
    <w:name w:val="WW8Num157z0"/>
    <w:qFormat/>
    <w:rPr>
      <w:b w:val="false"/>
      <w:i w:val="false"/>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Times New Roman" w:hAnsi="Times New Roman" w:cs="Times New Roman"/>
    </w:rPr>
  </w:style>
  <w:style w:type="character" w:styleId="WW8Num166z0">
    <w:name w:val="WW8Num166z0"/>
    <w:qFormat/>
    <w:rPr>
      <w:rFonts w:ascii="Symbol" w:hAnsi="Symbol" w:cs="Symbol"/>
    </w:rPr>
  </w:style>
  <w:style w:type="character" w:styleId="WW8Num167z0">
    <w:name w:val="WW8Num167z0"/>
    <w:qFormat/>
    <w:rPr>
      <w:rFonts w:ascii="Wingdings" w:hAnsi="Wingdings" w:cs="Wingdings"/>
      <w:sz w:val="16"/>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CG Times" w:hAnsi="CG Times" w:cs="CG Times"/>
      <w:b w:val="false"/>
      <w:i w:val="false"/>
      <w:sz w:val="20"/>
    </w:rPr>
  </w:style>
  <w:style w:type="character" w:styleId="WW8Num170z1">
    <w:name w:val="WW8Num170z1"/>
    <w:qFormat/>
    <w:rPr>
      <w:b w:val="false"/>
      <w:i w:val="false"/>
      <w:sz w:val="20"/>
    </w:rPr>
  </w:style>
  <w:style w:type="character" w:styleId="WW8Num170z2">
    <w:name w:val="WW8Num170z2"/>
    <w:qFormat/>
    <w:rPr>
      <w:b w:val="false"/>
      <w:i w:val="false"/>
      <w:sz w:val="18"/>
    </w:rPr>
  </w:style>
  <w:style w:type="character" w:styleId="WW8Num170z8">
    <w:name w:val="WW8Num170z8"/>
    <w:qFormat/>
    <w:rPr>
      <w:b/>
      <w:i w:val="false"/>
      <w:caps/>
      <w:sz w:val="22"/>
    </w:rPr>
  </w:style>
  <w:style w:type="character" w:styleId="WW8Num171z0">
    <w:name w:val="WW8Num171z0"/>
    <w:qFormat/>
    <w:rPr>
      <w:rFonts w:ascii="Wingdings" w:hAnsi="Wingdings" w:cs="Wingdings"/>
      <w:sz w:val="16"/>
    </w:rPr>
  </w:style>
  <w:style w:type="character" w:styleId="WW8Num172z0">
    <w:name w:val="WW8Num172z0"/>
    <w:qFormat/>
    <w:rPr>
      <w:rFonts w:ascii="Symbol" w:hAnsi="Symbol" w:cs="Symbol"/>
    </w:rPr>
  </w:style>
  <w:style w:type="character" w:styleId="WW8Num173z0">
    <w:name w:val="WW8Num173z0"/>
    <w:qFormat/>
    <w:rPr>
      <w:rFonts w:ascii="Wingdings" w:hAnsi="Wingdings" w:cs="Wingdings"/>
      <w:sz w:val="16"/>
    </w:rPr>
  </w:style>
  <w:style w:type="character" w:styleId="WW8Num174z0">
    <w:name w:val="WW8Num174z0"/>
    <w:qFormat/>
    <w:rPr>
      <w:rFonts w:ascii="Symbol" w:hAnsi="Symbol" w:cs="Symbol"/>
    </w:rPr>
  </w:style>
  <w:style w:type="character" w:styleId="WW8Num175z0">
    <w:name w:val="WW8Num175z0"/>
    <w:qFormat/>
    <w:rPr>
      <w:rFonts w:ascii="Wingdings" w:hAnsi="Wingdings" w:cs="Wingdings"/>
      <w:sz w:val="16"/>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Wingdings" w:hAnsi="Wingdings" w:cs="Wingdings"/>
      <w:sz w:val="16"/>
    </w:rPr>
  </w:style>
  <w:style w:type="character" w:styleId="WW8Num182z0">
    <w:name w:val="WW8Num182z0"/>
    <w:qFormat/>
    <w:rPr>
      <w:rFonts w:ascii="Symbol" w:hAnsi="Symbol" w:cs="Symbol"/>
      <w:color w:val="auto"/>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Times New Roman" w:hAnsi="Times New Roman" w:cs="Times New Roman"/>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CG Times" w:hAnsi="CG Times" w:cs="CG Times"/>
      <w:b w:val="false"/>
      <w:i w:val="false"/>
      <w:sz w:val="20"/>
    </w:rPr>
  </w:style>
  <w:style w:type="character" w:styleId="WW8Num194z1">
    <w:name w:val="WW8Num194z1"/>
    <w:qFormat/>
    <w:rPr>
      <w:b w:val="false"/>
      <w:i w:val="false"/>
      <w:sz w:val="20"/>
    </w:rPr>
  </w:style>
  <w:style w:type="character" w:styleId="WW8Num194z4">
    <w:name w:val="WW8Num194z4"/>
    <w:qFormat/>
    <w:rPr>
      <w:b w:val="false"/>
      <w:i w:val="false"/>
      <w:sz w:val="18"/>
    </w:rPr>
  </w:style>
  <w:style w:type="character" w:styleId="WW8Num194z8">
    <w:name w:val="WW8Num194z8"/>
    <w:qFormat/>
    <w:rPr>
      <w:b/>
      <w:i w:val="false"/>
      <w:caps/>
      <w:sz w:val="22"/>
    </w:rPr>
  </w:style>
  <w:style w:type="character" w:styleId="WW8Num195z0">
    <w:name w:val="WW8Num195z0"/>
    <w:qFormat/>
    <w:rPr>
      <w:rFonts w:ascii="Symbol" w:hAnsi="Symbol" w:cs="Symbol"/>
    </w:rPr>
  </w:style>
  <w:style w:type="character" w:styleId="WW8Num196z0">
    <w:name w:val="WW8Num196z0"/>
    <w:qFormat/>
    <w:rPr>
      <w:rFonts w:ascii="Wingdings" w:hAnsi="Wingdings" w:cs="Wingdings"/>
      <w:sz w:val="16"/>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Times New Roman" w:hAnsi="Times New Roman" w:cs="Times New Roman"/>
    </w:rPr>
  </w:style>
  <w:style w:type="character" w:styleId="WW8Num203z0">
    <w:name w:val="WW8Num203z0"/>
    <w:qFormat/>
    <w:rPr>
      <w:rFonts w:ascii="Times New Roman" w:hAnsi="Times New Roman" w:cs="Times New Roman"/>
    </w:rPr>
  </w:style>
  <w:style w:type="character" w:styleId="WW8Num205z0">
    <w:name w:val="WW8Num205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Wingdings" w:hAnsi="Wingdings" w:cs="Wingdings"/>
      <w:sz w:val="16"/>
    </w:rPr>
  </w:style>
  <w:style w:type="character" w:styleId="WW8Num211z0">
    <w:name w:val="WW8Num211z0"/>
    <w:qFormat/>
    <w:rPr>
      <w:rFonts w:ascii="Wingdings" w:hAnsi="Wingdings" w:cs="Wingdings"/>
      <w:sz w:val="16"/>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color w:val="auto"/>
    </w:rPr>
  </w:style>
  <w:style w:type="character" w:styleId="WW8Num216z0">
    <w:name w:val="WW8Num216z0"/>
    <w:qFormat/>
    <w:rPr>
      <w:b/>
      <w:i w:val="false"/>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style>
  <w:style w:type="character" w:styleId="WW8Num222z4">
    <w:name w:val="WW8Num222z4"/>
    <w:qFormat/>
    <w:rPr>
      <w:rFonts w:ascii="Symbol" w:hAnsi="Symbol" w:cs="Symbol"/>
    </w:rPr>
  </w:style>
  <w:style w:type="character" w:styleId="WW8Num222z5">
    <w:name w:val="WW8Num222z5"/>
    <w:qFormat/>
    <w:rPr>
      <w:rFonts w:ascii="Wingdings" w:hAnsi="Wingdings" w:cs="Wingdings"/>
    </w:rPr>
  </w:style>
  <w:style w:type="character" w:styleId="WW8Num223z0">
    <w:name w:val="WW8Num223z0"/>
    <w:qFormat/>
    <w:rPr>
      <w:rFonts w:ascii="Symbol" w:hAnsi="Symbol" w:cs="Symbol"/>
    </w:rPr>
  </w:style>
  <w:style w:type="character" w:styleId="WW8Num224z0">
    <w:name w:val="WW8Num224z0"/>
    <w:qFormat/>
    <w:rPr>
      <w:rFonts w:ascii="Times New Roman" w:hAnsi="Times New Roman" w:cs="Times New Roman"/>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Wingdings" w:hAnsi="Wingdings" w:cs="Wingdings"/>
    </w:rPr>
  </w:style>
  <w:style w:type="character" w:styleId="WW8Num228z0">
    <w:name w:val="WW8Num228z0"/>
    <w:qFormat/>
    <w:rPr>
      <w:b w:val="false"/>
      <w:i w:val="false"/>
    </w:rPr>
  </w:style>
  <w:style w:type="character" w:styleId="WW8Num230z0">
    <w:name w:val="WW8Num230z0"/>
    <w:qFormat/>
    <w:rPr>
      <w:rFonts w:ascii="Symbol" w:hAnsi="Symbol" w:cs="Symbol"/>
    </w:rPr>
  </w:style>
  <w:style w:type="character" w:styleId="WW8Num231z0">
    <w:name w:val="WW8Num231z0"/>
    <w:qFormat/>
    <w:rPr>
      <w:rFonts w:ascii="Wingdings" w:hAnsi="Wingdings" w:cs="Wingdings"/>
      <w:sz w:val="16"/>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6z0">
    <w:name w:val="WW8Num236z0"/>
    <w:qFormat/>
    <w:rPr>
      <w:rFonts w:ascii="Symbol" w:hAnsi="Symbol" w:cs="Symbol"/>
    </w:rPr>
  </w:style>
  <w:style w:type="character" w:styleId="WW8Num238z0">
    <w:name w:val="WW8Num238z0"/>
    <w:qFormat/>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Wingdings" w:hAnsi="Wingdings" w:cs="Wingdings"/>
      <w:sz w:val="16"/>
    </w:rPr>
  </w:style>
  <w:style w:type="character" w:styleId="WW8Num242z0">
    <w:name w:val="WW8Num242z0"/>
    <w:qFormat/>
    <w:rPr>
      <w:rFonts w:ascii="Times New Roman" w:hAnsi="Times New Roman" w:cs="Times New Roman"/>
    </w:rPr>
  </w:style>
  <w:style w:type="character" w:styleId="WW8Num243z0">
    <w:name w:val="WW8Num243z0"/>
    <w:qFormat/>
    <w:rPr>
      <w:rFonts w:ascii="Symbol" w:hAnsi="Symbol" w:cs="Symbol"/>
    </w:rPr>
  </w:style>
  <w:style w:type="character" w:styleId="WW8Num244z0">
    <w:name w:val="WW8Num244z0"/>
    <w:qFormat/>
    <w:rPr>
      <w:rFonts w:ascii="Symbol" w:hAnsi="Symbol" w:cs="Symbol"/>
      <w:color w:val="auto"/>
    </w:rPr>
  </w:style>
  <w:style w:type="character" w:styleId="WW8Num245z0">
    <w:name w:val="WW8Num245z0"/>
    <w:qFormat/>
    <w:rPr>
      <w:rFonts w:ascii="Wingdings" w:hAnsi="Wingdings" w:cs="Wingdings"/>
      <w:sz w:val="16"/>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3z0">
    <w:name w:val="WW8Num253z0"/>
    <w:qFormat/>
    <w:rPr>
      <w:rFonts w:ascii="Wingdings" w:hAnsi="Wingdings" w:cs="Wingdings"/>
      <w:sz w:val="16"/>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Wingdings" w:hAnsi="Wingdings" w:cs="Wingdings"/>
      <w:sz w:val="16"/>
    </w:rPr>
  </w:style>
  <w:style w:type="character" w:styleId="WW8Num257z0">
    <w:name w:val="WW8Num257z0"/>
    <w:qFormat/>
    <w:rPr>
      <w:rFonts w:ascii="Symbol" w:hAnsi="Symbol" w:cs="Symbol"/>
    </w:rPr>
  </w:style>
  <w:style w:type="character" w:styleId="WW8Num258z0">
    <w:name w:val="WW8Num258z0"/>
    <w:qFormat/>
    <w:rPr>
      <w:rFonts w:ascii="Times New Roman" w:hAnsi="Times New Roman" w:cs="Times New Roman"/>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Wingdings" w:hAnsi="Wingdings" w:cs="Wingdings"/>
      <w:sz w:val="16"/>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Times New Roman" w:hAnsi="Times New Roman" w:cs="Times New Roman"/>
    </w:rPr>
  </w:style>
  <w:style w:type="character" w:styleId="WW8Num272z0">
    <w:name w:val="WW8Num272z0"/>
    <w:qFormat/>
    <w:rPr>
      <w:rFonts w:ascii="Times New Roman" w:hAnsi="Times New Roman" w:cs="Times New Roman"/>
    </w:rPr>
  </w:style>
  <w:style w:type="character" w:styleId="WW8Num273z0">
    <w:name w:val="WW8Num273z0"/>
    <w:qFormat/>
    <w:rPr>
      <w:rFonts w:ascii="Symbol" w:hAnsi="Symbol" w:cs="Symbol"/>
    </w:rPr>
  </w:style>
  <w:style w:type="character" w:styleId="WW8Num274z0">
    <w:name w:val="WW8Num274z0"/>
    <w:qFormat/>
    <w:rPr>
      <w:rFonts w:ascii="Wingdings" w:hAnsi="Wingdings" w:cs="Wingdings"/>
      <w:sz w:val="16"/>
    </w:rPr>
  </w:style>
  <w:style w:type="character" w:styleId="WW8Num276z0">
    <w:name w:val="WW8Num276z0"/>
    <w:qFormat/>
    <w:rPr>
      <w:rFonts w:ascii="Times New Roman" w:hAnsi="Times New Roman" w:cs="Times New Roman"/>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Times New Roman" w:hAnsi="Times New Roman" w:cs="Times New Roman"/>
    </w:rPr>
  </w:style>
  <w:style w:type="character" w:styleId="WW8Num280z0">
    <w:name w:val="WW8Num280z0"/>
    <w:qFormat/>
    <w:rPr>
      <w:rFonts w:ascii="Wingdings" w:hAnsi="Wingdings" w:cs="Wingdings"/>
      <w:sz w:val="16"/>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color w:val="auto"/>
    </w:rPr>
  </w:style>
  <w:style w:type="character" w:styleId="WW8Num284z0">
    <w:name w:val="WW8Num284z0"/>
    <w:qFormat/>
    <w:rPr>
      <w:rFonts w:ascii="Symbol" w:hAnsi="Symbol" w:cs="Symbol"/>
    </w:rPr>
  </w:style>
  <w:style w:type="character" w:styleId="WW8Num286z0">
    <w:name w:val="WW8Num286z0"/>
    <w:qFormat/>
    <w:rPr>
      <w:rFonts w:ascii="Symbol" w:hAnsi="Symbol" w:cs="Symbol"/>
      <w:color w:val="auto"/>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Wingdings" w:hAnsi="Wingdings" w:cs="Wingdings"/>
      <w:sz w:val="16"/>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Times New Roman" w:hAnsi="Times New Roman" w:cs="Times New Roman"/>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Wingdings" w:hAnsi="Wingdings" w:cs="Wingdings"/>
      <w:sz w:val="16"/>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Times New Roman" w:hAnsi="Times New Roman" w:cs="Times New Roman"/>
    </w:rPr>
  </w:style>
  <w:style w:type="character" w:styleId="WW8Num301z0">
    <w:name w:val="WW8Num301z0"/>
    <w:qFormat/>
    <w:rPr>
      <w:rFonts w:ascii="Wingdings" w:hAnsi="Wingdings" w:cs="Wingdings"/>
      <w:sz w:val="16"/>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Times New Roman" w:hAnsi="Times New Roman" w:cs="Times New Roman"/>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Times New Roman" w:hAnsi="Times New Roman" w:cs="Times New Roman"/>
      <w:sz w:val="16"/>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Times New Roman" w:hAnsi="Times New Roman" w:cs="Times New Roman"/>
    </w:rPr>
  </w:style>
  <w:style w:type="character" w:styleId="WW8Num314z0">
    <w:name w:val="WW8Num314z0"/>
    <w:qFormat/>
    <w:rPr>
      <w:rFonts w:ascii="Times New Roman" w:hAnsi="Times New Roman" w:cs="Times New Roman"/>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Times New Roman" w:hAnsi="Times New Roman" w:cs="Times New Roman"/>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Times New Roman" w:hAnsi="Times New Roman" w:cs="Times New Roman"/>
    </w:rPr>
  </w:style>
  <w:style w:type="character" w:styleId="WW8Num324z0">
    <w:name w:val="WW8Num324z0"/>
    <w:qFormat/>
    <w:rPr>
      <w:rFonts w:ascii="Symbol" w:hAnsi="Symbol" w:cs="Symbol"/>
    </w:rPr>
  </w:style>
  <w:style w:type="character" w:styleId="WW8Num325z0">
    <w:name w:val="WW8Num325z0"/>
    <w:qFormat/>
    <w:rPr>
      <w:rFonts w:ascii="Times New Roman" w:hAnsi="Times New Roman" w:cs="Times New Roman"/>
    </w:rPr>
  </w:style>
  <w:style w:type="character" w:styleId="WW8Num326z0">
    <w:name w:val="WW8Num326z0"/>
    <w:qFormat/>
    <w:rPr>
      <w:rFonts w:ascii="Wingdings" w:hAnsi="Wingdings" w:cs="Wingdings"/>
      <w:sz w:val="16"/>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Wingdings" w:hAnsi="Wingdings" w:cs="Wingdings"/>
    </w:rPr>
  </w:style>
  <w:style w:type="character" w:styleId="WW8Num335z0">
    <w:name w:val="WW8Num335z0"/>
    <w:qFormat/>
    <w:rPr>
      <w:rFonts w:ascii="Times New Roman" w:hAnsi="Times New Roman" w:cs="Times New Roman"/>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EndnoteCharacters">
    <w:name w:val="Endnote Characters"/>
    <w:basedOn w:val="DefaultParagraphFont"/>
    <w:qFormat/>
    <w:rPr>
      <w:rFonts w:ascii="CG Times" w:hAnsi="CG Times" w:cs="CG Times"/>
      <w:vertAlign w:val="superscript"/>
    </w:rPr>
  </w:style>
  <w:style w:type="character" w:styleId="FootnoteCharacters">
    <w:name w:val="Footnote Characters"/>
    <w:basedOn w:val="DefaultParagraphFont"/>
    <w:qFormat/>
    <w:rPr>
      <w:rFonts w:ascii="CG Times" w:hAnsi="CG Times" w:cs="CG Times"/>
      <w:vertAlign w:val="superscrip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b/>
      <w:kern w:val="2"/>
    </w:rPr>
  </w:style>
  <w:style w:type="paragraph" w:styleId="BodyText">
    <w:name w:val="Body Text"/>
    <w:basedOn w:val="Normal"/>
    <w:pPr>
      <w:ind w:hanging="0" w:start="624"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spacing w:lineRule="auto" w:line="288" w:before="0" w:after="100"/>
      <w:jc w:val="both"/>
    </w:pPr>
    <w:rPr>
      <w:rFonts w:ascii="CG Times" w:hAnsi="CG Times" w:cs="CG Times"/>
    </w:rPr>
  </w:style>
  <w:style w:type="paragraph" w:styleId="HeaderandFooter">
    <w:name w:val="Header and Footer"/>
    <w:basedOn w:val="Normal"/>
    <w:qFormat/>
    <w:pPr>
      <w:suppressLineNumbers/>
      <w:tabs>
        <w:tab w:val="clear" w:pos="624"/>
        <w:tab w:val="center" w:pos="4986" w:leader="none"/>
        <w:tab w:val="right" w:pos="9972" w:leader="none"/>
      </w:tabs>
    </w:pPr>
    <w:rPr/>
  </w:style>
  <w:style w:type="paragraph" w:styleId="Footer">
    <w:name w:val="footer"/>
    <w:basedOn w:val="Normal"/>
    <w:pPr>
      <w:spacing w:lineRule="auto" w:line="240" w:before="0" w:after="0"/>
    </w:pPr>
    <w:rPr>
      <w:sz w:val="16"/>
    </w:rPr>
  </w:style>
  <w:style w:type="paragraph" w:styleId="Header">
    <w:name w:val="header"/>
    <w:basedOn w:val="Normal"/>
    <w:pPr>
      <w:spacing w:lineRule="auto" w:line="240" w:before="0" w:after="0"/>
    </w:pPr>
    <w:rPr>
      <w:sz w:val="18"/>
    </w:rPr>
  </w:style>
  <w:style w:type="paragraph" w:styleId="LOGO">
    <w:name w:val="LOGO"/>
    <w:basedOn w:val="Normal"/>
    <w:next w:val="Normal"/>
    <w:qFormat/>
    <w:pPr>
      <w:spacing w:before="0" w:after="0"/>
      <w:jc w:val="center"/>
    </w:pPr>
    <w:rPr>
      <w:rFonts w:ascii="Copperplate33bc" w:hAnsi="Copperplate33bc" w:cs="Copperplate33bc"/>
      <w:caps/>
      <w:sz w:val="36"/>
    </w:rPr>
  </w:style>
  <w:style w:type="paragraph" w:styleId="COVERPAGE">
    <w:name w:val="COVERPAGE"/>
    <w:basedOn w:val="Normal"/>
    <w:qFormat/>
    <w:pPr>
      <w:spacing w:before="0" w:after="0"/>
      <w:jc w:val="start"/>
    </w:pPr>
    <w:rPr/>
  </w:style>
  <w:style w:type="paragraph" w:styleId="ListAlpha1">
    <w:name w:val="List Alpha 1"/>
    <w:basedOn w:val="Normal"/>
    <w:next w:val="BodyText"/>
    <w:qFormat/>
    <w:pPr>
      <w:numPr>
        <w:ilvl w:val="0"/>
        <w:numId w:val="15"/>
      </w:numPr>
      <w:tabs>
        <w:tab w:val="clear" w:pos="624"/>
        <w:tab w:val="left" w:pos="22" w:leader="none"/>
      </w:tabs>
    </w:pPr>
    <w:rPr/>
  </w:style>
  <w:style w:type="paragraph" w:styleId="ListAlpha2">
    <w:name w:val="List Alpha 2"/>
    <w:basedOn w:val="Normal"/>
    <w:next w:val="BodyText2"/>
    <w:qFormat/>
    <w:pPr>
      <w:numPr>
        <w:ilvl w:val="0"/>
        <w:numId w:val="15"/>
      </w:numPr>
      <w:tabs>
        <w:tab w:val="clear" w:pos="624"/>
        <w:tab w:val="left" w:pos="50" w:leader="none"/>
      </w:tabs>
    </w:pPr>
    <w:rPr/>
  </w:style>
  <w:style w:type="paragraph" w:styleId="ListAlpha3">
    <w:name w:val="List Alpha 3"/>
    <w:basedOn w:val="Normal"/>
    <w:next w:val="BodyText3"/>
    <w:qFormat/>
    <w:pPr>
      <w:numPr>
        <w:ilvl w:val="0"/>
        <w:numId w:val="15"/>
      </w:numPr>
      <w:tabs>
        <w:tab w:val="clear" w:pos="624"/>
      </w:tabs>
    </w:pPr>
    <w:rPr/>
  </w:style>
  <w:style w:type="paragraph" w:styleId="ListALPHACAPS1">
    <w:name w:val="List ALPHA CAPS 1"/>
    <w:basedOn w:val="Normal"/>
    <w:next w:val="BodyText"/>
    <w:qFormat/>
    <w:pPr>
      <w:numPr>
        <w:ilvl w:val="0"/>
        <w:numId w:val="11"/>
      </w:numPr>
      <w:tabs>
        <w:tab w:val="clear" w:pos="624"/>
        <w:tab w:val="left" w:pos="22" w:leader="none"/>
      </w:tabs>
    </w:pPr>
    <w:rPr/>
  </w:style>
  <w:style w:type="paragraph" w:styleId="LISTALPHACAPS2">
    <w:name w:val="LIST ALPHA CAPS 2"/>
    <w:basedOn w:val="Normal"/>
    <w:next w:val="BodyText2"/>
    <w:qFormat/>
    <w:pPr>
      <w:numPr>
        <w:ilvl w:val="0"/>
        <w:numId w:val="11"/>
      </w:numPr>
      <w:tabs>
        <w:tab w:val="clear" w:pos="624"/>
        <w:tab w:val="left" w:pos="50" w:leader="none"/>
      </w:tabs>
    </w:pPr>
    <w:rPr/>
  </w:style>
  <w:style w:type="paragraph" w:styleId="LISTALPHACAPS3">
    <w:name w:val="LIST ALPHA CAPS 3"/>
    <w:basedOn w:val="Normal"/>
    <w:next w:val="BodyText3"/>
    <w:qFormat/>
    <w:pPr>
      <w:numPr>
        <w:ilvl w:val="0"/>
        <w:numId w:val="11"/>
      </w:numPr>
      <w:tabs>
        <w:tab w:val="clear" w:pos="624"/>
        <w:tab w:val="left" w:pos="68" w:leader="none"/>
      </w:tabs>
    </w:pPr>
    <w:rPr/>
  </w:style>
  <w:style w:type="paragraph" w:styleId="ListArabic1">
    <w:name w:val="List Arabic 1"/>
    <w:basedOn w:val="Normal"/>
    <w:next w:val="BodyText"/>
    <w:qFormat/>
    <w:pPr>
      <w:numPr>
        <w:ilvl w:val="0"/>
        <w:numId w:val="10"/>
      </w:numPr>
      <w:tabs>
        <w:tab w:val="clear" w:pos="624"/>
        <w:tab w:val="left" w:pos="22" w:leader="none"/>
      </w:tabs>
    </w:pPr>
    <w:rPr/>
  </w:style>
  <w:style w:type="paragraph" w:styleId="ListArabic2">
    <w:name w:val="List Arabic 2"/>
    <w:basedOn w:val="Normal"/>
    <w:next w:val="BodyText2"/>
    <w:qFormat/>
    <w:pPr>
      <w:numPr>
        <w:ilvl w:val="0"/>
        <w:numId w:val="10"/>
      </w:numPr>
      <w:tabs>
        <w:tab w:val="clear" w:pos="624"/>
        <w:tab w:val="left" w:pos="50" w:leader="none"/>
      </w:tabs>
    </w:pPr>
    <w:rPr/>
  </w:style>
  <w:style w:type="paragraph" w:styleId="ListArabic3">
    <w:name w:val="List Arabic 3"/>
    <w:basedOn w:val="Normal"/>
    <w:next w:val="BodyText3"/>
    <w:qFormat/>
    <w:pPr>
      <w:numPr>
        <w:ilvl w:val="0"/>
        <w:numId w:val="10"/>
      </w:numPr>
      <w:tabs>
        <w:tab w:val="clear" w:pos="624"/>
        <w:tab w:val="left" w:pos="68" w:leader="none"/>
      </w:tabs>
    </w:pPr>
    <w:rPr/>
  </w:style>
  <w:style w:type="paragraph" w:styleId="ListArabic4">
    <w:name w:val="List Arabic 4"/>
    <w:basedOn w:val="Normal"/>
    <w:next w:val="BodyText4"/>
    <w:qFormat/>
    <w:pPr>
      <w:numPr>
        <w:ilvl w:val="0"/>
        <w:numId w:val="13"/>
      </w:numPr>
      <w:tabs>
        <w:tab w:val="clear" w:pos="624"/>
        <w:tab w:val="left" w:pos="86" w:leader="none"/>
      </w:tabs>
    </w:pPr>
    <w:rPr/>
  </w:style>
  <w:style w:type="paragraph" w:styleId="ListLegal1">
    <w:name w:val="List Legal 1"/>
    <w:basedOn w:val="Normal"/>
    <w:next w:val="BodyText"/>
    <w:qFormat/>
    <w:pPr>
      <w:numPr>
        <w:ilvl w:val="0"/>
        <w:numId w:val="13"/>
      </w:numPr>
      <w:tabs>
        <w:tab w:val="clear" w:pos="624"/>
        <w:tab w:val="left" w:pos="22" w:leader="none"/>
      </w:tabs>
    </w:pPr>
    <w:rPr/>
  </w:style>
  <w:style w:type="paragraph" w:styleId="ListLegal2">
    <w:name w:val="List Legal 2"/>
    <w:basedOn w:val="Normal"/>
    <w:next w:val="BodyText"/>
    <w:qFormat/>
    <w:pPr>
      <w:numPr>
        <w:ilvl w:val="0"/>
        <w:numId w:val="13"/>
      </w:numPr>
      <w:tabs>
        <w:tab w:val="clear" w:pos="624"/>
        <w:tab w:val="left" w:pos="22" w:leader="none"/>
      </w:tabs>
    </w:pPr>
    <w:rPr/>
  </w:style>
  <w:style w:type="paragraph" w:styleId="ListLegal3">
    <w:name w:val="List Legal 3"/>
    <w:basedOn w:val="Normal"/>
    <w:next w:val="BodyText2"/>
    <w:qFormat/>
    <w:pPr>
      <w:numPr>
        <w:ilvl w:val="0"/>
        <w:numId w:val="13"/>
      </w:numPr>
      <w:tabs>
        <w:tab w:val="clear" w:pos="624"/>
        <w:tab w:val="left" w:pos="50" w:leader="none"/>
      </w:tabs>
    </w:pPr>
    <w:rPr/>
  </w:style>
  <w:style w:type="paragraph" w:styleId="ListRoman1">
    <w:name w:val="List Roman 1"/>
    <w:basedOn w:val="Normal"/>
    <w:next w:val="BodyText"/>
    <w:qFormat/>
    <w:pPr>
      <w:numPr>
        <w:ilvl w:val="0"/>
        <w:numId w:val="12"/>
      </w:numPr>
      <w:tabs>
        <w:tab w:val="clear" w:pos="624"/>
        <w:tab w:val="left" w:pos="22" w:leader="none"/>
      </w:tabs>
    </w:pPr>
    <w:rPr/>
  </w:style>
  <w:style w:type="paragraph" w:styleId="ListRoman2">
    <w:name w:val="List Roman 2"/>
    <w:basedOn w:val="Normal"/>
    <w:next w:val="BodyText2"/>
    <w:qFormat/>
    <w:pPr>
      <w:numPr>
        <w:ilvl w:val="0"/>
        <w:numId w:val="12"/>
      </w:numPr>
      <w:tabs>
        <w:tab w:val="clear" w:pos="624"/>
        <w:tab w:val="left" w:pos="50" w:leader="none"/>
      </w:tabs>
    </w:pPr>
    <w:rPr/>
  </w:style>
  <w:style w:type="paragraph" w:styleId="ListRoman3">
    <w:name w:val="List Roman 3"/>
    <w:basedOn w:val="Normal"/>
    <w:next w:val="BodyText3"/>
    <w:qFormat/>
    <w:pPr>
      <w:numPr>
        <w:ilvl w:val="0"/>
        <w:numId w:val="12"/>
      </w:numPr>
      <w:tabs>
        <w:tab w:val="clear" w:pos="624"/>
        <w:tab w:val="left" w:pos="68" w:leader="none"/>
      </w:tabs>
    </w:pPr>
    <w:rPr/>
  </w:style>
  <w:style w:type="paragraph" w:styleId="BodyText2">
    <w:name w:val="Body Text 2"/>
    <w:basedOn w:val="Normal"/>
    <w:qFormat/>
    <w:pPr>
      <w:ind w:hanging="0" w:start="1417" w:end="0"/>
    </w:pPr>
    <w:rPr/>
  </w:style>
  <w:style w:type="paragraph" w:styleId="BodyText3">
    <w:name w:val="Body Text 3"/>
    <w:basedOn w:val="Normal"/>
    <w:qFormat/>
    <w:pPr>
      <w:ind w:hanging="0" w:start="1928" w:end="0"/>
    </w:pPr>
    <w:rPr/>
  </w:style>
  <w:style w:type="paragraph" w:styleId="BodyText4">
    <w:name w:val="Body Text 4"/>
    <w:basedOn w:val="Normal"/>
    <w:qFormat/>
    <w:pPr>
      <w:ind w:hanging="0" w:start="2438" w:end="0"/>
    </w:pPr>
    <w:rPr/>
  </w:style>
  <w:style w:type="paragraph" w:styleId="BodyText5">
    <w:name w:val="Body Text 5"/>
    <w:basedOn w:val="Normal"/>
    <w:qFormat/>
    <w:pPr>
      <w:ind w:hanging="0" w:start="2948" w:end="0"/>
    </w:pPr>
    <w:rPr/>
  </w:style>
  <w:style w:type="paragraph" w:styleId="Signature">
    <w:name w:val="Signature"/>
    <w:basedOn w:val="Normal"/>
    <w:pPr>
      <w:ind w:hanging="0" w:start="4252" w:end="0"/>
    </w:pPr>
    <w:rPr/>
  </w:style>
  <w:style w:type="paragraph" w:styleId="TOC2">
    <w:name w:val="toc 2"/>
    <w:basedOn w:val="Normal"/>
    <w:next w:val="Normal"/>
    <w:pPr>
      <w:keepLines/>
      <w:spacing w:lineRule="auto" w:line="276" w:before="0" w:after="0"/>
      <w:ind w:hanging="680" w:start="1191" w:end="0"/>
    </w:pPr>
    <w:rPr>
      <w:sz w:val="21"/>
    </w:rPr>
  </w:style>
  <w:style w:type="paragraph" w:styleId="TOC1">
    <w:name w:val="toc 1"/>
    <w:basedOn w:val="Normal"/>
    <w:next w:val="Normal"/>
    <w:pPr>
      <w:keepLines/>
      <w:spacing w:before="100" w:after="0"/>
      <w:ind w:hanging="510" w:start="510" w:end="0"/>
    </w:pPr>
    <w:rPr/>
  </w:style>
  <w:style w:type="paragraph" w:styleId="EndnoteText">
    <w:name w:val="endnote text"/>
    <w:basedOn w:val="Normal"/>
    <w:pPr>
      <w:tabs>
        <w:tab w:val="clear" w:pos="624"/>
        <w:tab w:val="left" w:pos="113" w:leader="none"/>
      </w:tabs>
      <w:spacing w:before="0" w:after="100"/>
      <w:ind w:hanging="113" w:start="113" w:end="0"/>
    </w:pPr>
    <w:rPr>
      <w:sz w:val="18"/>
    </w:rPr>
  </w:style>
  <w:style w:type="paragraph" w:styleId="FootnoteText">
    <w:name w:val="footnote text"/>
    <w:basedOn w:val="Normal"/>
    <w:pPr>
      <w:tabs>
        <w:tab w:val="clear" w:pos="624"/>
        <w:tab w:val="left" w:pos="113" w:leader="none"/>
      </w:tabs>
      <w:spacing w:before="0" w:after="100"/>
      <w:ind w:hanging="113" w:start="113" w:end="0"/>
    </w:pPr>
    <w:rPr>
      <w:sz w:val="18"/>
    </w:rPr>
  </w:style>
  <w:style w:type="paragraph" w:styleId="NotesAlpha">
    <w:name w:val="Notes Alpha"/>
    <w:basedOn w:val="Normal"/>
    <w:qFormat/>
    <w:pPr>
      <w:numPr>
        <w:ilvl w:val="0"/>
        <w:numId w:val="18"/>
      </w:numPr>
      <w:spacing w:before="0" w:after="100"/>
    </w:pPr>
    <w:rPr/>
  </w:style>
  <w:style w:type="paragraph" w:styleId="NotesArabic">
    <w:name w:val="Notes Arabic"/>
    <w:basedOn w:val="Normal"/>
    <w:qFormat/>
    <w:pPr>
      <w:numPr>
        <w:ilvl w:val="0"/>
        <w:numId w:val="4"/>
      </w:numPr>
      <w:spacing w:before="0" w:after="100"/>
    </w:pPr>
    <w:rPr/>
  </w:style>
  <w:style w:type="paragraph" w:styleId="NotesRoman">
    <w:name w:val="Notes Roman"/>
    <w:basedOn w:val="Normal"/>
    <w:qFormat/>
    <w:pPr>
      <w:numPr>
        <w:ilvl w:val="0"/>
        <w:numId w:val="4"/>
      </w:numPr>
      <w:spacing w:before="0" w:after="100"/>
    </w:pPr>
    <w:rPr/>
  </w:style>
  <w:style w:type="paragraph" w:styleId="Salutation">
    <w:name w:val="Salutation"/>
    <w:basedOn w:val="Normal"/>
    <w:next w:val="Normal"/>
    <w:qFormat/>
    <w:pPr/>
    <w:rPr/>
  </w:style>
  <w:style w:type="paragraph" w:styleId="RightTab">
    <w:name w:val="Right Tab"/>
    <w:basedOn w:val="Normal"/>
    <w:next w:val="Normal"/>
    <w:qFormat/>
    <w:pPr>
      <w:tabs>
        <w:tab w:val="clear" w:pos="624"/>
        <w:tab w:val="right" w:pos="8505" w:leader="none"/>
      </w:tabs>
      <w:spacing w:before="0" w:after="100"/>
    </w:pPr>
    <w:rPr/>
  </w:style>
  <w:style w:type="paragraph" w:styleId="TOC3">
    <w:name w:val="toc 3"/>
    <w:basedOn w:val="Normal"/>
    <w:next w:val="Normal"/>
    <w:pPr>
      <w:keepLines/>
      <w:spacing w:lineRule="auto" w:line="312" w:before="200" w:after="0"/>
      <w:ind w:hanging="1701" w:start="1701" w:end="0"/>
    </w:pPr>
    <w:rPr>
      <w:smallCaps/>
      <w:sz w:val="21"/>
    </w:rPr>
  </w:style>
  <w:style w:type="paragraph" w:styleId="TOC4">
    <w:name w:val="toc 4"/>
    <w:basedOn w:val="Normal"/>
    <w:next w:val="Normal"/>
    <w:pPr>
      <w:keepLines/>
      <w:spacing w:before="0" w:after="0"/>
      <w:ind w:hanging="1191" w:start="1701" w:end="0"/>
    </w:pPr>
    <w:rPr/>
  </w:style>
  <w:style w:type="paragraph" w:styleId="PartHeadings">
    <w:name w:val="Part Headings"/>
    <w:basedOn w:val="Normal"/>
    <w:next w:val="Normal"/>
    <w:qFormat/>
    <w:pPr>
      <w:numPr>
        <w:ilvl w:val="0"/>
        <w:numId w:val="4"/>
      </w:numPr>
      <w:suppressAutoHyphens w:val="true"/>
      <w:spacing w:lineRule="auto" w:line="312" w:before="0" w:after="300"/>
      <w:jc w:val="center"/>
      <w:outlineLvl w:val="2"/>
    </w:pPr>
    <w:rPr>
      <w:b/>
      <w:sz w:val="21"/>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bullet">
    <w:name w:val="bullet"/>
    <w:basedOn w:val="Normal"/>
    <w:qFormat/>
    <w:pPr>
      <w:numPr>
        <w:ilvl w:val="0"/>
        <w:numId w:val="25"/>
      </w:numPr>
    </w:pPr>
    <w:rPr/>
  </w:style>
  <w:style w:type="paragraph" w:styleId="ListBullet">
    <w:name w:val="List Bullet"/>
    <w:basedOn w:val="Normal"/>
    <w:qFormat/>
    <w:pPr>
      <w:numPr>
        <w:ilvl w:val="0"/>
        <w:numId w:val="20"/>
      </w:numPr>
      <w:tabs>
        <w:tab w:val="clear" w:pos="624"/>
        <w:tab w:val="left" w:pos="1608" w:leader="none"/>
      </w:tabs>
      <w:ind w:hanging="0" w:start="1608" w:end="0"/>
    </w:pPr>
    <w:rPr/>
  </w:style>
  <w:style w:type="paragraph" w:styleId="squarebullet">
    <w:name w:val="square bullet"/>
    <w:basedOn w:val="Normal"/>
    <w:qFormat/>
    <w:pPr>
      <w:numPr>
        <w:ilvl w:val="0"/>
        <w:numId w:val="17"/>
      </w:numP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footnotes" Target="footnotes.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AGREEMENT.DOT</Template>
  <TotalTime>1369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1999-11-22T23:01:00Z</dcterms:created>
  <dc:creator>Karen Campbell</dc:creator>
  <dc:description/>
  <dc:language>en-CA</dc:language>
  <cp:lastModifiedBy>003659</cp:lastModifiedBy>
  <cp:lastPrinted>1999-12-06T16:30:00Z</cp:lastPrinted>
  <dcterms:modified xsi:type="dcterms:W3CDTF">1999-12-06T14:15:00Z</dcterms:modified>
  <cp:revision>173</cp:revision>
  <dc:subject/>
  <dc:title>STRICTLY PRIVATE AND CONFIDENTIAL</dc:title>
</cp:coreProperties>
</file>