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Drew Fossum's draft response to Conoco Interrogatory #9</w:t>
      </w:r>
    </w:p>
    <w:p>
      <w:pPr>
        <w:pStyle w:val="Normal"/>
        <w:rPr/>
      </w:pPr>
      <w:r>
        <w:rPr/>
      </w:r>
    </w:p>
    <w:p>
      <w:pPr>
        <w:pStyle w:val="Normal"/>
        <w:rPr/>
      </w:pPr>
      <w:r>
        <w:rPr/>
      </w:r>
    </w:p>
    <w:p>
      <w:pPr>
        <w:pStyle w:val="Normal"/>
        <w:spacing w:lineRule="auto" w:line="480"/>
        <w:ind w:hanging="720" w:start="720" w:end="0"/>
        <w:rPr/>
      </w:pPr>
      <w:r>
        <w:rPr/>
        <w:t>9.</w:t>
        <w:tab/>
        <w:t>Regulatory conditions and related gas market conditions prevailing in 1994 gave Northern the option either to terminate its merchant business or to risk incurring massive losses and possible regulatory sanction such as prudence disallowance of its gas purchase costs.  Northern, as a prudently run business, conformed its business operations to the regulatory and commercial environment and curtailed its sales function.  By 1999, the gas market and regulatory rules had evolved to the point that Northern decided to reactivate its gas sales division to allow it to participate in market opportunities that may arise.  The most important regulatory and market change since 1994 is that Northern is no longer  subject to a "purchased gas adjustment" mechanism that requires it to simply pass through the costs of an above-market cost gas supply portfolio.  Northern is allowed, under current rules, to sell at market prices gas it purchases or gas that becomes available on Northern's  system due to customer imbalances, sales of line pack or surplus storage inventory.</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1999-12-13T12:53:00Z</dcterms:created>
  <dc:creator>Enron</dc:creator>
  <dc:description/>
  <dc:language>en-CA</dc:language>
  <cp:lastModifiedBy>Enron</cp:lastModifiedBy>
  <cp:lastPrinted>1999-12-13T09:28:00Z</cp:lastPrinted>
  <dcterms:modified xsi:type="dcterms:W3CDTF">1999-12-13T13:34:00Z</dcterms:modified>
  <cp:revision>2</cp:revision>
  <dc:subject/>
  <dc:title>Answers to Interrogatories</dc:title>
</cp:coreProperties>
</file>