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 AND THE WESTERN POWER TRADING FORUM REGARDING THE AUGUST 27</w:t>
      </w:r>
    </w:p>
    <w:p>
      <w:pPr>
        <w:pStyle w:val="Heading1"/>
        <w:rPr/>
      </w:pPr>
      <w:r>
        <w:rPr/>
        <w:t>DRAFT DECISION OF ALJ BARNETT AND THE AUGUST 30</w:t>
      </w:r>
    </w:p>
    <w:p>
      <w:pPr>
        <w:pStyle w:val="Heading1"/>
        <w:rPr>
          <w:b w:val="false"/>
          <w:bCs w:val="false"/>
        </w:rPr>
      </w:pPr>
      <w:r>
        <w:rPr/>
        <w:t>ALTERNATE DRAFT DECISION OF COMMISSIONER BILAS</w:t>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Heading3"/>
        <w:rPr/>
      </w:pPr>
      <w:r>
        <w:rPr/>
        <w:t>ALLIANCE FOR RETAIL ENERGY MARKETS</w:t>
      </w:r>
    </w:p>
    <w:p>
      <w:pPr>
        <w:pStyle w:val="Normal"/>
        <w:ind w:firstLine="720" w:start="3600" w:end="-180"/>
        <w:rPr>
          <w:b/>
          <w:bCs/>
        </w:rPr>
      </w:pPr>
      <w:r>
        <w:rPr>
          <w:b/>
          <w:bCs/>
        </w:rPr>
        <w:t>WESTERN POWER TRADING FORUM</w:t>
      </w:r>
    </w:p>
    <w:p>
      <w:pPr>
        <w:pStyle w:val="Heading4"/>
        <w:jc w:val="start"/>
        <w:rPr>
          <w:rFonts w:ascii="Times New Roman" w:hAnsi="Times New Roman" w:cs="Times New Roman"/>
        </w:rPr>
      </w:pPr>
      <w:r>
        <w:rPr>
          <w:rFonts w:cs="Times New Roman" w:ascii="Times New Roman" w:hAnsi="Times New Roman"/>
        </w:rPr>
      </w:r>
    </w:p>
    <w:p>
      <w:pPr>
        <w:pStyle w:val="Heading4"/>
        <w:jc w:val="start"/>
        <w:rPr>
          <w:rFonts w:ascii="Times New Roman" w:hAnsi="Times New Roman" w:cs="Times New Roman"/>
        </w:rPr>
      </w:pPr>
      <w:r>
        <w:rPr>
          <w:rFonts w:cs="Times New Roman" w:ascii="Times New Roman" w:hAnsi="Times New Roman"/>
        </w:rPr>
        <w:t>September 4,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Heading1"/>
        <w:rPr/>
      </w:pPr>
      <w:r>
        <w:rPr/>
        <w:t>COMMENTS OF THE ALLIANCE FOR RETAIL ENERGY MARKETS AND THE WESTERN POWER TRADING FORUM REGARDING THE AUGUST 27</w:t>
      </w:r>
    </w:p>
    <w:p>
      <w:pPr>
        <w:pStyle w:val="Heading1"/>
        <w:rPr/>
      </w:pPr>
      <w:r>
        <w:rPr/>
        <w:t>DRAFT DECISION OF ALJ BARNETT AND THE AUGUST 30</w:t>
      </w:r>
    </w:p>
    <w:p>
      <w:pPr>
        <w:pStyle w:val="Heading1"/>
        <w:rPr>
          <w:b w:val="false"/>
          <w:bCs w:val="false"/>
        </w:rPr>
      </w:pPr>
      <w:r>
        <w:rPr/>
        <w:t>ALTERNATE DRAFT DECISION OF COMMISSIONER BILAS</w:t>
      </w:r>
    </w:p>
    <w:p>
      <w:pPr>
        <w:pStyle w:val="Heading4"/>
        <w:rPr>
          <w:rFonts w:ascii="Times New Roman" w:hAnsi="Times New Roman" w:cs="Times New Roman"/>
          <w:b/>
          <w:bCs/>
        </w:rPr>
      </w:pPr>
      <w:r>
        <w:rPr>
          <w:rFonts w:cs="Times New Roman" w:ascii="Times New Roman" w:hAnsi="Times New Roman"/>
          <w:b/>
          <w:bCs/>
        </w:rPr>
      </w:r>
    </w:p>
    <w:p>
      <w:pPr>
        <w:pStyle w:val="BodyText"/>
        <w:widowControl/>
        <w:ind w:firstLine="720" w:end="0"/>
        <w:jc w:val="both"/>
        <w:rPr/>
      </w:pPr>
      <w:r>
        <w:rPr/>
        <w:t>Pursuant to Rule 77 of the Commission’s Rules of Practice and Procedure, the Alliance for Retail Energy Markets (“AReM”) and the Western Power Trading Forum (“WPTF”) hereby provides their joint comments concerning the August 27, 2001, Draft Decision of Administrative Law Judge Robert A. Barnett (the “Draft Decision”) and the August 30 Alternate Draft Decision of Commissioner Bilas (the “Alternate Draft Decision”).  AReM and WPTF are hereinafter referred to collectively as the “Joint Parties.”</w:t>
      </w:r>
    </w:p>
    <w:p>
      <w:pPr>
        <w:pStyle w:val="BodyText"/>
        <w:widowControl/>
        <w:ind w:firstLine="720" w:end="0"/>
        <w:jc w:val="both"/>
        <w:rPr/>
      </w:pPr>
      <w:r>
        <w:rPr/>
        <w:t xml:space="preserve">The Joint Parties strongly urge the Commission to adopt the Alternate Draft Decision.  The transmittal letter that accompanied the Draft Decision asked the following three questions: (1) whether AB1X suspends the entire direct access program, including all transactions under that program; (2) how the Commission can comply with AB1X if it exempts written contracts for direct access executed before July 1, 2001 from the suspension; and (3) whether July 1, 2001 is an appropriate date for the suspension.   The Joint Parties believe that: (1) AB1X cannot legally suspend the direct access program retroactively and comply with both state and federal Constitutional safeguards; (2) the exemption of contracts signed before the effective date of a Commission decision is required under Section 80110 of the Water Code, as its wording is expressly forward-looking, rather than retroactive; and (3) July 1, 2001 is not an appropriate date, for both legal and policy reasons.  </w:t>
      </w:r>
    </w:p>
    <w:p>
      <w:pPr>
        <w:pStyle w:val="BodyText"/>
        <w:ind w:firstLine="720" w:end="0"/>
        <w:jc w:val="both"/>
        <w:rPr/>
      </w:pPr>
      <w:r>
        <w:rPr/>
        <w:t xml:space="preserve">Retroactive suspension will expose the Commission to significant legal challenges, with the potential for delaying the State’s pending bond issuance.  The statute itself does not authorize retroactivity.  Had the Legislature intended such action by the Commission, it could have used clear and express wording to do so.  Retroactivity would violate both the Contracts Clause and the Takings Clause of the U.S. Constitution, as well as the counterparts to those provisions that are contained in the Declaration of Rights in the California State Constitution.  The refusal to hold hearings on the myriad issues of fact raised by direct access suspension raises significant due process issues.  </w:t>
      </w:r>
    </w:p>
    <w:p>
      <w:pPr>
        <w:pStyle w:val="BodyText"/>
        <w:ind w:firstLine="720" w:end="0"/>
        <w:jc w:val="both"/>
        <w:rPr/>
      </w:pPr>
      <w:r>
        <w:rPr/>
        <w:t xml:space="preserve">Finally, from a policy perspective, the Draft Decision is likely to do more harm than good.  The denial of customer choice is a dramatic breach of faith with the tens of thousands of customers who have sought direct access.  Doing so retroactively will lead to multitudinous contract disputes and place administrative burdens on utilities.  Moreover, retroactive suspension will result in placing an even larger burden on the State to procure power, which is illogical and counter-intuitive to the expressed goals of the Draft Decision. </w:t>
      </w:r>
    </w:p>
    <w:p>
      <w:pPr>
        <w:pStyle w:val="BodyText"/>
        <w:widowControl/>
        <w:ind w:hanging="0" w:end="0"/>
        <w:jc w:val="center"/>
        <w:rPr>
          <w:b/>
          <w:bCs/>
        </w:rPr>
      </w:pPr>
      <w:r>
        <w:rPr>
          <w:b/>
          <w:bCs/>
        </w:rPr>
        <w:t xml:space="preserve">I.  </w:t>
      </w:r>
      <w:r>
        <w:rPr>
          <w:b/>
          <w:bCs/>
          <w:u w:val="single"/>
        </w:rPr>
        <w:t>Identity of the Joint Parties</w:t>
      </w:r>
    </w:p>
    <w:p>
      <w:pPr>
        <w:pStyle w:val="BodyText"/>
        <w:widowControl/>
        <w:ind w:firstLine="720" w:end="0"/>
        <w:jc w:val="both"/>
        <w:rPr/>
      </w:pPr>
      <w:r>
        <w:rPr/>
        <w:t>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Shell Energy Services; and Strategic Energy, L.L.C</w:t>
      </w:r>
      <w:r>
        <w:rPr>
          <w:color w:val="FF0000"/>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BodyTextIndent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II.  </w:t>
      </w:r>
      <w:r>
        <w:rPr>
          <w:u w:val="single"/>
        </w:rPr>
        <w:t>Procedural Summary</w:t>
      </w:r>
    </w:p>
    <w:p>
      <w:pPr>
        <w:pStyle w:val="BodyText"/>
        <w:widowControl/>
        <w:ind w:firstLine="720" w:end="0"/>
        <w:jc w:val="both"/>
        <w:rPr/>
      </w:pPr>
      <w:r>
        <w:rPr/>
        <w:t xml:space="preserve">The Draft Decision purportedly deals with the January 25, 2001, Petition for Expedited Modification of D.99-06-058 (the “Petition”) filed by Southern California Edison Company (“SCE”).  However, it actually was issued in order to permit the Commission to act on a very different matter – the suspension of direct access for the indefinite future.  The Commission has purportedly taken this action pursuant to provisions of Assembly Bill (“AB”) 1X which, among other things, added Section 80110 to the Water Code and required that the Department of Water Resources (“DWR”) procure electricity on behalf of California utilities.  </w:t>
      </w:r>
      <w:r>
        <w:rPr>
          <w:rStyle w:val="FootnoteCharacters"/>
          <w:rStyle w:val="FootnoteReference"/>
          <w:sz w:val="24"/>
        </w:rPr>
        <w:footnoteReference w:id="2"/>
      </w:r>
      <w:r>
        <w:rPr/>
        <w:t xml:space="preserve">  </w:t>
      </w:r>
    </w:p>
    <w:p>
      <w:pPr>
        <w:pStyle w:val="BodyText"/>
        <w:widowControl/>
        <w:ind w:firstLine="720" w:end="0"/>
        <w:jc w:val="both"/>
        <w:rPr/>
      </w:pPr>
      <w:r>
        <w:rPr/>
        <w:t>This is actually the third draft decision issued by the Commission with respect to the issue of direct access suspension.  The first, dated June 14, 2001, proposed that direct access be suspended effective July 1, 2001.  However, the Commission wisely declined to act on this recommendation and instead deferred a vote on direct access suspension.  The second, issued on August 15, 2001, deferred that date to September 1, 2001, and indicated that the Commission would consider the issue at its meeting of August 23.  The Draft Decision disingenuously declines to mention the existence of the draft decision that contained the proposed September 1 suspension date.  It also ignores the fact that parties relied on that draft decision</w:t>
      </w:r>
      <w:r>
        <w:rPr>
          <w:sz w:val="20"/>
        </w:rPr>
        <w:t xml:space="preserve"> </w:t>
      </w:r>
      <w:r>
        <w:rPr/>
        <w:t xml:space="preserve">as an assurance that the Commission would not suspend direct access prior to that date and that it was therefore permissible to continue to sign direct access contracts.  </w:t>
      </w:r>
    </w:p>
    <w:p>
      <w:pPr>
        <w:pStyle w:val="BodyText"/>
        <w:widowControl/>
        <w:ind w:firstLine="720" w:end="0"/>
        <w:jc w:val="both"/>
        <w:rPr/>
      </w:pPr>
      <w:r>
        <w:rPr/>
        <w:t>Once again, however, the Commission deferred the issue to its September 6 meeting.  The third draft, issued on August 27, inexplicably resurrected the July 1 date, despite the fact that the Commission was aware that parties had continued to sign direct access contracts, acting in reliance upon the Commission’s repeated deferrals of suspension and the second draft proposed suspension date of September 1.  During that period of time, ESPs and existing or potential customers kept working toward consummating agreements that would work to the parties’ mutual benefit, despite the ever changing political landscape.</w:t>
      </w:r>
    </w:p>
    <w:p>
      <w:pPr>
        <w:pStyle w:val="BodyText"/>
        <w:widowControl/>
        <w:ind w:firstLine="720" w:end="0"/>
        <w:jc w:val="both"/>
        <w:rPr/>
      </w:pPr>
      <w:r>
        <w:rPr/>
        <w:t xml:space="preserve">This chronology is critical.  It demonstrates that electricity customers and the energy service providers (“ESPs”) who serve them acted reasonably in relying on the Commission’s repeated deferral of direct access suspension and its indication in mid-August that suspension in no event would occur before September 1, 2001.  </w:t>
      </w:r>
    </w:p>
    <w:p>
      <w:pPr>
        <w:pStyle w:val="BodyText"/>
        <w:widowControl/>
        <w:ind w:firstLine="720" w:end="0"/>
        <w:jc w:val="both"/>
        <w:rPr/>
      </w:pPr>
      <w:r>
        <w:rPr/>
        <w:t xml:space="preserve">In so acting, the Commission sent a clear message – suspension of direct access was a thorny issue that the Commission wished to consider carefully.  This impression was reinforced by the fact that June 25, 2001 comments on the first draft decision were almost unanimous in their rejection of the proposed suspension of direct access.  Their comments instead supported the June 14, 2001, alternate draft decision of Commissioner Bilas that would not have suspended direct access but instead called for a further investigation as to the ways that the Commission might act in order to comply with the goals that motivated the Legislature to pass ABX1 1.  Commissioner Bilas’ recommendations with regard to direct access suspension were supported by all but one of the eighteen parties </w:t>
      </w:r>
      <w:r>
        <w:rPr>
          <w:rStyle w:val="FootnoteCharacters"/>
          <w:rStyle w:val="FootnoteReference"/>
          <w:sz w:val="24"/>
        </w:rPr>
        <w:footnoteReference w:id="3"/>
      </w:r>
      <w:r>
        <w:rPr/>
        <w:t xml:space="preserve"> filing comments. </w:t>
      </w:r>
      <w:r>
        <w:rPr>
          <w:rStyle w:val="FootnoteCharacters"/>
          <w:rStyle w:val="FootnoteReference"/>
          <w:sz w:val="24"/>
        </w:rPr>
        <w:footnoteReference w:id="4"/>
      </w:r>
      <w:r>
        <w:rPr/>
        <w:t xml:space="preserve">  This remarkable unanimity from a diverse group of parties, including local, state and federal agencies, electricity consumers, ESPs, power producers and investor-owned utilities.  Their filings echoed common themes:</w:t>
      </w:r>
    </w:p>
    <w:p>
      <w:pPr>
        <w:pStyle w:val="BodyText"/>
        <w:widowControl/>
        <w:numPr>
          <w:ilvl w:val="0"/>
          <w:numId w:val="2"/>
        </w:numPr>
        <w:jc w:val="both"/>
        <w:rPr/>
      </w:pPr>
      <w:r>
        <w:rPr/>
        <w:t>It is unnecessary to suspend direct access;</w:t>
      </w:r>
    </w:p>
    <w:p>
      <w:pPr>
        <w:pStyle w:val="BodyText"/>
        <w:widowControl/>
        <w:numPr>
          <w:ilvl w:val="0"/>
          <w:numId w:val="2"/>
        </w:numPr>
        <w:jc w:val="both"/>
        <w:rPr/>
      </w:pPr>
      <w:r>
        <w:rPr/>
        <w:t>There are alternative means for addressing the concerns of the Department of Water Resources “DWR”); and</w:t>
      </w:r>
    </w:p>
    <w:p>
      <w:pPr>
        <w:pStyle w:val="BodyText"/>
        <w:widowControl/>
        <w:numPr>
          <w:ilvl w:val="0"/>
          <w:numId w:val="2"/>
        </w:numPr>
        <w:jc w:val="both"/>
        <w:rPr/>
      </w:pPr>
      <w:r>
        <w:rPr/>
        <w:t>The Commission should not rush to suspend when better options exist to preserve customer choice and the benefits that direct access bring.</w:t>
      </w:r>
    </w:p>
    <w:p>
      <w:pPr>
        <w:pStyle w:val="BodyText"/>
        <w:widowControl/>
        <w:ind w:firstLine="720" w:end="0"/>
        <w:jc w:val="both"/>
        <w:rPr/>
      </w:pPr>
      <w:r>
        <w:rPr/>
        <w:t>Now the Commission has responded to this near-unanimous expression of opinion by issuing a Draft Decision that not only suspends direct access, but also would do so retroactively.  To his credit, Commissioner Bilas has reissued an Alternate Draft Decision that seeks to uphold the freedom of customer choice and to defer any suspension of direct access until such time as the Commission has more thoroughly analyzed the many issues that surround such a critical decision.  The Joint Parties strongly support the Alternate Draft Decision of Commissioner Bilas and protest the Draft Decision of ALJ Barnett, for the reasons set forth below.</w:t>
      </w:r>
    </w:p>
    <w:p>
      <w:pPr>
        <w:pStyle w:val="BodyText"/>
        <w:widowControl/>
        <w:ind w:firstLine="720" w:end="0"/>
        <w:jc w:val="both"/>
        <w:rPr/>
      </w:pPr>
      <w:r>
        <w:rPr/>
      </w:r>
    </w:p>
    <w:p>
      <w:pPr>
        <w:pStyle w:val="BodyText"/>
        <w:widowControl/>
        <w:ind w:hanging="0" w:end="0"/>
        <w:jc w:val="center"/>
        <w:rPr/>
      </w:pPr>
      <w:r>
        <w:rPr>
          <w:b/>
          <w:bCs/>
        </w:rPr>
        <w:t xml:space="preserve">III.  </w:t>
      </w:r>
      <w:r>
        <w:rPr>
          <w:b/>
          <w:bCs/>
          <w:u w:val="single"/>
        </w:rPr>
        <w:t>Summary of the Joint Parties’ Comments</w:t>
      </w:r>
    </w:p>
    <w:p>
      <w:pPr>
        <w:pStyle w:val="BodyText"/>
        <w:widowControl/>
        <w:ind w:firstLine="720" w:end="0"/>
        <w:jc w:val="both"/>
        <w:rPr/>
      </w:pPr>
      <w:r>
        <w:rPr/>
        <w:t>There is no factual or legal basis for the Commission to suspend direct access retroactively. The Joint Parties believe that the Draft Decision exceeds the Commission’s jurisdictional authority; betrays the right of customer choice; unconstitutionally abrogates contracts entered into in detrimental reliance by customers and ESPs; and constitutes incredibly poor public policy.  The analysis is faulty; the rationale for suspension is incorrect; the remedy lacks specificity; and the significant financial impact on direct access customers and ESPs has been completely ignored.  Direct access contracts are agreements between private parties, neither of which are regulated by the Commission.  Most critically, by recommending retroactive suspension, the Draft Decision breaches fundamental U.S. and California Constitutional guarantees.  It thereby renders the Commission, and the California citizens whose taxes pay for its actions, vulnerable to protracted, expensive and unnecessary legal battles.  The Draft Decision is, in short, a self-inflicted wound that benefits no one:</w:t>
      </w:r>
    </w:p>
    <w:p>
      <w:pPr>
        <w:pStyle w:val="BodyText"/>
        <w:widowControl/>
        <w:numPr>
          <w:ilvl w:val="0"/>
          <w:numId w:val="6"/>
        </w:numPr>
        <w:jc w:val="both"/>
        <w:rPr/>
      </w:pPr>
      <w:r>
        <w:rPr/>
        <w:t>Customers are denied freedom of choice.</w:t>
      </w:r>
    </w:p>
    <w:p>
      <w:pPr>
        <w:pStyle w:val="BodyText"/>
        <w:widowControl/>
        <w:numPr>
          <w:ilvl w:val="0"/>
          <w:numId w:val="6"/>
        </w:numPr>
        <w:jc w:val="both"/>
        <w:rPr/>
      </w:pPr>
      <w:r>
        <w:rPr/>
        <w:t>Customers and ESPs are significantly harmed by the abrogation of their direct access contracts.</w:t>
      </w:r>
    </w:p>
    <w:p>
      <w:pPr>
        <w:pStyle w:val="BodyText"/>
        <w:widowControl/>
        <w:numPr>
          <w:ilvl w:val="0"/>
          <w:numId w:val="6"/>
        </w:numPr>
        <w:jc w:val="both"/>
        <w:rPr/>
      </w:pPr>
      <w:r>
        <w:rPr/>
        <w:t>Businesses are motivated to leave the State to seek lower-cost energy elsewhere.</w:t>
      </w:r>
    </w:p>
    <w:p>
      <w:pPr>
        <w:pStyle w:val="BodyText"/>
        <w:widowControl/>
        <w:numPr>
          <w:ilvl w:val="0"/>
          <w:numId w:val="6"/>
        </w:numPr>
        <w:jc w:val="both"/>
        <w:rPr/>
      </w:pPr>
      <w:r>
        <w:rPr/>
        <w:t>The Department of Water Resources (“DWR”) has a cloud placed on the saleability of its revenue bonds because of the threat of protracted litigation.</w:t>
      </w:r>
    </w:p>
    <w:p>
      <w:pPr>
        <w:pStyle w:val="BodyText"/>
        <w:widowControl/>
        <w:numPr>
          <w:ilvl w:val="0"/>
          <w:numId w:val="6"/>
        </w:numPr>
        <w:jc w:val="both"/>
        <w:rPr/>
      </w:pPr>
      <w:r>
        <w:rPr/>
        <w:t>And finally, the Commission itself must cope with defending the indefensible, legal battles over the retroactive suspension of direct access contracts in violation of the United States and California Constitutions.</w:t>
      </w:r>
    </w:p>
    <w:p>
      <w:pPr>
        <w:pStyle w:val="BodyText"/>
        <w:widowControl/>
        <w:ind w:firstLine="720" w:end="0"/>
        <w:jc w:val="both"/>
        <w:rPr/>
      </w:pPr>
      <w:r>
        <w:rPr/>
        <w:t>Do we really want all this?  Is this really in the best interests of the State of California?  The Joint Parties believe firmly that it is not.</w:t>
      </w:r>
    </w:p>
    <w:p>
      <w:pPr>
        <w:pStyle w:val="BodyText"/>
        <w:widowControl/>
        <w:ind w:firstLine="720" w:end="0"/>
        <w:jc w:val="both"/>
        <w:rPr/>
      </w:pPr>
      <w:r>
        <w:rPr/>
      </w:r>
    </w:p>
    <w:p>
      <w:pPr>
        <w:pStyle w:val="BodyText"/>
        <w:widowControl/>
        <w:ind w:hanging="0" w:end="0"/>
        <w:jc w:val="center"/>
        <w:rPr/>
      </w:pPr>
      <w:r>
        <w:rPr>
          <w:b/>
        </w:rPr>
        <w:t xml:space="preserve">IV.  </w:t>
      </w:r>
      <w:r>
        <w:rPr>
          <w:b/>
          <w:u w:val="single"/>
        </w:rPr>
        <w:t>Retroactive Suspension of Direct Access Violates the U.S. Constitution.</w:t>
      </w:r>
    </w:p>
    <w:p>
      <w:pPr>
        <w:pStyle w:val="Normal"/>
        <w:spacing w:lineRule="auto" w:line="480"/>
        <w:ind w:firstLine="720" w:end="0"/>
        <w:jc w:val="both"/>
        <w:rPr/>
      </w:pPr>
      <w:r>
        <w:rPr/>
        <w:t>The Draft Decision would retroactively suspend direct access so that contracts entered into on or after July 1, 2001 would be abrogated.  The Joint Parties firmly believe that such an act could be successfully challenged on U.S. Constitutional grounds as being violative of both the Contracts Clause and the Takings Clause.  Furthermore, the denial of hearings to consider the many factual issues raised by both the suspension of direct access and its proposed retroactive application is a shocking denial of due process rights under both the U.S. and California Constitutions.</w:t>
      </w:r>
    </w:p>
    <w:p>
      <w:pPr>
        <w:pStyle w:val="Normal"/>
        <w:spacing w:lineRule="auto" w:line="480"/>
        <w:ind w:firstLine="720" w:end="0"/>
        <w:jc w:val="both"/>
        <w:rPr/>
      </w:pPr>
      <w:r>
        <w:rPr/>
      </w:r>
    </w:p>
    <w:p>
      <w:pPr>
        <w:pStyle w:val="Normal"/>
        <w:spacing w:lineRule="auto" w:line="480"/>
        <w:ind w:firstLine="720" w:end="0"/>
        <w:jc w:val="both"/>
        <w:rPr/>
      </w:pPr>
      <w:r>
        <w:rPr/>
        <w:t xml:space="preserve">The contracts entered into by ESPs and their customers are not subject to Commission modification, as the Commission does </w:t>
      </w:r>
      <w:r>
        <w:rPr>
          <w:u w:val="single"/>
        </w:rPr>
        <w:t>not</w:t>
      </w:r>
      <w:r>
        <w:rPr/>
        <w:t xml:space="preserve"> regulate these entities.  ESPs that plan to offer electric services to residential and small commercial customers must fulfill certain registration requirements, as adopted by the Commission in Decisions (D.) 99-05-034 and D.98-03-072 in accordance with Public Utilities Code Section 394(b).  However, ESPs who serve larger customers are not even subject to this registration requirement.  Most importantly, ESP terms and conditions of service for larger customers are </w:t>
      </w:r>
      <w:r>
        <w:rPr>
          <w:u w:val="single"/>
        </w:rPr>
        <w:t>not</w:t>
      </w:r>
      <w:r>
        <w:rPr/>
        <w:t xml:space="preserve"> subject to any form of regulation by the Commission.  </w:t>
      </w:r>
    </w:p>
    <w:p>
      <w:pPr>
        <w:pStyle w:val="Heading1"/>
        <w:spacing w:lineRule="auto" w:line="480"/>
        <w:jc w:val="start"/>
        <w:rPr/>
      </w:pPr>
      <w:r>
        <w:rPr/>
        <w:t xml:space="preserve">A.  </w:t>
      </w:r>
      <w:r>
        <w:rPr>
          <w:u w:val="single"/>
        </w:rPr>
        <w:t>The Relevance of the Contracts Clause</w:t>
      </w:r>
    </w:p>
    <w:p>
      <w:pPr>
        <w:pStyle w:val="Normal"/>
        <w:spacing w:lineRule="auto" w:line="480"/>
        <w:ind w:firstLine="720" w:end="0"/>
        <w:jc w:val="both"/>
        <w:rPr/>
      </w:pPr>
      <w:r>
        <w:rPr/>
        <w:t xml:space="preserve">A retroactive abrogation of contracts entered into between ESPs and their customers violates Section 10 of Article I of the United States Constitution.  It provides in part that, “No State shall . . . pass any . . . </w:t>
      </w:r>
      <w:r>
        <w:rPr>
          <w:u w:val="single"/>
        </w:rPr>
        <w:t>Law impairing the Obligation of Contracts</w:t>
      </w:r>
      <w:r>
        <w:rPr/>
        <w:t xml:space="preserve"> . . .” [Emphasis added] </w:t>
      </w:r>
    </w:p>
    <w:p>
      <w:pPr>
        <w:pStyle w:val="Normal"/>
        <w:spacing w:lineRule="auto" w:line="480"/>
        <w:ind w:firstLine="720" w:end="0"/>
        <w:jc w:val="both"/>
        <w:rPr/>
      </w:pPr>
      <w:r>
        <w:rPr/>
        <w:t xml:space="preserve">Under the Supreme Court’s Contracts Clause jurisprudence, the threshold inquiry is, “whether the state law has, in fact, operated as a substantial impairment of a contractual relationship.”  </w:t>
      </w:r>
      <w:r>
        <w:rPr>
          <w:i/>
          <w:iCs/>
        </w:rPr>
        <w:t>Allied Structural Steel Co</w:t>
      </w:r>
      <w:r>
        <w:rPr/>
        <w:t xml:space="preserve">. v. </w:t>
      </w:r>
      <w:r>
        <w:rPr>
          <w:i/>
          <w:iCs/>
        </w:rPr>
        <w:t>Spannaus</w:t>
      </w:r>
      <w:r>
        <w:rPr/>
        <w:t xml:space="preserve">, 438 U.S. 234, 244 (1978).  “This inquiry has three components:  whether there is a contractual relationship, whether a change in law impairs that contractual relationship, and whether the impairment is substantial.”  </w:t>
      </w:r>
      <w:r>
        <w:rPr>
          <w:i/>
          <w:iCs/>
        </w:rPr>
        <w:t xml:space="preserve">General Motors Corporation </w:t>
      </w:r>
      <w:r>
        <w:rPr/>
        <w:t>v.</w:t>
      </w:r>
      <w:r>
        <w:rPr>
          <w:i/>
          <w:iCs/>
        </w:rPr>
        <w:t xml:space="preserve"> Romein</w:t>
      </w:r>
      <w:r>
        <w:rPr/>
        <w:t>, 503 U.S. 181, 186 (1992).</w:t>
      </w:r>
    </w:p>
    <w:p>
      <w:pPr>
        <w:pStyle w:val="Normal"/>
        <w:spacing w:lineRule="auto" w:line="480"/>
        <w:ind w:firstLine="720" w:end="0"/>
        <w:jc w:val="both"/>
        <w:rPr/>
      </w:pPr>
      <w:r>
        <w:rPr/>
        <w:t>The Contracts Clause only applies to contracts that exist at the time of the law’s passage.  Also, the Contracts Clause has been deemed to apply both to legislation or other government action, but not to court decisions.</w:t>
      </w:r>
      <w:r>
        <w:rPr>
          <w:rStyle w:val="FootnoteCharacters"/>
          <w:rStyle w:val="FootnoteReference"/>
          <w:sz w:val="24"/>
        </w:rPr>
        <w:footnoteReference w:id="5"/>
      </w:r>
      <w:r>
        <w:rPr/>
        <w:t xml:space="preserve">  In a case involving a private contract, the law or governmental action must substantially impair a </w:t>
      </w:r>
      <w:r>
        <w:rPr>
          <w:u w:val="single"/>
        </w:rPr>
        <w:t>pre-existing</w:t>
      </w:r>
      <w:r>
        <w:rPr/>
        <w:t xml:space="preserve"> contractual relationship.  As the Commission knows, contracts have been signed between July 1 and September 4.  Once this hurdle is met, the government must demonstrate that the law imposes reasonable conditions appropriate to achieving a significant and legitimate public purpose.  Often, when faced with such an issue, the courts defer to the legislative judgment.  However, this does not prevent an independent investigation of the relevant factual situation.</w:t>
      </w:r>
    </w:p>
    <w:p>
      <w:pPr>
        <w:pStyle w:val="Normal"/>
        <w:spacing w:lineRule="auto" w:line="480"/>
        <w:ind w:firstLine="720" w:end="0"/>
        <w:jc w:val="both"/>
        <w:rPr/>
      </w:pPr>
      <w:r>
        <w:rPr/>
        <w:t xml:space="preserve">The Contracts Clause prevents the states from passing any law that would extinguish the commitments of one party to a contract or make enforcement of the contract unreasonably difficult.  The drafters sought to prohibit the states from legislating in a way that interfered with the contractual arrangements between private citizens.  Specifically, the drafters wanted to prevent states from passing debtor relief laws.  Banks and financiers wanted security that their credit arrangements would not be wiped out by legislation in other states and the drafters granted them such security through the Contracts Clause.  Although the drafters of the Contracts Clause appeared to have a limited application in mind, the Supreme Court subsequently expanded its interpretation to cover almost any contractual obligation of private parties.  </w:t>
      </w:r>
    </w:p>
    <w:p>
      <w:pPr>
        <w:pStyle w:val="Normal"/>
        <w:spacing w:lineRule="auto" w:line="480"/>
        <w:ind w:firstLine="720" w:end="0"/>
        <w:jc w:val="both"/>
        <w:rPr/>
      </w:pPr>
      <w:r>
        <w:rPr/>
        <w:t xml:space="preserve">In order to prove a violation of this constitutional provision, a plaintiff must demonstrate that a “change in state law has ‘operated as a substantial impairment of a contractual relationship.’” </w:t>
      </w:r>
      <w:r>
        <w:rPr>
          <w:i/>
          <w:iCs/>
        </w:rPr>
        <w:t>General Motors Corp</w:t>
      </w:r>
      <w:r>
        <w:rPr/>
        <w:t xml:space="preserve">. v. </w:t>
      </w:r>
      <w:r>
        <w:rPr>
          <w:i/>
          <w:iCs/>
        </w:rPr>
        <w:t>Romein</w:t>
      </w:r>
      <w:r>
        <w:rPr/>
        <w:t xml:space="preserve">, 503 U.S. 181, 186 (1992) (quoting </w:t>
      </w:r>
      <w:r>
        <w:rPr>
          <w:i/>
          <w:iCs/>
        </w:rPr>
        <w:t>Allied Structural Steel Co.</w:t>
      </w:r>
      <w:r>
        <w:rPr/>
        <w:t xml:space="preserve"> v. </w:t>
      </w:r>
      <w:r>
        <w:rPr>
          <w:i/>
          <w:iCs/>
        </w:rPr>
        <w:t>Spannaus</w:t>
      </w:r>
      <w:r>
        <w:rPr/>
        <w:t xml:space="preserve">, 438 U.S. 234, 244 (1978)).  Thus, Contract Clause analysis requires three threshold inquiries: (1) whether there is a contractual relationship; (2) whether a change in a law has impaired that contractual relationship; and (3) whether the impairment is substantial.  It is clear that there are contractual relationships between ESPs and their customers that have been entered into subsequent to July 1.  It is also clear that Commission approval of the draft order would cause these contracts to be rendered unlawful and invalid, which is certainly a substantial impairment.  Customers will not receive the energy cost savings they anticipated.  Moreover, ESPs have entered into power purchase commitments to provide energy for direct access contracts that were signed during the past two months.  There is clear economic harm to them and their suppliers as well.  </w:t>
      </w:r>
    </w:p>
    <w:p>
      <w:pPr>
        <w:pStyle w:val="Normal"/>
        <w:spacing w:lineRule="auto" w:line="480"/>
        <w:ind w:firstLine="720" w:end="0"/>
        <w:jc w:val="both"/>
        <w:rPr/>
      </w:pPr>
      <w:r>
        <w:rPr/>
        <w:t xml:space="preserve">If the court determines that there is a “substantial impairment,” then the next hurdle must be met: “the state, in justification must have a significant and legitimate public purpose.” </w:t>
      </w:r>
      <w:r>
        <w:rPr>
          <w:i/>
          <w:iCs/>
        </w:rPr>
        <w:t xml:space="preserve">Energy Reserves Group, Inc. </w:t>
      </w:r>
      <w:r>
        <w:rPr/>
        <w:t>v.</w:t>
      </w:r>
      <w:r>
        <w:rPr>
          <w:i/>
          <w:iCs/>
        </w:rPr>
        <w:t xml:space="preserve"> Kansas Power &amp; Light Co.</w:t>
      </w:r>
      <w:r>
        <w:rPr/>
        <w:t>, 459 U.S. 400, 411-12, 103 S.Ct. 697, 704-05 (1983).  In this fact situation, the Commission would have to demonstrate that there was an overriding public interest in terminating direct access contracts retroactively.  The Draft Decision contends that the saleability of the revenue bonds constituted such an interest.  In response, opponents of suspension would demonstrate that the actual volume of load switching to direct access during the months of July and August was not so significant as to impair the revenue flow needed to service the debt.  Further, there are mechanisms that could be developed to have customers who elect for direct access pay for their share of any DWR power they have used.  In addition, state sponsored conservation programs have accounted for a far greater decline in utility bundled sales and is a much greater threat to bond repayment.</w:t>
      </w:r>
    </w:p>
    <w:p>
      <w:pPr>
        <w:pStyle w:val="Normal"/>
        <w:spacing w:lineRule="auto" w:line="480"/>
        <w:ind w:firstLine="720" w:end="0"/>
        <w:jc w:val="both"/>
        <w:rPr/>
      </w:pPr>
      <w:r>
        <w:rPr/>
        <w:t xml:space="preserve">If the court determines that there is a “substantial impairment,” and that the state has a significant and legitimate public purpose, then the last hurdle must be met: “the next inquiry is whether the adjustment of rights and responsibilities of contracting parties is based upon reasonable conditions and is of a character appropriate to the public purpose justifying the legislation’s adoption.” </w:t>
      </w:r>
      <w:r>
        <w:rPr>
          <w:i/>
          <w:iCs/>
        </w:rPr>
        <w:t>Energy Reserves Group, Inc. v. Kansas Power &amp; Light Co.</w:t>
      </w:r>
      <w:r>
        <w:rPr/>
        <w:t>, 459 U.S. 400, 411-12, 103 S.Ct. 697, 704-05 (1983).</w:t>
      </w:r>
    </w:p>
    <w:p>
      <w:pPr>
        <w:pStyle w:val="Normal"/>
        <w:spacing w:lineRule="auto" w:line="480"/>
        <w:ind w:firstLine="720" w:end="0"/>
        <w:jc w:val="both"/>
        <w:rPr/>
      </w:pPr>
      <w:r>
        <w:rPr/>
        <w:t>This test prohibits states from enacting laws that alter the position of the parties so as to favor the party who has the state’s sympathy.  There must be a significant and legitimate social purpose to support the legislative impairment of contracts.  The law must be a reasonable means to promote the public purpose.  The opprobrium directed by elected officials to out of state energy companies (as well as the Commission’s constant references to an “energy cartel”) could be used to demonstrate antipathy to marketer interests.  Also, it can be fairly argued that the retroactive invalidation of contracts is neither a necessary nor a reasonable means to promote the public purpose.</w:t>
      </w:r>
    </w:p>
    <w:p>
      <w:pPr>
        <w:pStyle w:val="Normal"/>
        <w:spacing w:lineRule="auto" w:line="480"/>
        <w:ind w:firstLine="720" w:end="0"/>
        <w:jc w:val="both"/>
        <w:rPr/>
      </w:pPr>
      <w:r>
        <w:rPr/>
        <w:t xml:space="preserve">In summary, a retroactive suspension of direct access contracts violates the Contracts Clause of the U.S. Constitution and invites legal action on the Commission’s decision.  Retroactivity denies parties the benefit of their bargains when the Commission does not need to do so to ensure that the revenue bonds are issued. </w:t>
      </w:r>
    </w:p>
    <w:p>
      <w:pPr>
        <w:pStyle w:val="Heading1"/>
        <w:spacing w:lineRule="auto" w:line="480"/>
        <w:jc w:val="start"/>
        <w:rPr/>
      </w:pPr>
      <w:r>
        <w:rPr/>
        <w:t xml:space="preserve">B.  </w:t>
      </w:r>
      <w:r>
        <w:rPr>
          <w:u w:val="single"/>
        </w:rPr>
        <w:t>The Draft Decision is Also Vulnerable as a Violation of the Takings Clause</w:t>
      </w:r>
    </w:p>
    <w:p>
      <w:pPr>
        <w:pStyle w:val="Normal"/>
        <w:spacing w:lineRule="auto" w:line="480"/>
        <w:ind w:firstLine="720" w:end="0"/>
        <w:jc w:val="both"/>
        <w:rPr/>
      </w:pPr>
      <w:r>
        <w:rPr/>
        <w:t>The Fifth Amendment provides that, “…</w:t>
      </w:r>
      <w:r>
        <w:rPr>
          <w:szCs w:val="20"/>
        </w:rPr>
        <w:t>nor shall private property be taken for public use, without just compensation.”  The Supreme Court has held that e</w:t>
      </w:r>
      <w:r>
        <w:rPr/>
        <w:t xml:space="preserve">conomic regulation may effect a taking.  </w:t>
      </w:r>
      <w:r>
        <w:rPr>
          <w:i/>
          <w:iCs/>
        </w:rPr>
        <w:t>United States</w:t>
      </w:r>
      <w:r>
        <w:rPr/>
        <w:t xml:space="preserve"> v. </w:t>
      </w:r>
      <w:r>
        <w:rPr>
          <w:i/>
          <w:iCs/>
        </w:rPr>
        <w:t>Security Industrial Bank,</w:t>
      </w:r>
      <w:r>
        <w:rPr/>
        <w:t xml:space="preserve"> 459 U.S. 70, 78.  In a relatively recent 1998 decision, </w:t>
      </w:r>
      <w:r>
        <w:rPr>
          <w:i/>
          <w:iCs/>
        </w:rPr>
        <w:t xml:space="preserve">Eastern Enterprises </w:t>
      </w:r>
      <w:r>
        <w:rPr/>
        <w:t xml:space="preserve">v. </w:t>
      </w:r>
      <w:r>
        <w:rPr>
          <w:i/>
          <w:iCs/>
        </w:rPr>
        <w:t xml:space="preserve">Apfel, Commissioner of Social Security et al., </w:t>
      </w:r>
      <w:r>
        <w:rPr/>
        <w:t xml:space="preserve">524 U.S. 498, the Court noted that, “…three factors traditionally have informed this Court’s regulatory takings analysis: ‘the economic impact of the regulation, its interference with reasonable investment backed expectations and the character of the governmental action.’” </w:t>
      </w:r>
      <w:r>
        <w:rPr>
          <w:rStyle w:val="FootnoteCharacters"/>
          <w:rStyle w:val="FootnoteReference"/>
          <w:sz w:val="24"/>
        </w:rPr>
        <w:footnoteReference w:id="6"/>
      </w:r>
      <w:r>
        <w:rPr/>
        <w:t xml:space="preserve">  The decision also noted that the party challenging government action bears a “substantial burden, for not every destruction or injury to property by such action is a constitutional taking.”  It specified that, “ A regulation’s constitutionality is evaluated by examining the governmental action’s ‘justice and fairness.’” See </w:t>
      </w:r>
      <w:r>
        <w:rPr>
          <w:i/>
          <w:iCs/>
        </w:rPr>
        <w:t>Andrus</w:t>
      </w:r>
      <w:r>
        <w:rPr/>
        <w:t xml:space="preserve"> v. </w:t>
      </w:r>
      <w:r>
        <w:rPr>
          <w:i/>
          <w:iCs/>
        </w:rPr>
        <w:t>Allard,</w:t>
      </w:r>
      <w:r>
        <w:rPr/>
        <w:t xml:space="preserve"> 44 U.S. 51, 65. </w:t>
      </w:r>
      <w:r>
        <w:rPr>
          <w:rStyle w:val="FootnoteCharacters"/>
          <w:rStyle w:val="FootnoteReference"/>
        </w:rPr>
        <w:footnoteReference w:id="7"/>
      </w:r>
      <w:r>
        <w:rPr/>
        <w:t xml:space="preserve">  </w:t>
      </w:r>
    </w:p>
    <w:p>
      <w:pPr>
        <w:pStyle w:val="BodyTextIndent"/>
        <w:jc w:val="both"/>
        <w:rPr/>
      </w:pPr>
      <w:r>
        <w:rPr/>
        <w:t>In this fact situation, parties challenging retroactive suspension would be able to demonstrate that they incurred a significant, negative economic impact, which interfered with their reasonable investment backed expectations under their direct access contracts.  Moreover, the Commission’s proposed action can hardly be described as either “just” or “fair.”</w:t>
      </w:r>
    </w:p>
    <w:p>
      <w:pPr>
        <w:pStyle w:val="BodyTextIndent"/>
        <w:jc w:val="both"/>
        <w:rPr/>
      </w:pPr>
      <w:r>
        <w:rPr/>
        <w:t xml:space="preserve">The </w:t>
      </w:r>
      <w:r>
        <w:rPr>
          <w:i/>
          <w:iCs/>
        </w:rPr>
        <w:t xml:space="preserve">Eastern Enterprises </w:t>
      </w:r>
      <w:r>
        <w:rPr/>
        <w:t xml:space="preserve">case also notes that, “Retroactive legislation is generally disfavored. It presents problems of unfairness because it can deprive citizens of legitimate expectations and upset settled transactions.” </w:t>
      </w:r>
      <w:r>
        <w:rPr>
          <w:i/>
          <w:iCs/>
        </w:rPr>
        <w:t>General Motors Corp.</w:t>
      </w:r>
      <w:r>
        <w:rPr/>
        <w:t xml:space="preserve"> v. </w:t>
      </w:r>
      <w:r>
        <w:rPr>
          <w:i/>
          <w:iCs/>
        </w:rPr>
        <w:t>Romein,</w:t>
      </w:r>
      <w:r>
        <w:rPr/>
        <w:t xml:space="preserve"> 503 U.S. 181, 191.  The same decision also notes that:</w:t>
      </w:r>
    </w:p>
    <w:p>
      <w:pPr>
        <w:pStyle w:val="Normal"/>
        <w:ind w:start="720" w:end="720"/>
        <w:jc w:val="both"/>
        <w:rPr/>
      </w:pPr>
      <w:r>
        <w:rPr/>
        <w:t xml:space="preserve">Although the Court has been hesitant to subject economic legislation to due process scrutiny as a general matter, </w:t>
      </w:r>
      <w:r>
        <w:rPr>
          <w:b/>
          <w:bCs/>
          <w:u w:val="single"/>
        </w:rPr>
        <w:t>this country’s law has harbored a singular distrust of retroactive statutes</w:t>
      </w:r>
      <w:r>
        <w:rPr/>
        <w:t xml:space="preserve">, and that distrust is reflected in this Court’s due process jurisprudence. For example, in </w:t>
      </w:r>
      <w:r>
        <w:rPr>
          <w:i/>
          <w:iCs/>
        </w:rPr>
        <w:t>Usery</w:t>
      </w:r>
      <w:r>
        <w:rPr/>
        <w:t xml:space="preserve"> v. </w:t>
      </w:r>
      <w:r>
        <w:rPr>
          <w:i/>
          <w:iCs/>
        </w:rPr>
        <w:t>Turner Elkhorn Mining Co.,</w:t>
      </w:r>
      <w:r>
        <w:rPr/>
        <w:t xml:space="preserve"> 428 U.S. 1, 15, the Court held that due process requires an inquiry into whether a legislature acted in an arbitrary and irrational way when enacting a retroactive law. This formulation has been repeated in numerous recent cases, </w:t>
      </w:r>
      <w:r>
        <w:rPr>
          <w:i/>
          <w:iCs/>
        </w:rPr>
        <w:t>e.g.,</w:t>
      </w:r>
      <w:r>
        <w:rPr/>
        <w:t xml:space="preserve"> </w:t>
      </w:r>
      <w:r>
        <w:rPr>
          <w:i/>
          <w:iCs/>
        </w:rPr>
        <w:t xml:space="preserve">United States </w:t>
      </w:r>
      <w:r>
        <w:rPr/>
        <w:t xml:space="preserve">v. </w:t>
      </w:r>
      <w:r>
        <w:rPr>
          <w:i/>
          <w:iCs/>
        </w:rPr>
        <w:t>Carlton,</w:t>
      </w:r>
      <w:r>
        <w:rPr/>
        <w:t xml:space="preserve"> 512 U.S. 26, 31, which reflect the recognition that </w:t>
      </w:r>
      <w:r>
        <w:rPr>
          <w:b/>
          <w:bCs/>
          <w:u w:val="single"/>
        </w:rPr>
        <w:t>retroactive lawmaking is a particular concern because of the legislative temptation to use it as a means of retribution against unpopular groups or individuals</w:t>
      </w:r>
      <w:r>
        <w:rPr/>
        <w:t xml:space="preserve">, </w:t>
      </w:r>
      <w:r>
        <w:rPr>
          <w:i/>
          <w:iCs/>
        </w:rPr>
        <w:t>Landgraf</w:t>
      </w:r>
      <w:r>
        <w:rPr/>
        <w:t xml:space="preserve"> v. </w:t>
      </w:r>
      <w:r>
        <w:rPr>
          <w:i/>
          <w:iCs/>
        </w:rPr>
        <w:t>USI Film Products,</w:t>
      </w:r>
      <w:r>
        <w:rPr/>
        <w:t xml:space="preserve"> 511 U.S. 244, 266. [Emphasis added.]</w:t>
      </w:r>
    </w:p>
    <w:p>
      <w:pPr>
        <w:pStyle w:val="Normal"/>
        <w:ind w:start="720" w:end="720"/>
        <w:jc w:val="both"/>
        <w:rPr/>
      </w:pPr>
      <w:r>
        <w:rPr/>
      </w:r>
    </w:p>
    <w:p>
      <w:pPr>
        <w:pStyle w:val="BodyText"/>
        <w:ind w:firstLine="720" w:end="0"/>
        <w:jc w:val="both"/>
        <w:rPr/>
      </w:pPr>
      <w:r>
        <w:rPr/>
        <w:t>Various analysts of contractual liberty have also commented on the means used to protect private contract rights.  For example, Professor Laurence H. Tribe notes as follows:</w:t>
      </w:r>
    </w:p>
    <w:p>
      <w:pPr>
        <w:pStyle w:val="BodyText"/>
        <w:spacing w:lineRule="auto" w:line="240"/>
        <w:ind w:hanging="0" w:start="720" w:end="720"/>
        <w:jc w:val="both"/>
        <w:rPr/>
      </w:pPr>
      <w:r>
        <w:rPr/>
        <w:t xml:space="preserve">Substantive due process began, however, chiefly as a means of protecting private contractual freedom, a substantive liberty with a special place in our jurisprudence, not least because Article 1, § 10 of the original pre-Bill of Rights Constitution decreed that no state could “pass any…Law Impairing the Obligation of Contracts.” [Footnote omitted.] Although it ws determined early in the nineteenth century that this provision prevented only certain </w:t>
      </w:r>
      <w:r>
        <w:rPr>
          <w:i/>
          <w:iCs/>
        </w:rPr>
        <w:t xml:space="preserve">retroactive </w:t>
      </w:r>
      <w:r>
        <w:rPr/>
        <w:t xml:space="preserve">contract impairments and did not lay down a charter of contractual liberty, [Footnote omitted.] it should come as no surprise that the Constitution’s explicit recognition of the place occupied in our system by the “law” that parties </w:t>
      </w:r>
      <w:r>
        <w:rPr>
          <w:i/>
          <w:iCs/>
        </w:rPr>
        <w:t xml:space="preserve">make for themselves </w:t>
      </w:r>
      <w:r>
        <w:rPr/>
        <w:t xml:space="preserve"> in free and equal bargains would have been reflected in the doctrines defining the implicit limits on the “law” that governments may </w:t>
      </w:r>
      <w:r>
        <w:rPr>
          <w:i/>
          <w:iCs/>
        </w:rPr>
        <w:t xml:space="preserve">impose </w:t>
      </w:r>
      <w:r>
        <w:rPr/>
        <w:t>upon private parties.</w:t>
      </w:r>
      <w:r>
        <w:rPr>
          <w:rStyle w:val="FootnoteCharacters"/>
          <w:rStyle w:val="FootnoteReference"/>
        </w:rPr>
        <w:footnoteReference w:id="8"/>
      </w:r>
      <w:r>
        <w:rPr/>
        <w:t xml:space="preserve"> [Italics in original.]</w:t>
      </w:r>
    </w:p>
    <w:p>
      <w:pPr>
        <w:pStyle w:val="BodyText"/>
        <w:spacing w:lineRule="auto" w:line="240"/>
        <w:ind w:hanging="0" w:start="720" w:end="720"/>
        <w:jc w:val="both"/>
        <w:rPr/>
      </w:pPr>
      <w:r>
        <w:rPr/>
      </w:r>
    </w:p>
    <w:p>
      <w:pPr>
        <w:pStyle w:val="BodyText"/>
        <w:ind w:firstLine="720" w:end="0"/>
        <w:jc w:val="both"/>
        <w:rPr/>
      </w:pPr>
      <w:r>
        <w:rPr/>
        <w:t xml:space="preserve">The Supreme Court’s comments with regard to the “distrust of retroactive statutes” indicate that the State will have an uphill battle to justify its proposed retroactive suspension.  In short, retroactive suspension violates both the Contracts Clause and the Takings Clause of the United States Constitution.  </w:t>
      </w:r>
    </w:p>
    <w:p>
      <w:pPr>
        <w:pStyle w:val="BodyText"/>
        <w:widowControl/>
        <w:ind w:hanging="0" w:end="0"/>
        <w:rPr>
          <w:b/>
          <w:bCs/>
        </w:rPr>
      </w:pPr>
      <w:r>
        <w:rPr>
          <w:b/>
          <w:bCs/>
        </w:rPr>
        <w:t xml:space="preserve">C.  </w:t>
      </w:r>
      <w:r>
        <w:rPr>
          <w:b/>
          <w:bCs/>
          <w:u w:val="single"/>
        </w:rPr>
        <w:t>The Refusal to Hold Hearings is a Denial of Due Process</w:t>
      </w:r>
    </w:p>
    <w:p>
      <w:pPr>
        <w:pStyle w:val="standard"/>
        <w:spacing w:lineRule="auto" w:line="480"/>
        <w:jc w:val="both"/>
        <w:rPr/>
      </w:pPr>
      <w:r>
        <w:rPr>
          <w:rFonts w:cs="Times New Roman" w:ascii="Times New Roman" w:hAnsi="Times New Roman"/>
          <w:sz w:val="24"/>
        </w:rPr>
        <w:t>The suspension of direct access without hearings to consider the many factual issues raised by such a step is a denial of due process under the 14</w:t>
      </w:r>
      <w:r>
        <w:rPr>
          <w:rFonts w:cs="Times New Roman" w:ascii="Times New Roman" w:hAnsi="Times New Roman"/>
          <w:sz w:val="24"/>
          <w:vertAlign w:val="superscript"/>
        </w:rPr>
        <w:t>th</w:t>
      </w:r>
      <w:r>
        <w:rPr>
          <w:rFonts w:cs="Times New Roman" w:ascii="Times New Roman" w:hAnsi="Times New Roman"/>
          <w:sz w:val="24"/>
        </w:rPr>
        <w:t xml:space="preserve"> Amendment to the United States Constitution </w:t>
      </w:r>
      <w:r>
        <w:rPr>
          <w:rStyle w:val="FootnoteCharacters"/>
          <w:rStyle w:val="FootnoteReference"/>
          <w:rFonts w:cs="Times New Roman" w:ascii="Times New Roman" w:hAnsi="Times New Roman"/>
        </w:rPr>
        <w:footnoteReference w:id="9"/>
      </w:r>
      <w:r>
        <w:rPr>
          <w:rFonts w:cs="Times New Roman" w:ascii="Times New Roman" w:hAnsi="Times New Roman"/>
          <w:sz w:val="24"/>
        </w:rPr>
        <w:t xml:space="preserve"> and Article 1, Declaration of Rights, Section 7(a) of the California Constitution. </w:t>
      </w:r>
      <w:r>
        <w:rPr>
          <w:rStyle w:val="FootnoteCharacters"/>
          <w:rStyle w:val="FootnoteReference"/>
          <w:rFonts w:cs="Times New Roman" w:ascii="Times New Roman" w:hAnsi="Times New Roman"/>
        </w:rPr>
        <w:footnoteReference w:id="10"/>
      </w:r>
      <w:r>
        <w:rPr>
          <w:rFonts w:cs="Times New Roman" w:ascii="Times New Roman" w:hAnsi="Times New Roman"/>
          <w:sz w:val="24"/>
        </w:rPr>
        <w:t xml:space="preserve"> The Draft Decision provides, at pp.6-7, that, “We are aware that some parties have asked for us to hold hearings on the timing of the suspension of direct access.  We have carefully reviewed the comments filed by various parties on this point and are not convinced that any party has identified any material factual issue that requires an evidentiary hearing.  Thus, we do not intend to hold evidentiary hearings...” The Joint Parties question the conclusion that no material issues of fact have been raised.  It is highly illuminating to note that the Alternate Draft Decision of Commissioner Bilas raises numerous issues of fact, as noted by the following excerpt:</w:t>
      </w:r>
    </w:p>
    <w:p>
      <w:pPr>
        <w:pStyle w:val="standard"/>
        <w:spacing w:lineRule="auto" w:line="240"/>
        <w:ind w:hanging="0" w:start="720" w:end="720"/>
        <w:jc w:val="both"/>
        <w:rPr>
          <w:rFonts w:ascii="Times New Roman" w:hAnsi="Times New Roman" w:cs="Times New Roman"/>
          <w:sz w:val="24"/>
        </w:rPr>
      </w:pPr>
      <w:r>
        <w:rPr>
          <w:rFonts w:cs="Times New Roman" w:ascii="Times New Roman" w:hAnsi="Times New Roman"/>
          <w:sz w:val="24"/>
        </w:rPr>
        <w:t>The Commission may choose to suspend direct access as of a future date consistent with issuance of the , but not the terms of it. Attached to this draft alternate decision as Appendix B is a memorandum from the State Treasurer, the Department of Finance and the DWR (memo) expressing their concerns about the impact of a continuation of direct access on the saleability of the DWR Power Purchase Revenue Bonds (Bonds) authorized recently by the Legislature.  This would permit customers a period to exercise their choice of providers, and especially of green power, before any direct access window closes.  The Commission will also consider whether current direct access customers may renew existing contracts after the suspension date, if any, is established.  The Commission should also deal with the right of direct access customers previously returned to the utilities by ESPs, often due to nonpayment of PX credits, to return to direct access.</w:t>
      </w:r>
    </w:p>
    <w:p>
      <w:pPr>
        <w:pStyle w:val="standard"/>
        <w:spacing w:lineRule="auto" w:line="240"/>
        <w:ind w:hanging="0" w:start="720" w:end="720"/>
        <w:jc w:val="both"/>
        <w:rPr>
          <w:rFonts w:ascii="Times New Roman" w:hAnsi="Times New Roman" w:cs="Times New Roman"/>
          <w:sz w:val="24"/>
        </w:rPr>
      </w:pPr>
      <w:r>
        <w:rPr>
          <w:rFonts w:cs="Times New Roman" w:ascii="Times New Roman" w:hAnsi="Times New Roman"/>
          <w:sz w:val="24"/>
        </w:rPr>
      </w:r>
    </w:p>
    <w:p>
      <w:pPr>
        <w:pStyle w:val="BodyText"/>
        <w:widowControl/>
        <w:spacing w:lineRule="auto" w:line="240"/>
        <w:ind w:hanging="0" w:start="720" w:end="720"/>
        <w:jc w:val="both"/>
        <w:rPr/>
      </w:pPr>
      <w:r>
        <w:rPr/>
        <w:t>As part of our consideration of the timing of a possible suspension date, the Commission will also take evidence regarding the concerns underlying Appendix B of bond counsel, DWR, the Department of Finance and the Treasurer over the salability of the Bonds should direct access continue and assess them against the stranded costs of eliminating direct access and extinguishing green power alternatives for environmentally conscious Californians.  The Commission will consider whether suspension of any or all direct access is, in fact, necessary to enable the state to float the Bonds.  With direct access comprising less than 5% of load, its threat to DWR and the Bonds may be overstated.  We will explore whether direct access may co-exist with the Bonds in some percentage amount (including whether a fundamental change in the bonding structure to divorce the DWR long term contracts from the bonds as proposed by SB 18XX (Burton) would be more effective) and, if so, whether renewable power should be preferred over more conventional power sources.  In doing so the Commission will explore whether it should time the suspension of direct access in such a way as to phase the suspension to permit a sliding minimum percentage of direct access sales to continue over time. We will also consider in this regard appropriate reporting requirements and whether annual windows for opting in and out of direct access are needed.  Concern over modifying AB 1X to institute unwieldy exit fees</w:t>
      </w:r>
      <w:r>
        <w:rPr>
          <w:rStyle w:val="FootnoteCharacters"/>
          <w:rStyle w:val="FootnoteReference"/>
          <w:sz w:val="24"/>
        </w:rPr>
        <w:footnoteReference w:id="11"/>
      </w:r>
      <w:r>
        <w:rPr/>
        <w:t xml:space="preserve"> may be able to be allayed by the Legislature revising AB 1X to make the Bond payments nonbypassable or arriving at another way for all customers to pay their fair share of DWR costs without extinguishing direct access.  The Bonds are not anticipated to be sold until September at the earliest.  Acting consistent with due process prior to any suspension of direct access also will permit the Legislature time to consider the issues we raise here today and to act to moot the suspension issues before us.  This may be preferable to stifling customer choice, especially choice of renewable energy resources, and socializing energy choices by way of forced reliance by all Californians on possibly overpriced DWR long term contracts, which, in any event, only cover about 30% of energy purchases but will cause former direct access customers’ bills to rise substantially if they are returned to the utilities.  DWR should not be threatened by direct access if it is making prudent energy purchases.  Since DWR has refused to give this Commission details of its procurement, it is impossible to assess the perceived threat of direct access to DWR.  Only if DWR’s contracts are too expensive relative to market will many customers seek shelter in lower direct access prices.  Indeed, retaining direct access as a competitive alternative would place pressure on DWR to make more prudent purchases, an important consideration since AB 1X prevents this Commission from engaging in prudency reviews of DWR. Relying on the provisions of Water Code Section 80110, the memo opines that there are only two options for resolving the concerns—either the Commission must suspend direct access or the Legislature must act quickly to revise AB 1X to permit direct access to continue with conditions resolving their concerns.  </w:t>
      </w:r>
    </w:p>
    <w:p>
      <w:pPr>
        <w:pStyle w:val="BodyText"/>
        <w:widowControl/>
        <w:spacing w:lineRule="auto" w:line="240"/>
        <w:ind w:hanging="0" w:start="720" w:end="720"/>
        <w:jc w:val="both"/>
        <w:rPr/>
      </w:pPr>
      <w:r>
        <w:rPr/>
      </w:r>
    </w:p>
    <w:p>
      <w:pPr>
        <w:pStyle w:val="BodyText"/>
        <w:widowControl/>
        <w:ind w:firstLine="720" w:end="0"/>
        <w:jc w:val="both"/>
        <w:rPr>
          <w:b/>
        </w:rPr>
      </w:pPr>
      <w:r>
        <w:rPr/>
        <w:t xml:space="preserve">It is not possible to reconcile the Draft Decision’s conclusion that there are no material issues of fact with the varied and multiple issues raised by the above excerpt from the Alternate Draft Decision.  This Commission is engaged in a “rush to judgment” driven by the concerns of its fellow agencies in the government of the State of California.  In doing so, it ignores a wide array of significant issues that merit hearings and more careful analysis.  The failure to do so constitutes a denial of due process to the Joint Parties and other parties who oppose the suspension of direct access.  Moreover, it suggests that the Commission itself is failing to act as a disinterested decision-maker in this proceeding. </w:t>
      </w:r>
    </w:p>
    <w:p>
      <w:pPr>
        <w:pStyle w:val="BodyTextIndent2"/>
        <w:spacing w:lineRule="auto" w:line="480"/>
        <w:ind w:hanging="0" w:end="0"/>
        <w:jc w:val="both"/>
        <w:rPr/>
      </w:pPr>
      <w:r>
        <w:rPr>
          <w:b/>
          <w:sz w:val="24"/>
        </w:rPr>
        <w:t xml:space="preserve">D.  </w:t>
      </w:r>
      <w:r>
        <w:rPr>
          <w:b/>
          <w:sz w:val="24"/>
          <w:u w:val="single"/>
        </w:rPr>
        <w:t>Retroactive Suspension Also Violates Water Code Section 80110.</w:t>
      </w:r>
    </w:p>
    <w:p>
      <w:pPr>
        <w:pStyle w:val="BodyTextIndent2"/>
        <w:spacing w:lineRule="auto" w:line="480"/>
        <w:jc w:val="both"/>
        <w:rPr/>
      </w:pPr>
      <w:r>
        <w:rPr>
          <w:bCs/>
          <w:sz w:val="24"/>
        </w:rPr>
        <w:t>The</w:t>
      </w:r>
      <w:r>
        <w:rPr>
          <w:b/>
          <w:sz w:val="24"/>
        </w:rPr>
        <w:t xml:space="preserve"> </w:t>
      </w:r>
      <w:r>
        <w:rPr>
          <w:bCs/>
          <w:sz w:val="24"/>
        </w:rPr>
        <w:t>Draft Decision cites as statutory authority Water Code Section 80110, added by ABX1 1.  It is instructive to examine the precise wording of this statute with regard to the direction given the Commission by the Legislature:</w:t>
      </w:r>
    </w:p>
    <w:p>
      <w:pPr>
        <w:pStyle w:val="BodyTextIndent2"/>
        <w:ind w:hanging="0" w:start="720" w:end="720"/>
        <w:jc w:val="both"/>
        <w:rPr>
          <w:sz w:val="24"/>
        </w:rPr>
      </w:pPr>
      <w:r>
        <w:rPr>
          <w:sz w:val="24"/>
        </w:rPr>
        <w:t>“</w:t>
      </w:r>
      <w:r>
        <w:rPr>
          <w:sz w:val="24"/>
        </w:rPr>
        <w:t xml:space="preserve">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w:t>
      </w:r>
    </w:p>
    <w:p>
      <w:pPr>
        <w:pStyle w:val="BodyTextIndent2"/>
        <w:ind w:hanging="0" w:start="720" w:end="720"/>
        <w:jc w:val="both"/>
        <w:rPr>
          <w:sz w:val="24"/>
        </w:rPr>
      </w:pPr>
      <w:r>
        <w:rPr>
          <w:sz w:val="24"/>
        </w:rPr>
      </w:r>
    </w:p>
    <w:p>
      <w:pPr>
        <w:pStyle w:val="BodyTextIndent2"/>
        <w:spacing w:lineRule="auto" w:line="480"/>
        <w:ind w:hanging="0" w:end="0"/>
        <w:jc w:val="both"/>
        <w:rPr/>
      </w:pPr>
      <w:r>
        <w:rPr>
          <w:sz w:val="24"/>
        </w:rPr>
        <w:t xml:space="preserve">What is to be suspended is the “right to acquire” direct access service.  This sentence is written in the future tense.  It does </w:t>
      </w:r>
      <w:r>
        <w:rPr>
          <w:b/>
          <w:bCs/>
          <w:sz w:val="24"/>
        </w:rPr>
        <w:t xml:space="preserve">not </w:t>
      </w:r>
      <w:r>
        <w:rPr>
          <w:sz w:val="24"/>
        </w:rPr>
        <w:t xml:space="preserve">refer to the “right to have acquired” direct access service, which would have indicated that retroactive suspension might be permissible.  The Draft Decision therefore impermissibly expands Commission authority under Water Code Section 90110 by proposing to suspend direct access retroactively.  The letter of the law does </w:t>
      </w:r>
      <w:r>
        <w:rPr>
          <w:b/>
          <w:bCs/>
          <w:sz w:val="24"/>
        </w:rPr>
        <w:t xml:space="preserve">not </w:t>
      </w:r>
      <w:r>
        <w:rPr>
          <w:sz w:val="24"/>
        </w:rPr>
        <w:t>permit retroactivity and the Commission can expect to be challenged legally should it persevere in its efforts to do so.</w:t>
      </w:r>
    </w:p>
    <w:p>
      <w:pPr>
        <w:pStyle w:val="BodyTextIndent2"/>
        <w:ind w:hanging="540" w:start="540" w:end="0"/>
        <w:jc w:val="both"/>
        <w:rPr>
          <w:b/>
          <w:bCs/>
          <w:sz w:val="24"/>
        </w:rPr>
      </w:pPr>
      <w:r>
        <w:rPr>
          <w:b/>
          <w:bCs/>
          <w:sz w:val="24"/>
        </w:rPr>
        <w:t xml:space="preserve">E.  </w:t>
      </w:r>
      <w:r>
        <w:rPr>
          <w:b/>
          <w:bCs/>
          <w:sz w:val="24"/>
          <w:u w:val="single"/>
        </w:rPr>
        <w:t>Retroactive Suspension Violates the California Constitution Ban on Laws Impairing the Obligation of Contracts.</w:t>
      </w:r>
    </w:p>
    <w:p>
      <w:pPr>
        <w:pStyle w:val="BodyTextIndent2"/>
        <w:ind w:hanging="540" w:start="540" w:end="0"/>
        <w:jc w:val="both"/>
        <w:rPr>
          <w:b/>
          <w:bCs/>
          <w:sz w:val="24"/>
        </w:rPr>
      </w:pPr>
      <w:r>
        <w:rPr>
          <w:b/>
          <w:bCs/>
          <w:sz w:val="24"/>
        </w:rPr>
      </w:r>
    </w:p>
    <w:p>
      <w:pPr>
        <w:pStyle w:val="HTMLPreformatted"/>
        <w:spacing w:lineRule="auto" w:line="480"/>
        <w:ind w:firstLine="720" w:end="0"/>
        <w:jc w:val="both"/>
        <w:rPr>
          <w:rFonts w:ascii="Times New Roman" w:hAnsi="Times New Roman" w:cs="Times New Roman"/>
          <w:sz w:val="24"/>
        </w:rPr>
      </w:pPr>
      <w:r>
        <w:rPr>
          <w:rFonts w:cs="Times New Roman" w:ascii="Times New Roman" w:hAnsi="Times New Roman"/>
          <w:sz w:val="24"/>
        </w:rPr>
        <w:t>Article 1 of the California Constitution contains the state’s Declaration Of Rights.  Section 9 of the California Declaration of Rights provides as follows:</w:t>
      </w:r>
    </w:p>
    <w:p>
      <w:pPr>
        <w:pStyle w:val="HTMLPreformatted"/>
        <w:ind w:start="720" w:end="720"/>
        <w:rPr>
          <w:rFonts w:ascii="Times New Roman" w:hAnsi="Times New Roman" w:cs="Times New Roman"/>
          <w:sz w:val="24"/>
        </w:rPr>
      </w:pPr>
      <w:r>
        <w:rPr>
          <w:rFonts w:cs="Times New Roman" w:ascii="Times New Roman" w:hAnsi="Times New Roman"/>
          <w:sz w:val="24"/>
        </w:rPr>
        <w:t>SEC. 9.  A bill of attainder, ex post facto law, or law impairing the obligation of contracts may not be passed.</w:t>
      </w:r>
    </w:p>
    <w:p>
      <w:pPr>
        <w:pStyle w:val="HTMLPreformatted"/>
        <w:ind w:start="720" w:end="720"/>
        <w:rPr>
          <w:rFonts w:ascii="Times New Roman" w:hAnsi="Times New Roman" w:cs="Times New Roman"/>
          <w:sz w:val="24"/>
        </w:rPr>
      </w:pPr>
      <w:r>
        <w:rPr>
          <w:rFonts w:cs="Times New Roman" w:ascii="Times New Roman" w:hAnsi="Times New Roman"/>
          <w:sz w:val="24"/>
        </w:rPr>
      </w:r>
    </w:p>
    <w:p>
      <w:pPr>
        <w:pStyle w:val="HTMLPreformatted"/>
        <w:spacing w:lineRule="auto" w:line="480"/>
        <w:jc w:val="both"/>
        <w:rPr>
          <w:rFonts w:ascii="Times New Roman" w:hAnsi="Times New Roman" w:cs="Times New Roman"/>
          <w:b/>
          <w:sz w:val="24"/>
        </w:rPr>
      </w:pPr>
      <w:r>
        <w:rPr>
          <w:rFonts w:cs="Times New Roman" w:ascii="Times New Roman" w:hAnsi="Times New Roman"/>
          <w:sz w:val="24"/>
        </w:rPr>
        <w:t>This is further evidence that Water Code Section 80110 cannot be accurately interpreted to authorize the Commission to suspend direct access retroactively.  If Water Code Section 80110 permitted retroactive suspension, then it would in fact be unconstitutional, as it would constitute an “impairment of contract” in violation of Section 9.  If it is to be assumed that Water Code Section 80110 is itself constitutional, then the Draft Decision errs in concluding that it authorizes retroactive suspension and the resulting impairment of contracts.</w:t>
      </w:r>
    </w:p>
    <w:p>
      <w:pPr>
        <w:pStyle w:val="BodyTextIndent2"/>
        <w:spacing w:lineRule="auto" w:line="480"/>
        <w:ind w:hanging="0" w:end="0"/>
        <w:jc w:val="both"/>
        <w:rPr>
          <w:rFonts w:ascii="Times New Roman" w:hAnsi="Times New Roman" w:cs="Times New Roman"/>
          <w:b/>
          <w:sz w:val="24"/>
        </w:rPr>
      </w:pPr>
      <w:r>
        <w:rPr>
          <w:rFonts w:cs="Times New Roman"/>
          <w:b/>
          <w:sz w:val="24"/>
        </w:rPr>
      </w:r>
    </w:p>
    <w:p>
      <w:pPr>
        <w:pStyle w:val="BodyTextIndent2"/>
        <w:spacing w:lineRule="auto" w:line="480"/>
        <w:ind w:hanging="0" w:end="0"/>
        <w:jc w:val="center"/>
        <w:rPr/>
      </w:pPr>
      <w:r>
        <w:rPr>
          <w:b/>
          <w:sz w:val="24"/>
        </w:rPr>
        <w:t xml:space="preserve">V.  </w:t>
      </w:r>
      <w:r>
        <w:rPr>
          <w:b/>
          <w:sz w:val="24"/>
          <w:u w:val="single"/>
        </w:rPr>
        <w:t>The Increase in Direct Access Will Not Impact Debt Service on the Bonds</w:t>
      </w:r>
    </w:p>
    <w:p>
      <w:pPr>
        <w:pStyle w:val="standard"/>
        <w:spacing w:lineRule="auto" w:line="480"/>
        <w:jc w:val="both"/>
        <w:rPr/>
      </w:pPr>
      <w:r>
        <w:rPr>
          <w:rFonts w:cs="Times New Roman" w:ascii="Times New Roman" w:hAnsi="Times New Roman"/>
          <w:bCs/>
          <w:sz w:val="24"/>
        </w:rPr>
        <w:t>The Draft Decision is premised on the implicit assumption that the movement of customers to direct access in July and August will somehow frustrate debt service for the DWR revenue bonds.  For example, the Draft Decision provides that, “</w:t>
      </w:r>
      <w:r>
        <w:rPr>
          <w:rFonts w:cs="Times New Roman" w:ascii="Times New Roman" w:hAnsi="Times New Roman"/>
          <w:sz w:val="24"/>
        </w:rPr>
        <w:t>We agree that suspending the right to contract for direct access will assist the Administration and the State Treasurer in proceeding with the bond transaction that they are currently undertaking.  Suspending the right to contract for direct access will assist in issuing these bonds at investment grade, by providing DWR with a stable customer base from which to recover its costs.  Furthermore, we note that the suspension of direct access will provide DWR with a stable customer base from which to recover the cost of the power it has and continues to purchase.”  Draft Decision at pages 4-5.</w:t>
      </w:r>
    </w:p>
    <w:p>
      <w:pPr>
        <w:pStyle w:val="standard"/>
        <w:spacing w:lineRule="auto" w:line="480"/>
        <w:jc w:val="both"/>
        <w:rPr/>
      </w:pPr>
      <w:r>
        <w:rPr/>
        <w:t>The Joint Parties demonstrate herein that the supposed “mass exodus” to direct access has been significantly exaggerated.  The following chart illustrates the extent of increases in direct access that occurred during the months of June and July of this year:</w:t>
      </w:r>
    </w:p>
    <w:tbl>
      <w:tblPr>
        <w:tblW w:w="8984" w:type="dxa"/>
        <w:jc w:val="center"/>
        <w:tblInd w:w="0" w:type="dxa"/>
        <w:tblLayout w:type="fixed"/>
        <w:tblCellMar>
          <w:top w:w="0" w:type="dxa"/>
          <w:start w:w="30" w:type="dxa"/>
          <w:bottom w:w="0" w:type="dxa"/>
          <w:end w:w="30" w:type="dxa"/>
        </w:tblCellMar>
      </w:tblPr>
      <w:tblGrid>
        <w:gridCol w:w="3208"/>
        <w:gridCol w:w="24"/>
        <w:gridCol w:w="1628"/>
        <w:gridCol w:w="24"/>
        <w:gridCol w:w="1556"/>
        <w:gridCol w:w="24"/>
        <w:gridCol w:w="1596"/>
        <w:gridCol w:w="24"/>
        <w:gridCol w:w="876"/>
        <w:gridCol w:w="24"/>
      </w:tblGrid>
      <w:tr>
        <w:trPr>
          <w:trHeight w:val="362" w:hRule="atLeast"/>
        </w:trPr>
        <w:tc>
          <w:tcPr>
            <w:tcW w:w="320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2"/>
              </w:rPr>
            </w:pPr>
            <w:r>
              <w:rPr>
                <w:b/>
                <w:color w:val="000000"/>
                <w:sz w:val="22"/>
              </w:rPr>
              <w:t>California Market As Of:</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center"/>
              <w:rPr>
                <w:b/>
                <w:color w:val="000000"/>
                <w:sz w:val="22"/>
              </w:rPr>
            </w:pPr>
            <w:r>
              <w:rPr>
                <w:b/>
                <w:color w:val="000000"/>
                <w:sz w:val="22"/>
              </w:rPr>
              <w:t>05/31/01</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center"/>
              <w:rPr>
                <w:b/>
                <w:color w:val="000000"/>
                <w:sz w:val="22"/>
              </w:rPr>
            </w:pPr>
            <w:r>
              <w:rPr>
                <w:b/>
                <w:color w:val="000000"/>
                <w:sz w:val="22"/>
              </w:rPr>
              <w:t>06/30/01</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center"/>
              <w:rPr>
                <w:b/>
                <w:color w:val="000000"/>
                <w:sz w:val="22"/>
              </w:rPr>
            </w:pPr>
            <w:r>
              <w:rPr>
                <w:b/>
                <w:color w:val="000000"/>
                <w:sz w:val="22"/>
              </w:rPr>
              <w:t>07/31/01</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 Change</w:t>
            </w:r>
          </w:p>
        </w:tc>
        <w:tc>
          <w:tcPr>
            <w:tcW w:w="24" w:type="dxa"/>
            <w:tcBorders/>
            <w:tcMar>
              <w:start w:w="0" w:type="dxa"/>
              <w:end w:w="0" w:type="dxa"/>
            </w:tcMar>
          </w:tcPr>
          <w:p>
            <w:pPr>
              <w:pStyle w:val="Normal"/>
              <w:snapToGrid w:val="false"/>
              <w:rPr>
                <w:b/>
                <w:color w:val="000000"/>
                <w:sz w:val="22"/>
              </w:rPr>
            </w:pPr>
            <w:r>
              <w:rPr>
                <w:b/>
                <w:color w:val="000000"/>
                <w:sz w:val="22"/>
              </w:rPr>
            </w:r>
          </w:p>
        </w:tc>
      </w:tr>
      <w:tr>
        <w:trPr>
          <w:trHeight w:val="362" w:hRule="atLeast"/>
        </w:trPr>
        <w:tc>
          <w:tcPr>
            <w:tcW w:w="3232"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2"/>
              </w:rPr>
            </w:pPr>
            <w:r>
              <w:rPr>
                <w:color w:val="000000"/>
                <w:sz w:val="22"/>
              </w:rPr>
              <w:t>Total Direct Access Customers</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82,705</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69,677</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70,870</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FF0000"/>
                <w:sz w:val="22"/>
              </w:rPr>
            </w:pPr>
            <w:r>
              <w:rPr>
                <w:b/>
                <w:color w:val="FF0000"/>
                <w:sz w:val="22"/>
              </w:rPr>
              <w:t>(14.3)</w:t>
            </w:r>
          </w:p>
        </w:tc>
      </w:tr>
      <w:tr>
        <w:trPr>
          <w:trHeight w:val="362" w:hRule="atLeast"/>
        </w:trPr>
        <w:tc>
          <w:tcPr>
            <w:tcW w:w="3232"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2"/>
              </w:rPr>
            </w:pPr>
            <w:r>
              <w:rPr>
                <w:color w:val="000000"/>
                <w:sz w:val="22"/>
              </w:rPr>
              <w:t>Total UDC Customers</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10,407,085</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10,424,143</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10,447,510</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 xml:space="preserve">0.39 </w:t>
            </w:r>
          </w:p>
        </w:tc>
      </w:tr>
      <w:tr>
        <w:trPr>
          <w:trHeight w:val="362" w:hRule="atLeast"/>
        </w:trPr>
        <w:tc>
          <w:tcPr>
            <w:tcW w:w="3232"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2"/>
              </w:rPr>
            </w:pPr>
            <w:r>
              <w:rPr>
                <w:color w:val="000000"/>
                <w:sz w:val="22"/>
              </w:rPr>
              <w:t>Total Direct Access Load (MWh)</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3,784,844,635</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3,509,617,786</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5,406,738,793</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 xml:space="preserve">42.9 </w:t>
            </w:r>
          </w:p>
        </w:tc>
      </w:tr>
      <w:tr>
        <w:trPr>
          <w:trHeight w:val="362" w:hRule="atLeast"/>
        </w:trPr>
        <w:tc>
          <w:tcPr>
            <w:tcW w:w="3232"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2"/>
              </w:rPr>
            </w:pPr>
            <w:r>
              <w:rPr>
                <w:color w:val="000000"/>
                <w:sz w:val="22"/>
              </w:rPr>
              <w:t>Total UDC Load (MWH)</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177,981,522,943</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177,173,978,993</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end"/>
              <w:rPr>
                <w:color w:val="000000"/>
                <w:sz w:val="22"/>
              </w:rPr>
            </w:pPr>
            <w:r>
              <w:rPr>
                <w:color w:val="000000"/>
                <w:sz w:val="22"/>
              </w:rPr>
              <w:t>175,702,986,550</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FF0000"/>
                <w:sz w:val="22"/>
              </w:rPr>
            </w:pPr>
            <w:r>
              <w:rPr>
                <w:b/>
                <w:color w:val="FF0000"/>
                <w:sz w:val="22"/>
              </w:rPr>
              <w:t>(1.3)</w:t>
            </w:r>
          </w:p>
        </w:tc>
      </w:tr>
      <w:tr>
        <w:trPr>
          <w:trHeight w:val="290" w:hRule="atLeast"/>
        </w:trPr>
        <w:tc>
          <w:tcPr>
            <w:tcW w:w="3232" w:type="dxa"/>
            <w:gridSpan w:val="2"/>
            <w:tcBorders>
              <w:top w:val="single" w:sz="4" w:space="0" w:color="000000"/>
              <w:start w:val="single" w:sz="4" w:space="0" w:color="000000"/>
              <w:bottom w:val="single" w:sz="4" w:space="0" w:color="000000"/>
              <w:end w:val="single" w:sz="4" w:space="0" w:color="000000"/>
            </w:tcBorders>
          </w:tcPr>
          <w:p>
            <w:pPr>
              <w:pStyle w:val="Normal"/>
              <w:jc w:val="center"/>
              <w:rPr>
                <w:b/>
                <w:color w:val="000000"/>
                <w:sz w:val="22"/>
              </w:rPr>
            </w:pPr>
            <w:r>
              <w:rPr>
                <w:b/>
                <w:color w:val="000000"/>
                <w:sz w:val="22"/>
              </w:rPr>
              <w:t>Percent Direct Access Load (MWh)</w:t>
            </w:r>
          </w:p>
        </w:tc>
        <w:tc>
          <w:tcPr>
            <w:tcW w:w="1652"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2.10%</w:t>
            </w:r>
          </w:p>
        </w:tc>
        <w:tc>
          <w:tcPr>
            <w:tcW w:w="158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2.00%</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3.10%</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jc w:val="end"/>
              <w:rPr>
                <w:b/>
                <w:color w:val="000000"/>
                <w:sz w:val="22"/>
              </w:rPr>
            </w:pPr>
            <w:r>
              <w:rPr>
                <w:b/>
                <w:color w:val="000000"/>
                <w:sz w:val="22"/>
              </w:rPr>
              <w:t>1.00%</w:t>
            </w:r>
          </w:p>
        </w:tc>
      </w:tr>
    </w:tbl>
    <w:p>
      <w:pPr>
        <w:pStyle w:val="BodyTextIndent2"/>
        <w:jc w:val="both"/>
        <w:rPr>
          <w:bCs/>
          <w:sz w:val="24"/>
        </w:rPr>
      </w:pPr>
      <w:r>
        <w:rPr>
          <w:bCs/>
          <w:sz w:val="24"/>
        </w:rPr>
      </w:r>
    </w:p>
    <w:p>
      <w:pPr>
        <w:pStyle w:val="BodyTextIndent2"/>
        <w:spacing w:lineRule="auto" w:line="480"/>
        <w:jc w:val="both"/>
        <w:rPr/>
      </w:pPr>
      <w:r>
        <w:drawing>
          <wp:anchor behindDoc="0" distT="0" distB="0" distL="114935" distR="114935" simplePos="0" locked="0" layoutInCell="1" allowOverlap="1" relativeHeight="29">
            <wp:simplePos x="0" y="0"/>
            <wp:positionH relativeFrom="column">
              <wp:posOffset>1019175</wp:posOffset>
            </wp:positionH>
            <wp:positionV relativeFrom="paragraph">
              <wp:posOffset>1704340</wp:posOffset>
            </wp:positionV>
            <wp:extent cx="3476625" cy="2479040"/>
            <wp:effectExtent l="0" t="0" r="0" b="0"/>
            <wp:wrapNone/>
            <wp:docPr id="1"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_image001" descr="" title=""/>
                    <pic:cNvPicPr>
                      <a:picLocks noChangeAspect="1" noChangeArrowheads="1"/>
                    </pic:cNvPicPr>
                  </pic:nvPicPr>
                  <pic:blipFill>
                    <a:blip r:embed="rId2"/>
                    <a:stretch>
                      <a:fillRect/>
                    </a:stretch>
                  </pic:blipFill>
                  <pic:spPr bwMode="auto">
                    <a:xfrm>
                      <a:off x="0" y="0"/>
                      <a:ext cx="3476625" cy="2479040"/>
                    </a:xfrm>
                    <a:prstGeom prst="rect">
                      <a:avLst/>
                    </a:prstGeom>
                    <a:solidFill>
                      <a:srgbClr val="ffffff"/>
                    </a:solidFill>
                    <a:ln w="9525">
                      <a:solidFill>
                        <a:srgbClr val="000000"/>
                      </a:solidFill>
                    </a:ln>
                  </pic:spPr>
                </pic:pic>
              </a:graphicData>
            </a:graphic>
          </wp:anchor>
        </w:drawing>
      </w:r>
      <w:r>
        <w:rPr/>
        <w:t>In other words, as of July 31, although direct access load increased significantly, it still only constituted only 3.1% of total load in the State and the decline in total UDC load was less than one and a half percent!  To further illustrate the insignificance of direct access load to total statewide consumption, the following graph is illuminating because it demonstrates how inconsequential direct access load is when compared with bundled utility load:</w:t>
        <w:tab/>
        <w:tab/>
        <w:tab/>
      </w:r>
    </w:p>
    <w:tbl>
      <w:tblPr>
        <w:tblW w:w="5400" w:type="dxa"/>
        <w:jc w:val="start"/>
        <w:tblInd w:w="1620" w:type="dxa"/>
        <w:tblLayout w:type="fixed"/>
        <w:tblCellMar>
          <w:top w:w="0" w:type="dxa"/>
          <w:start w:w="0" w:type="dxa"/>
          <w:bottom w:w="0" w:type="dxa"/>
          <w:end w:w="0" w:type="dxa"/>
        </w:tblCellMar>
      </w:tblPr>
      <w:tblGrid>
        <w:gridCol w:w="1272"/>
        <w:gridCol w:w="1288"/>
        <w:gridCol w:w="1108"/>
        <w:gridCol w:w="1288"/>
        <w:gridCol w:w="444"/>
      </w:tblGrid>
      <w:tr>
        <w:trPr>
          <w:trHeight w:val="225" w:hRule="atLeast"/>
        </w:trPr>
        <w:tc>
          <w:tcPr>
            <w:tcW w:w="1272" w:type="dxa"/>
            <w:tcBorders/>
            <w:vAlign w:val="bottom"/>
          </w:tcPr>
          <w:p>
            <w:pPr>
              <w:pStyle w:val="Normal"/>
              <w:snapToGrid w:val="false"/>
              <w:rPr>
                <w:szCs w:val="20"/>
              </w:rPr>
            </w:pPr>
            <w:r>
              <w:rPr>
                <w:szCs w:val="20"/>
              </w:rPr>
            </w:r>
          </w:p>
          <w:tbl>
            <w:tblPr>
              <w:tblW w:w="1240" w:type="dxa"/>
              <w:jc w:val="start"/>
              <w:tblInd w:w="0" w:type="dxa"/>
              <w:tblLayout w:type="fixed"/>
              <w:tblCellMar>
                <w:top w:w="0" w:type="dxa"/>
                <w:start w:w="0" w:type="dxa"/>
                <w:bottom w:w="0" w:type="dxa"/>
                <w:end w:w="0" w:type="dxa"/>
              </w:tblCellMar>
            </w:tblPr>
            <w:tblGrid>
              <w:gridCol w:w="1240"/>
            </w:tblGrid>
            <w:tr>
              <w:trPr>
                <w:trHeight w:val="225" w:hRule="atLeast"/>
              </w:trPr>
              <w:tc>
                <w:tcPr>
                  <w:tcW w:w="1240" w:type="dxa"/>
                  <w:tcBorders/>
                  <w:vAlign w:val="bottom"/>
                </w:tcPr>
                <w:p>
                  <w:pPr>
                    <w:pStyle w:val="Normal"/>
                    <w:snapToGrid w:val="false"/>
                    <w:rPr>
                      <w:rFonts w:eastAsia="Arial Unicode MS;Tahoma"/>
                      <w:szCs w:val="16"/>
                    </w:rPr>
                  </w:pPr>
                  <w:r>
                    <w:rPr>
                      <w:rFonts w:eastAsia="Arial Unicode MS;Tahoma"/>
                      <w:szCs w:val="16"/>
                    </w:rPr>
                  </w:r>
                </w:p>
              </w:tc>
            </w:tr>
          </w:tbl>
          <w:p>
            <w:pPr>
              <w:pStyle w:val="Normal"/>
              <w:rPr>
                <w:rFonts w:eastAsia="Arial Unicode MS;Tahoma"/>
                <w:szCs w:val="20"/>
              </w:rPr>
            </w:pPr>
            <w:r>
              <w:rPr>
                <w:rFonts w:eastAsia="Arial Unicode MS;Tahoma"/>
                <w:szCs w:val="20"/>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jc w:val="center"/>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r>
        <w:trPr>
          <w:trHeight w:val="225" w:hRule="atLeast"/>
        </w:trPr>
        <w:tc>
          <w:tcPr>
            <w:tcW w:w="1272"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1108" w:type="dxa"/>
            <w:tcBorders/>
            <w:vAlign w:val="bottom"/>
          </w:tcPr>
          <w:p>
            <w:pPr>
              <w:pStyle w:val="Normal"/>
              <w:snapToGrid w:val="false"/>
              <w:rPr>
                <w:rFonts w:eastAsia="Arial Unicode MS;Tahoma"/>
                <w:szCs w:val="16"/>
              </w:rPr>
            </w:pPr>
            <w:r>
              <w:rPr>
                <w:rFonts w:eastAsia="Arial Unicode MS;Tahoma"/>
                <w:szCs w:val="16"/>
              </w:rPr>
            </w:r>
          </w:p>
        </w:tc>
        <w:tc>
          <w:tcPr>
            <w:tcW w:w="1288" w:type="dxa"/>
            <w:tcBorders/>
            <w:vAlign w:val="bottom"/>
          </w:tcPr>
          <w:p>
            <w:pPr>
              <w:pStyle w:val="Normal"/>
              <w:snapToGrid w:val="false"/>
              <w:rPr>
                <w:rFonts w:eastAsia="Arial Unicode MS;Tahoma"/>
                <w:szCs w:val="16"/>
              </w:rPr>
            </w:pPr>
            <w:r>
              <w:rPr>
                <w:rFonts w:eastAsia="Arial Unicode MS;Tahoma"/>
                <w:szCs w:val="16"/>
              </w:rPr>
            </w:r>
          </w:p>
        </w:tc>
        <w:tc>
          <w:tcPr>
            <w:tcW w:w="444" w:type="dxa"/>
            <w:tcBorders/>
            <w:vAlign w:val="bottom"/>
          </w:tcPr>
          <w:p>
            <w:pPr>
              <w:pStyle w:val="Normal"/>
              <w:snapToGrid w:val="false"/>
              <w:rPr>
                <w:rFonts w:eastAsia="Arial Unicode MS;Tahoma"/>
                <w:szCs w:val="16"/>
              </w:rPr>
            </w:pPr>
            <w:r>
              <w:rPr>
                <w:rFonts w:eastAsia="Arial Unicode MS;Tahoma"/>
                <w:szCs w:val="16"/>
              </w:rPr>
            </w:r>
          </w:p>
        </w:tc>
      </w:tr>
    </w:tbl>
    <w:p>
      <w:pPr>
        <w:pStyle w:val="BodyTextIndent2"/>
        <w:spacing w:lineRule="auto" w:line="480"/>
        <w:jc w:val="both"/>
        <w:rPr>
          <w:bCs/>
          <w:sz w:val="24"/>
        </w:rPr>
      </w:pPr>
      <w:r>
        <w:rPr>
          <w:bCs/>
          <w:sz w:val="24"/>
        </w:rPr>
      </w:r>
    </w:p>
    <w:p>
      <w:pPr>
        <w:pStyle w:val="BodyTextIndent2"/>
        <w:spacing w:lineRule="auto" w:line="480"/>
        <w:jc w:val="both"/>
        <w:rPr>
          <w:bCs/>
          <w:sz w:val="24"/>
        </w:rPr>
      </w:pPr>
      <w:r>
        <w:rPr>
          <w:bCs/>
          <w:sz w:val="24"/>
        </w:rPr>
      </w:r>
    </w:p>
    <w:p>
      <w:pPr>
        <w:pStyle w:val="BodyTextIndent2"/>
        <w:spacing w:lineRule="auto" w:line="480"/>
        <w:jc w:val="both"/>
        <w:rPr>
          <w:bCs/>
          <w:sz w:val="24"/>
        </w:rPr>
      </w:pPr>
      <w:r>
        <w:rPr>
          <w:bCs/>
          <w:sz w:val="24"/>
        </w:rPr>
      </w:r>
    </w:p>
    <w:p>
      <w:pPr>
        <w:pStyle w:val="BodyTextIndent2"/>
        <w:spacing w:lineRule="auto" w:line="480"/>
        <w:jc w:val="both"/>
        <w:rPr>
          <w:bCs/>
          <w:sz w:val="24"/>
        </w:rPr>
      </w:pPr>
      <w:r>
        <w:rPr>
          <w:bCs/>
          <w:sz w:val="24"/>
        </w:rPr>
      </w:r>
    </w:p>
    <w:p>
      <w:pPr>
        <w:pStyle w:val="BodyTextIndent2"/>
        <w:spacing w:lineRule="auto" w:line="480"/>
        <w:ind w:hanging="0" w:end="0"/>
        <w:jc w:val="both"/>
        <w:rPr/>
      </w:pPr>
      <w:r>
        <w:rPr>
          <w:bCs/>
          <w:sz w:val="24"/>
        </w:rPr>
        <w:t xml:space="preserve">It has been estimated that the net short position in the state is approximately 20%.  However, direct access load as of July 31 was only 3.1 % of total UDC load.  Even if this amount of increase had </w:t>
      </w:r>
      <w:r>
        <w:rPr>
          <w:bCs/>
          <w:sz w:val="24"/>
          <w:u w:val="single"/>
        </w:rPr>
        <w:t>tripled</w:t>
      </w:r>
      <w:r>
        <w:rPr>
          <w:bCs/>
          <w:sz w:val="24"/>
        </w:rPr>
        <w:t xml:space="preserve"> during the month of August, which is highly unlikely, the net short position still would not be threatened.  In other words, there is no threat to the debt service that is required for the DWR bonds.  There is no necessity for retroactive suspension out of fear that there will be inadequate bundled load to use and pay for the power purchased by DWR. </w:t>
      </w:r>
    </w:p>
    <w:p>
      <w:pPr>
        <w:pStyle w:val="BodyTextIndent2"/>
        <w:spacing w:lineRule="auto" w:line="480"/>
        <w:jc w:val="both"/>
        <w:rPr>
          <w:bCs/>
          <w:sz w:val="24"/>
        </w:rPr>
      </w:pPr>
      <w:r>
        <w:rPr>
          <w:bCs/>
          <w:sz w:val="24"/>
        </w:rPr>
        <w:t>In its August 29, 2001 comments, the Association of California Water Agencies (“ACWA”) made an extremely interesting point with regard to comparing the loss of utility load due to direct access with the loss caused by the State’s conservation efforts:</w:t>
      </w:r>
    </w:p>
    <w:p>
      <w:pPr>
        <w:pStyle w:val="standard"/>
        <w:spacing w:lineRule="auto" w:line="240"/>
        <w:ind w:hanging="0" w:start="720" w:end="720"/>
        <w:jc w:val="both"/>
        <w:rPr/>
      </w:pPr>
      <w:r>
        <w:rPr>
          <w:rFonts w:cs="Times New Roman" w:ascii="Times New Roman" w:hAnsi="Times New Roman"/>
          <w:sz w:val="24"/>
        </w:rPr>
        <w:t xml:space="preserve">However, if the purpose of the suspension is to provide “DWR with a stable customer base from which to recover its costs” (pg. 4) the Commission needs to look at one of the sacred cows of California: conservation.  Table 1 shows the amount of electricity that has been saved due to conservation (as a percentage of total consumption) and the amount of electricity that has been purchased via direct access during 2001.  Reductions in electricity sales due to conservation is </w:t>
      </w:r>
      <w:r>
        <w:rPr>
          <w:rFonts w:cs="Times New Roman" w:ascii="Times New Roman" w:hAnsi="Times New Roman"/>
          <w:b/>
          <w:bCs/>
          <w:sz w:val="24"/>
        </w:rPr>
        <w:t>over twice the amount lost to direct access</w:t>
      </w:r>
      <w:r>
        <w:rPr>
          <w:rFonts w:cs="Times New Roman" w:ascii="Times New Roman" w:hAnsi="Times New Roman"/>
          <w:sz w:val="24"/>
        </w:rPr>
        <w:t>.  {Emphasis added.]</w:t>
      </w:r>
    </w:p>
    <w:p>
      <w:pPr>
        <w:pStyle w:val="standard"/>
        <w:spacing w:lineRule="auto" w:line="240"/>
        <w:ind w:hanging="0" w:start="720" w:end="720"/>
        <w:jc w:val="both"/>
        <w:rPr>
          <w:rFonts w:ascii="Times New Roman" w:hAnsi="Times New Roman" w:cs="Times New Roman"/>
          <w:sz w:val="24"/>
        </w:rPr>
      </w:pPr>
      <w:r>
        <w:rPr>
          <w:rFonts w:cs="Times New Roman" w:ascii="Times New Roman" w:hAnsi="Times New Roman"/>
          <w:sz w:val="24"/>
        </w:rPr>
      </w:r>
    </w:p>
    <w:p>
      <w:pPr>
        <w:pStyle w:val="standard"/>
        <w:spacing w:lineRule="auto" w:line="480"/>
        <w:jc w:val="both"/>
        <w:rPr>
          <w:rFonts w:ascii="Times New Roman" w:hAnsi="Times New Roman" w:cs="Times New Roman"/>
          <w:bCs/>
          <w:sz w:val="24"/>
        </w:rPr>
      </w:pPr>
      <w:r>
        <w:rPr>
          <w:rFonts w:cs="Times New Roman" w:ascii="Times New Roman" w:hAnsi="Times New Roman"/>
          <w:sz w:val="24"/>
        </w:rPr>
        <w:t>The Joint Parties do not contend that conservation is harmful or should not be advocated by the State.  It simply notes that that the statistics quoted by ACWA put this issue in greater perspective.  It is intellectually inconsistent to decry utility sales reductions due to direct access while simultaneously praising even greater reductions due to conservation.</w:t>
      </w:r>
    </w:p>
    <w:p>
      <w:pPr>
        <w:pStyle w:val="BodyTextIndent2"/>
        <w:spacing w:lineRule="auto" w:line="480"/>
        <w:ind w:hanging="0" w:end="0"/>
        <w:jc w:val="center"/>
        <w:rPr>
          <w:rFonts w:ascii="Times New Roman" w:hAnsi="Times New Roman" w:cs="Times New Roman"/>
          <w:b/>
          <w:bCs/>
          <w:sz w:val="24"/>
          <w:u w:val="single"/>
        </w:rPr>
      </w:pPr>
      <w:r>
        <w:rPr>
          <w:rFonts w:cs="Times New Roman"/>
          <w:b/>
          <w:bCs/>
          <w:sz w:val="24"/>
          <w:u w:val="single"/>
        </w:rPr>
      </w:r>
    </w:p>
    <w:p>
      <w:pPr>
        <w:pStyle w:val="BodyTextIndent2"/>
        <w:spacing w:lineRule="auto" w:line="480"/>
        <w:ind w:hanging="0" w:end="0"/>
        <w:jc w:val="center"/>
        <w:rPr/>
      </w:pPr>
      <w:r>
        <w:rPr>
          <w:b/>
          <w:sz w:val="24"/>
        </w:rPr>
        <w:t xml:space="preserve">VI.  </w:t>
      </w:r>
      <w:r>
        <w:rPr>
          <w:b/>
          <w:sz w:val="24"/>
          <w:u w:val="single"/>
        </w:rPr>
        <w:t>The Denial of Customer Choice is Inexcusable</w:t>
      </w:r>
    </w:p>
    <w:p>
      <w:pPr>
        <w:pStyle w:val="BodyTextIndent2"/>
        <w:spacing w:lineRule="auto" w:line="480"/>
        <w:jc w:val="both"/>
        <w:rPr/>
      </w:pPr>
      <w:r>
        <w:rPr>
          <w:bCs/>
          <w:sz w:val="24"/>
        </w:rPr>
        <w:t>One of</w:t>
      </w:r>
      <w:r>
        <w:rPr>
          <w:sz w:val="24"/>
        </w:rPr>
        <w:t xml:space="preserve"> the most important of the original electric restructuring goals described in the Preferred Policy Decision,</w:t>
      </w:r>
      <w:r>
        <w:rPr>
          <w:rStyle w:val="FootnoteCharacters"/>
          <w:rStyle w:val="FootnoteReference"/>
          <w:sz w:val="24"/>
        </w:rPr>
        <w:footnoteReference w:id="12"/>
      </w:r>
      <w:r>
        <w:rPr>
          <w:sz w:val="24"/>
        </w:rPr>
        <w:t xml:space="preserve"> the Second Interim Decision </w:t>
      </w:r>
      <w:r>
        <w:rPr>
          <w:rStyle w:val="FootnoteCharacters"/>
          <w:rStyle w:val="FootnoteReference"/>
          <w:sz w:val="24"/>
        </w:rPr>
        <w:footnoteReference w:id="13"/>
      </w:r>
      <w:r>
        <w:rPr>
          <w:sz w:val="24"/>
        </w:rPr>
        <w:t xml:space="preserve"> and Decision 96-12-088 was to provide choice for consumers by bringing competition to the retail electric market.  The Commission re-affirmed this objective in D. 99-06-058: “Our long term strategy is to create an industry structure in which the utilities are one of many competitors.”  p. 23.  The Draft Decision abandons this worthy goal and offers California consumers </w:t>
      </w:r>
      <w:r>
        <w:rPr>
          <w:sz w:val="24"/>
          <w:u w:val="single"/>
        </w:rPr>
        <w:t>no choice</w:t>
      </w:r>
      <w:r>
        <w:rPr>
          <w:sz w:val="24"/>
        </w:rPr>
        <w:t xml:space="preserve">.  </w:t>
      </w:r>
    </w:p>
    <w:p>
      <w:pPr>
        <w:pStyle w:val="BodyTextIndent2"/>
        <w:spacing w:lineRule="auto" w:line="480"/>
        <w:jc w:val="both"/>
        <w:rPr>
          <w:sz w:val="24"/>
        </w:rPr>
      </w:pPr>
      <w:r>
        <w:rPr>
          <w:sz w:val="24"/>
        </w:rPr>
        <w:t>If the Commission were to announce that long-distance telephone users could only take service from the State of California, at prices more than double the rate in unregulated markets, it could expect a hue and cry of incredible magnitude.  Consumers would be outraged.  Why, then, is it any more acceptable to deny consumers choice when it comes to the purchase of electricity?  The retail electric market may be newer and not yet achieved the penetration rates of alternative long distance carriers.    However, it is not different at all in kind, only in degree.  The Draft Decision denies consumers the fundamental right of choice and we will all be the worse off should it be approved.</w:t>
      </w:r>
    </w:p>
    <w:p>
      <w:pPr>
        <w:pStyle w:val="BodyText"/>
        <w:widowControl/>
        <w:ind w:firstLine="720" w:end="0"/>
        <w:jc w:val="both"/>
        <w:rPr>
          <w:sz w:val="24"/>
        </w:rPr>
      </w:pPr>
      <w:r>
        <w:rPr>
          <w:sz w:val="24"/>
        </w:rPr>
      </w:r>
    </w:p>
    <w:p>
      <w:pPr>
        <w:pStyle w:val="BodyText"/>
        <w:widowControl/>
        <w:ind w:hanging="0" w:end="0"/>
        <w:jc w:val="center"/>
        <w:rPr/>
      </w:pPr>
      <w:r>
        <w:rPr>
          <w:b/>
          <w:bCs/>
        </w:rPr>
        <w:t xml:space="preserve">VII.  </w:t>
      </w:r>
      <w:r>
        <w:rPr>
          <w:b/>
          <w:bCs/>
          <w:u w:val="single"/>
        </w:rPr>
        <w:t>Customers and ESPs are Significantly Harmed by Retroactive Suspension</w:t>
      </w:r>
    </w:p>
    <w:p>
      <w:pPr>
        <w:pStyle w:val="BodyText"/>
        <w:widowControl/>
        <w:ind w:firstLine="720" w:end="0"/>
        <w:jc w:val="both"/>
        <w:rPr/>
      </w:pPr>
      <w:r>
        <w:rPr/>
        <w:t>Retroactive suspension would have major impact on all California market participants, including the utilities.  By broadly suspending direct access retroactively, the Commission is affecting not just large commercial/industrial customers who might require meter changes and have begun or in the process of such changes, but also residential and small commercial customers who would be able to begin direct access service in something less than 30 days after signing up with an ESP.</w:t>
      </w:r>
    </w:p>
    <w:p>
      <w:pPr>
        <w:pStyle w:val="BodyText"/>
        <w:widowControl/>
        <w:ind w:firstLine="720" w:end="0"/>
        <w:jc w:val="both"/>
        <w:rPr/>
      </w:pPr>
      <w:r>
        <w:rPr/>
        <w:t>For example, a residential customer who signed with an alternate supplier on July 2nd could easily have begun receiving energy at the end of July from their new ESP.  By September 6th this energy will have been procured by the ESP, scheduled with the ISO, consumed by the customer, billed by both the ESP and the UDC, paid for by the customer, paid for by the ESP to its supplier and settled on within the marketplace.  The logistics of reversing these transactions would be not worth the effort.  For example:</w:t>
      </w:r>
    </w:p>
    <w:p>
      <w:pPr>
        <w:pStyle w:val="BodyText"/>
        <w:widowControl/>
        <w:numPr>
          <w:ilvl w:val="0"/>
          <w:numId w:val="4"/>
        </w:numPr>
        <w:jc w:val="both"/>
        <w:rPr/>
      </w:pPr>
      <w:r>
        <w:rPr/>
        <w:t xml:space="preserve">Are the utilities suddenly to pretend that they actually were responsible for procuring power for the customer?  </w:t>
      </w:r>
    </w:p>
    <w:p>
      <w:pPr>
        <w:pStyle w:val="BodyText"/>
        <w:widowControl/>
        <w:numPr>
          <w:ilvl w:val="0"/>
          <w:numId w:val="4"/>
        </w:numPr>
        <w:jc w:val="both"/>
        <w:rPr/>
      </w:pPr>
      <w:r>
        <w:rPr/>
        <w:t xml:space="preserve">Are they required to recalculate every direct access bill and charge the customer for fictional deliveries?  </w:t>
      </w:r>
    </w:p>
    <w:p>
      <w:pPr>
        <w:pStyle w:val="BodyText"/>
        <w:widowControl/>
        <w:numPr>
          <w:ilvl w:val="0"/>
          <w:numId w:val="4"/>
        </w:numPr>
        <w:jc w:val="both"/>
        <w:rPr/>
      </w:pPr>
      <w:r>
        <w:rPr/>
        <w:t>Is the customer required to pay for the fictional deliveries, after having already paid its ESP for the actual power that was delivered?</w:t>
      </w:r>
    </w:p>
    <w:p>
      <w:pPr>
        <w:pStyle w:val="BodyText"/>
        <w:widowControl/>
        <w:numPr>
          <w:ilvl w:val="0"/>
          <w:numId w:val="4"/>
        </w:numPr>
        <w:jc w:val="both"/>
        <w:rPr/>
      </w:pPr>
      <w:r>
        <w:rPr/>
        <w:t>Is the utility to be indemnified by the State for the inevitable lawsuits that will result should customers be forced to pay for fictional deliveries?</w:t>
      </w:r>
    </w:p>
    <w:p>
      <w:pPr>
        <w:pStyle w:val="BodyText"/>
        <w:widowControl/>
        <w:numPr>
          <w:ilvl w:val="0"/>
          <w:numId w:val="4"/>
        </w:numPr>
        <w:jc w:val="both"/>
        <w:rPr/>
      </w:pPr>
      <w:r>
        <w:rPr/>
        <w:t>Is the customer to be indemnified by the State for the presumably higher price it will have to pay for State-procured power as opposed to ESP-procured power?</w:t>
      </w:r>
    </w:p>
    <w:p>
      <w:pPr>
        <w:pStyle w:val="BodyText"/>
        <w:widowControl/>
        <w:numPr>
          <w:ilvl w:val="0"/>
          <w:numId w:val="4"/>
        </w:numPr>
        <w:jc w:val="both"/>
        <w:rPr/>
      </w:pPr>
      <w:r>
        <w:rPr/>
        <w:t>Is the ESP to be indemnified by the State for the likely breach of the supply contract it has entered into to provide power to the customer?</w:t>
      </w:r>
    </w:p>
    <w:p>
      <w:pPr>
        <w:pStyle w:val="BodyText"/>
        <w:widowControl/>
        <w:ind w:firstLine="720" w:end="0"/>
        <w:jc w:val="both"/>
        <w:rPr/>
      </w:pPr>
      <w:r>
        <w:rPr/>
        <w:t>Moreover, ESPs would be harmed by the fact that they would have entered into their own supply arrangements to meet the demand of their direct access customers.  The Commission’s action would do nothing to abrogate those contracts or relieve ESPs from their obligations.  As a result of the Draft Decision’s retroactive suspension, significant financial harm would accrue to customers, ESPs and their suppliers.</w:t>
      </w:r>
    </w:p>
    <w:p>
      <w:pPr>
        <w:pStyle w:val="BodyText"/>
        <w:widowControl/>
        <w:ind w:hanging="0" w:end="0"/>
        <w:jc w:val="center"/>
        <w:rPr/>
      </w:pPr>
      <w:r>
        <w:rPr/>
      </w:r>
      <w:r>
        <w:br w:type="page"/>
      </w:r>
    </w:p>
    <w:p>
      <w:pPr>
        <w:pStyle w:val="BodyText"/>
        <w:widowControl/>
        <w:ind w:hanging="0" w:end="0"/>
        <w:jc w:val="center"/>
        <w:rPr/>
      </w:pPr>
      <w:r>
        <w:rPr>
          <w:b/>
          <w:bCs/>
        </w:rPr>
        <w:t xml:space="preserve">VIII.  </w:t>
      </w:r>
      <w:r>
        <w:rPr>
          <w:b/>
          <w:bCs/>
          <w:u w:val="single"/>
        </w:rPr>
        <w:t>The Commission’s Own Goals are Harmed by Retroactive Suspension</w:t>
      </w:r>
    </w:p>
    <w:p>
      <w:pPr>
        <w:pStyle w:val="BodyText"/>
        <w:widowControl/>
        <w:ind w:firstLine="720" w:end="0"/>
        <w:jc w:val="both"/>
        <w:rPr/>
      </w:pPr>
      <w:r>
        <w:rPr/>
        <w:t>The Draft Decision suggests that the Commission feels compelled to suspend direct access in order to facilitate the issuance of the DWR bonds.  However, if the Commission votes out an order with a retroactive July 1 suspension date, the order will likely be appealed, along with a request for an immediate stay by the filing party(ies).  In the event a stay is granted and the litigation proceeds, suspension will not be in place and customers will continue to exercise their right to contract with alternate providers and to switch from utility service during the pendency of the litigation.</w:t>
      </w:r>
    </w:p>
    <w:p>
      <w:pPr>
        <w:pStyle w:val="BodyText"/>
        <w:widowControl/>
        <w:ind w:firstLine="720" w:end="0"/>
        <w:jc w:val="both"/>
        <w:rPr/>
      </w:pPr>
      <w:r>
        <w:rPr/>
        <w:t xml:space="preserve">Should the Commission be unsuccessful in its defense of its retroactive order, it would then have to issue a prospective termination order, provide for due process (comments) and close direct access.  This will be tantamount to a long open enrollment period – which is certainly not what the Commission is trying to accomplish.  </w:t>
      </w:r>
    </w:p>
    <w:p>
      <w:pPr>
        <w:pStyle w:val="BodyText"/>
        <w:widowControl/>
        <w:ind w:firstLine="720" w:end="0"/>
        <w:jc w:val="both"/>
        <w:rPr/>
      </w:pPr>
      <w:r>
        <w:rPr/>
        <w:t xml:space="preserve">Of course, the request to stay the order could be rejected by the Court.  In this case, direct access would be suspended, but in the event the court subsequently overturned the order, it would mean that the order to suspend should never have been implemented and the abrogation of contracts signed after July 1 would be illegal and that the customers were entitled to opt for direct access.  This would require the Commission to have to go through the process of advance notice of a prospective closing of direct access, so as not to repeat the previous illegal action, i.e. new Open Window).  </w:t>
      </w:r>
    </w:p>
    <w:p>
      <w:pPr>
        <w:pStyle w:val="BodyText"/>
        <w:widowControl/>
        <w:ind w:firstLine="720" w:end="0"/>
        <w:jc w:val="both"/>
        <w:rPr>
          <w:b/>
          <w:bCs/>
        </w:rPr>
      </w:pPr>
      <w:r>
        <w:rPr/>
        <w:t>Of course, the Commission may have the opinion that the legal and policy arguments contained in these and other parties’ comments are unavailing and that it is willing to take the downside risk of not prevailing in any legal challenge to retroactive suspension.  However, one could argue that Wall Street’s opinion of the merits of the action against the Commission may be more significant with regard to the issuance of the DWR revenue bonds.</w:t>
      </w:r>
    </w:p>
    <w:p>
      <w:pPr>
        <w:pStyle w:val="BodyText"/>
        <w:widowControl/>
        <w:ind w:hanging="0" w:end="0"/>
        <w:jc w:val="center"/>
        <w:rPr>
          <w:b/>
          <w:bCs/>
        </w:rPr>
      </w:pPr>
      <w:r>
        <w:rPr>
          <w:b/>
          <w:bCs/>
        </w:rPr>
      </w:r>
    </w:p>
    <w:p>
      <w:pPr>
        <w:pStyle w:val="BodyText"/>
        <w:widowControl/>
        <w:ind w:hanging="0" w:end="0"/>
        <w:jc w:val="center"/>
        <w:rPr/>
      </w:pPr>
      <w:r>
        <w:rPr>
          <w:b/>
          <w:bCs/>
        </w:rPr>
        <w:t xml:space="preserve">IX.  </w:t>
      </w:r>
      <w:r>
        <w:rPr>
          <w:b/>
          <w:bCs/>
          <w:u w:val="single"/>
        </w:rPr>
        <w:t>What Emergency?</w:t>
      </w:r>
    </w:p>
    <w:p>
      <w:pPr>
        <w:pStyle w:val="BodyText"/>
        <w:widowControl/>
        <w:ind w:firstLine="720" w:end="0"/>
        <w:jc w:val="both"/>
        <w:rPr/>
      </w:pPr>
      <w:r>
        <w:rPr/>
        <w:t>AReM disagrees with the draft decision's representation of “fact” that California is in a state of emergency.  Earlier this year, the general fund was disappearing at a rapid pace, threatening the state's financial security.  However, the Federal Energy Regulatory Commission has since taken actions to mitigate wholesale electricity prices.  The “rapid, unforeseen shortage of electrical power and energy available in the state” simply no longer exists.  The threat of blackouts become more remote each day and the number of declared emergency alerts by CAISO have declined markedly.</w:t>
      </w:r>
      <w:r>
        <w:rPr>
          <w:i/>
        </w:rPr>
        <w:t xml:space="preserve">  </w:t>
      </w:r>
      <w:r>
        <w:rPr/>
        <w:t xml:space="preserve">  </w:t>
      </w:r>
    </w:p>
    <w:p>
      <w:pPr>
        <w:pStyle w:val="BodyText"/>
        <w:widowControl/>
        <w:ind w:firstLine="720" w:end="0"/>
        <w:jc w:val="both"/>
        <w:rPr/>
      </w:pPr>
      <w:r>
        <w:rPr/>
        <w:t xml:space="preserve">California no longer risks being unable to purchase the power it needs to sustain reliable electric service.  The historical depletion of the general fund is not an emergency, nor is restoring the surplus.  The urgency to suspend direct access no longer exists.  Over the past year, California has become accustomed to making quick decisions because it has faced emergency conditions, and these quick decisions have often had unintended consequences.  The decision to enter the power purchase business led California to enter into contracts that now represent some $20 billion in losses.  Now that California has more time to consider its actions, it is reasonable to reconsider whether it makes sense to suspend direct access when such suspension is not required to finance the revenue bonds or State energy purchases.  </w:t>
      </w:r>
    </w:p>
    <w:p>
      <w:pPr>
        <w:pStyle w:val="BodyText"/>
        <w:widowControl/>
        <w:ind w:hanging="0" w:end="0"/>
        <w:jc w:val="both"/>
        <w:rPr/>
      </w:pPr>
      <w:r>
        <w:rPr/>
      </w:r>
      <w:r>
        <w:br w:type="page"/>
      </w:r>
    </w:p>
    <w:p>
      <w:pPr>
        <w:pStyle w:val="Heading5"/>
        <w:numPr>
          <w:ilvl w:val="0"/>
          <w:numId w:val="0"/>
        </w:numPr>
        <w:ind w:hanging="0" w:start="0"/>
        <w:rPr/>
      </w:pPr>
      <w:r>
        <w:rPr/>
        <w:t>X.  The Draft Decision Ignores the Benefits of Direct Access</w:t>
      </w:r>
    </w:p>
    <w:p>
      <w:pPr>
        <w:pStyle w:val="Normal"/>
        <w:tabs>
          <w:tab w:val="clear" w:pos="720"/>
          <w:tab w:val="left" w:pos="-720" w:leader="none"/>
        </w:tabs>
        <w:suppressAutoHyphens w:val="true"/>
        <w:ind w:start="2880" w:end="0"/>
        <w:jc w:val="both"/>
        <w:rPr>
          <w:b/>
          <w:bCs/>
          <w:spacing w:val="-3"/>
          <w:u w:val="single"/>
        </w:rPr>
      </w:pPr>
      <w:r>
        <w:rPr>
          <w:b/>
          <w:bCs/>
          <w:spacing w:val="-3"/>
          <w:u w:val="single"/>
        </w:rPr>
      </w:r>
    </w:p>
    <w:p>
      <w:pPr>
        <w:pStyle w:val="BodyText"/>
        <w:widowControl/>
        <w:ind w:firstLine="720" w:end="0"/>
        <w:jc w:val="both"/>
        <w:rPr/>
      </w:pPr>
      <w:r>
        <w:rPr/>
        <w:t>Direct access offers immediate relief from the procurement burden now shared by the utilities and DWR.  This will provide benefits the State, the utilities and the end-use customers.  As noted above, there is a net short position for which the utilities and DWR have not fully contracted.  Direct access will supply a segment of this demand, thereby removing that segment’s power needs from the shoulders of the State.  The more power provided through direct access, the less the State or utilities must provide.  As noted in the Alternate Draft Decision of Commissioner Bilas:</w:t>
      </w:r>
    </w:p>
    <w:p>
      <w:pPr>
        <w:pStyle w:val="standard"/>
        <w:spacing w:lineRule="auto" w:line="240"/>
        <w:ind w:hanging="0" w:start="720" w:end="720"/>
        <w:jc w:val="both"/>
        <w:rPr>
          <w:rFonts w:ascii="Times New Roman" w:hAnsi="Times New Roman" w:cs="Times New Roman"/>
          <w:sz w:val="24"/>
        </w:rPr>
      </w:pPr>
      <w:r>
        <w:rPr>
          <w:rFonts w:cs="Times New Roman" w:ascii="Times New Roman" w:hAnsi="Times New Roman"/>
          <w:sz w:val="24"/>
        </w:rPr>
        <w:t xml:space="preserve">Direct access serves a useful purpose under the AB 1X approach by decreasing the amount of power DWR must purchase to cover the utilities’ net short position, often power at expensive peak spot prices.  Thus, direct access helps conserve State funds expended by DWR, a factor we should consider in timing any suspension.  </w:t>
      </w:r>
    </w:p>
    <w:p>
      <w:pPr>
        <w:pStyle w:val="standard"/>
        <w:spacing w:lineRule="auto" w:line="240"/>
        <w:ind w:hanging="0" w:start="720" w:end="720"/>
        <w:jc w:val="both"/>
        <w:rPr>
          <w:rFonts w:ascii="Times New Roman" w:hAnsi="Times New Roman" w:cs="Times New Roman"/>
          <w:sz w:val="24"/>
        </w:rPr>
      </w:pPr>
      <w:r>
        <w:rPr>
          <w:rFonts w:cs="Times New Roman" w:ascii="Times New Roman" w:hAnsi="Times New Roman"/>
          <w:sz w:val="24"/>
        </w:rPr>
      </w:r>
    </w:p>
    <w:p>
      <w:pPr>
        <w:pStyle w:val="BodyText"/>
        <w:widowControl/>
        <w:ind w:firstLine="720" w:end="0"/>
        <w:jc w:val="both"/>
        <w:rPr/>
      </w:pPr>
      <w:r>
        <w:rPr/>
        <w:t xml:space="preserve">Direct Access also encourages use of power source alternatives, including Green/Clean energy and distributed generation, along with a savings benefit to the end-use customer.  Alternative energy companies are the primary source of research and development of new and innovative technologies, products and services for the electric industry.  Direct access facilitates companies installing their own solar, wind, distributed generation and other technologies that benefit the State and its ratepayers.   </w:t>
      </w:r>
    </w:p>
    <w:p>
      <w:pPr>
        <w:pStyle w:val="BodyText"/>
        <w:widowControl/>
        <w:ind w:firstLine="720" w:end="0"/>
        <w:jc w:val="both"/>
        <w:rPr>
          <w:i/>
          <w:i/>
        </w:rPr>
      </w:pPr>
      <w:r>
        <w:rPr/>
        <w:t>Lastly, it should be mentioned that direct access customers are employers and contribute to the State financially.  Direct access provides jobs, both directly with ESPs and their service providers, as well as through offering innovative and low cost products and services that encourage firms to stay in California and expand their operations.  Encouraging business encourages employment.  There are many other states now actively soliciting businesses away from California using the energy crisis to lure them away.  Businesses need realistic, predictable pricing and reliability.  Businesses want options and choice.  The Draft Decision would deny those options and frustrate their freedom of choice.</w:t>
      </w:r>
    </w:p>
    <w:p>
      <w:pPr>
        <w:pStyle w:val="BodyText"/>
        <w:widowControl/>
        <w:ind w:firstLine="720" w:end="0"/>
        <w:jc w:val="both"/>
        <w:rPr>
          <w:b/>
          <w:bCs/>
          <w:i/>
          <w:i/>
          <w:spacing w:val="-3"/>
        </w:rPr>
      </w:pPr>
      <w:r>
        <w:rPr>
          <w:b/>
          <w:bCs/>
          <w:i/>
          <w:spacing w:val="-3"/>
        </w:rPr>
      </w:r>
    </w:p>
    <w:p>
      <w:pPr>
        <w:pStyle w:val="Normal"/>
        <w:tabs>
          <w:tab w:val="clear" w:pos="720"/>
          <w:tab w:val="left" w:pos="-720" w:leader="none"/>
        </w:tabs>
        <w:suppressAutoHyphens w:val="true"/>
        <w:jc w:val="center"/>
        <w:rPr/>
      </w:pPr>
      <w:r>
        <w:rPr>
          <w:b/>
          <w:bCs/>
          <w:spacing w:val="-3"/>
        </w:rPr>
        <w:t xml:space="preserve">XI.  </w:t>
      </w:r>
      <w:r>
        <w:rPr>
          <w:b/>
          <w:bCs/>
          <w:spacing w:val="-3"/>
          <w:u w:val="single"/>
        </w:rPr>
        <w:t>There Is A Better Remedy</w:t>
      </w:r>
    </w:p>
    <w:p>
      <w:pPr>
        <w:pStyle w:val="Normal"/>
        <w:tabs>
          <w:tab w:val="clear" w:pos="720"/>
          <w:tab w:val="left" w:pos="-720" w:leader="none"/>
        </w:tabs>
        <w:suppressAutoHyphens w:val="true"/>
        <w:ind w:start="1509" w:end="0"/>
        <w:jc w:val="both"/>
        <w:rPr>
          <w:b/>
          <w:bCs/>
          <w:spacing w:val="-3"/>
          <w:u w:val="single"/>
        </w:rPr>
      </w:pPr>
      <w:r>
        <w:rPr>
          <w:b/>
          <w:bCs/>
          <w:spacing w:val="-3"/>
          <w:u w:val="single"/>
        </w:rPr>
      </w:r>
    </w:p>
    <w:p>
      <w:pPr>
        <w:pStyle w:val="Normal"/>
        <w:tabs>
          <w:tab w:val="clear" w:pos="720"/>
          <w:tab w:val="left" w:pos="-720" w:leader="none"/>
        </w:tabs>
        <w:suppressAutoHyphens w:val="true"/>
        <w:spacing w:lineRule="auto" w:line="480"/>
        <w:ind w:firstLine="720" w:end="0"/>
        <w:jc w:val="both"/>
        <w:rPr/>
      </w:pPr>
      <w:r>
        <w:rPr>
          <w:spacing w:val="-3"/>
        </w:rPr>
        <w:t xml:space="preserve">On August 14, AReM and WPTF filed their </w:t>
      </w:r>
      <w:r>
        <w:rPr/>
        <w:t xml:space="preserve">Emergency Motion of the Alliance for Retail Energy Markets and the Western Power Trading Forum for Permission to File Supplemental Reply Comments Concerning the Implementation of an Interim Direct Access Continuation Program.  On the same day, they filed their </w:t>
      </w:r>
      <w:r>
        <w:rPr>
          <w:bCs/>
        </w:rPr>
        <w:t>Supplemental Comments of the Alliance For Retail Energy Markets and the Western Power Trading Forum Concerning the Implementation of an Interim Direct Access Continuation Program.  The latter filing laid out a clear, coherent and Constitutional approach to dealing with direct access while maintaining the viability of the DWR revenue bonds.</w:t>
      </w:r>
    </w:p>
    <w:p>
      <w:pPr>
        <w:pStyle w:val="BodyText"/>
        <w:widowControl/>
        <w:ind w:firstLine="720" w:end="0"/>
        <w:jc w:val="both"/>
        <w:rPr/>
      </w:pPr>
      <w:r>
        <w:rPr/>
        <w:t>If needed, the Joint Parties’ program would provide the State with the credit certainty that is required for the pending issuance of the revenue bonds.  Payment by new direct access customers of a dedicated rate component would cover their share of the power purchased by DWR and financed from the General Fund, while payment of the utility dedicated rate component would cover their share of the utilities’ procurement-related debts while on bundled service.</w:t>
      </w:r>
    </w:p>
    <w:p>
      <w:pPr>
        <w:pStyle w:val="BodyText"/>
        <w:widowControl/>
        <w:ind w:firstLine="720" w:end="0"/>
        <w:jc w:val="both"/>
        <w:rPr/>
      </w:pPr>
      <w:r>
        <w:rPr/>
        <w:t xml:space="preserve">The imposition of the proposed charges would also enable end-users to continue to have the freedom of choice with regard to their electricity provider while not burdening those customers who remain with bundled service.  It would allow customers to purchase the energy product that makes most sense to their particular circumstances and to take charge of their own energy futures.  It would also encourage customers to express an environmental preference, since one of the few benefits of the original system implemented by the Commission was the creation of the green power products that were chosen by hundreds of thousands of Californians. </w:t>
      </w:r>
    </w:p>
    <w:p>
      <w:pPr>
        <w:pStyle w:val="BodyText"/>
        <w:widowControl/>
        <w:ind w:firstLine="720" w:end="0"/>
        <w:jc w:val="both"/>
        <w:rPr/>
      </w:pPr>
      <w:r>
        <w:rPr/>
        <w:t>With regard to the DWR long-term contracts, the question of whether these contracts are above market is very sensitive to the prevailing price of power in the market at the time of inquiry.  Some of the contracts may be above market when compared against prices in the market today, but such an observation is only valid for the period that prices in the wholesale market remain at their current levels.  And, if there is one lesson that has been learned about the wholesale power market over the last year, it is that the wholesale power market is volatile and can shift significantly in short periods of time.  Consequently, it is not clear what the future will hold on the question of whether the DWR long-term contracts are above, below, or at market.  Finally, this proposal would allow the Commission to reaffirm one of the most important of its original electric restructuring goals described in the Preferred Policy Decision,</w:t>
      </w:r>
      <w:r>
        <w:rPr>
          <w:rStyle w:val="FootnoteCharacters"/>
          <w:rStyle w:val="FootnoteReference"/>
          <w:sz w:val="24"/>
        </w:rPr>
        <w:footnoteReference w:id="14"/>
      </w:r>
      <w:r>
        <w:rPr/>
        <w:t xml:space="preserve"> the Second Interim Decision</w:t>
      </w:r>
      <w:r>
        <w:rPr>
          <w:rStyle w:val="FootnoteCharacters"/>
          <w:rStyle w:val="FootnoteReference"/>
          <w:sz w:val="24"/>
        </w:rPr>
        <w:footnoteReference w:id="15"/>
      </w:r>
      <w:r>
        <w:rPr/>
        <w:t xml:space="preserve"> and Decision 96-12-088 -- to provide choice for consumers by bringing competition to the retail electric market.  The Commission reaffirmed this objective in D. 99-06-058: “Our long term strategy is to create an industry structure in which the utilities are one of many competitors.”  p. 23.  The suspension of direct access, without making every effort to preserve consumer choice, would abandon this worthy goal and offers California consumers </w:t>
      </w:r>
      <w:r>
        <w:rPr>
          <w:u w:val="single"/>
        </w:rPr>
        <w:t>no choice</w:t>
      </w:r>
      <w:r>
        <w:rPr/>
        <w:t>.  The Joint Parties therefore urge the Commission to consider seriously the interim direct access continuation program described herein.</w:t>
      </w:r>
    </w:p>
    <w:p>
      <w:pPr>
        <w:pStyle w:val="BodyText"/>
        <w:widowControl/>
        <w:ind w:firstLine="720" w:end="0"/>
        <w:jc w:val="both"/>
        <w:rPr/>
      </w:pPr>
      <w:r>
        <w:rPr/>
        <w:t xml:space="preserve"> </w:t>
      </w:r>
      <w:r>
        <w:br w:type="page"/>
      </w:r>
    </w:p>
    <w:p>
      <w:pPr>
        <w:pStyle w:val="BodyText"/>
        <w:widowControl/>
        <w:ind w:hanging="0" w:end="0"/>
        <w:jc w:val="center"/>
        <w:rPr/>
      </w:pPr>
      <w:r>
        <w:rPr>
          <w:b/>
          <w:bCs/>
        </w:rPr>
        <w:t xml:space="preserve">XII.  </w:t>
      </w:r>
      <w:r>
        <w:rPr>
          <w:b/>
          <w:bCs/>
          <w:u w:val="single"/>
        </w:rPr>
        <w:t>Conclusion</w:t>
      </w:r>
    </w:p>
    <w:p>
      <w:pPr>
        <w:pStyle w:val="BodyText"/>
        <w:widowControl/>
        <w:ind w:firstLine="720" w:end="0"/>
        <w:jc w:val="both"/>
        <w:rPr/>
      </w:pPr>
      <w:r>
        <w:rPr/>
        <w:t>For the foregoing reasons, the Joint Parties respectfully request that the Commission:</w:t>
      </w:r>
    </w:p>
    <w:p>
      <w:pPr>
        <w:pStyle w:val="BodyTextIndent"/>
        <w:numPr>
          <w:ilvl w:val="0"/>
          <w:numId w:val="3"/>
        </w:numPr>
        <w:jc w:val="both"/>
        <w:rPr/>
      </w:pPr>
      <w:r>
        <w:rPr/>
        <w:t>Reject the Draft Decision as written, on the grounds that it constitutes both poor public policy and is an unconstitutional abrogation of contracts entered into by parties not subject to the jurisdiction of this Commission;</w:t>
      </w:r>
    </w:p>
    <w:p>
      <w:pPr>
        <w:pStyle w:val="BodyTextIndent"/>
        <w:numPr>
          <w:ilvl w:val="0"/>
          <w:numId w:val="3"/>
        </w:numPr>
        <w:jc w:val="both"/>
        <w:rPr/>
      </w:pPr>
      <w:r>
        <w:rPr/>
        <w:t>Adopt the Alternate Draft Decision of Commissioner Bilas;</w:t>
      </w:r>
    </w:p>
    <w:p>
      <w:pPr>
        <w:pStyle w:val="BodyTextIndent"/>
        <w:numPr>
          <w:ilvl w:val="0"/>
          <w:numId w:val="3"/>
        </w:numPr>
        <w:jc w:val="both"/>
        <w:rPr/>
      </w:pPr>
      <w:r>
        <w:rPr/>
        <w:t>Implement hearings as directed in the Alternate Draft Decision to, among other things, consider implementation of the August 14, 2001 Supplemental Comments of the Joint Parties; and</w:t>
      </w:r>
    </w:p>
    <w:p>
      <w:pPr>
        <w:pStyle w:val="BodyTextIndent"/>
        <w:numPr>
          <w:ilvl w:val="0"/>
          <w:numId w:val="3"/>
        </w:numPr>
        <w:jc w:val="both"/>
        <w:rPr/>
      </w:pPr>
      <w:r>
        <w:rPr/>
        <w:t>Utilize a prospective, rather than retroactive, date, such as the date of issuance of its decision, should the Commission feel compelled to suspend direct access regardless of the arguments presented herein.</w:t>
      </w:r>
    </w:p>
    <w:p>
      <w:pPr>
        <w:pStyle w:val="BodyTextIndent"/>
        <w:jc w:val="both"/>
        <w:rPr>
          <w:spacing w:val="-3"/>
        </w:rPr>
      </w:pPr>
      <w:r>
        <w:rPr/>
        <w:t>Thank you very much for your attention to, and consideration of, these comments of the Alliance for Retail Energy Markets and the Western Power Trading Forum.</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Attorney for </w:t>
      </w:r>
    </w:p>
    <w:p>
      <w:pPr>
        <w:pStyle w:val="Normal"/>
        <w:tabs>
          <w:tab w:val="clear" w:pos="720"/>
          <w:tab w:val="left" w:pos="-720" w:leader="none"/>
        </w:tabs>
        <w:suppressAutoHyphens w:val="true"/>
        <w:ind w:end="-360"/>
        <w:jc w:val="both"/>
        <w:rPr/>
      </w:pPr>
      <w:r>
        <w:rPr>
          <w:spacing w:val="-3"/>
        </w:rPr>
        <w:tab/>
        <w:tab/>
        <w:tab/>
        <w:tab/>
        <w:tab/>
        <w:tab/>
      </w:r>
      <w:r>
        <w:rPr>
          <w:b/>
          <w:bCs/>
          <w:spacing w:val="-3"/>
        </w:rPr>
        <w:t>ALLIANCE FOR RETAIL ENERGY MARKETS</w:t>
      </w:r>
    </w:p>
    <w:p>
      <w:pPr>
        <w:pStyle w:val="Normal"/>
        <w:tabs>
          <w:tab w:val="clear" w:pos="720"/>
          <w:tab w:val="left" w:pos="-1440" w:leader="none"/>
          <w:tab w:val="left" w:pos="-720" w:leader="none"/>
        </w:tabs>
        <w:rPr>
          <w:spacing w:val="-3"/>
        </w:rPr>
      </w:pPr>
      <w:r>
        <w:rPr>
          <w:b/>
          <w:bCs/>
          <w:spacing w:val="-3"/>
        </w:rPr>
        <w:tab/>
        <w:tab/>
        <w:tab/>
        <w:tab/>
        <w:tab/>
        <w:tab/>
        <w:t>WESTERN POWER TRADING FORUM</w:t>
      </w:r>
    </w:p>
    <w:p>
      <w:pPr>
        <w:pStyle w:val="Normal"/>
        <w:spacing w:before="0" w:after="240"/>
        <w:rPr/>
      </w:pPr>
      <w:r>
        <w:rPr/>
        <w:t>September 4,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 xml:space="preserve">I hereby certify that I have this day served a copy of the Comments of the Alliance for Retail Energy Markets and the Western Power Trading Forum Regarding the August 27 Draft Decision of ALJ Barnett and the August 30 Alternate Draft Decision of Commissioner Bilas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Normal"/>
        <w:suppressAutoHyphens w:val="true"/>
        <w:ind w:firstLine="720" w:end="0"/>
        <w:jc w:val="both"/>
        <w:rPr/>
      </w:pPr>
      <w:r>
        <w:rPr/>
      </w:r>
    </w:p>
    <w:p>
      <w:pPr>
        <w:pStyle w:val="Normal"/>
        <w:suppressAutoHyphens w:val="true"/>
        <w:ind w:firstLine="720" w:end="0"/>
        <w:jc w:val="both"/>
        <w:rPr/>
      </w:pPr>
      <w:r>
        <w:rPr/>
        <w:t>Executed on September 4,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3"/>
      <w:footerReference w:type="first" r:id="rId4"/>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New York">
    <w:charset w:val="00" w:characterSet="windows-1252"/>
    <w:family w:val="roman"/>
    <w:pitch w:val="variable"/>
  </w:font>
  <w:font w:name="Arial Unicode MS">
    <w:altName w:val="Tahoma"/>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594360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20"/>
        </w:rPr>
        <w:t>The legislation provides that,</w:t>
      </w:r>
      <w:r>
        <w:rPr/>
        <w:t xml:space="preserve"> </w:t>
      </w:r>
      <w:r>
        <w:rPr>
          <w:sz w:val="20"/>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w:t>
      </w:r>
    </w:p>
  </w:footnote>
  <w:footnote w:id="3">
    <w:p>
      <w:pPr>
        <w:pStyle w:val="FootnoteText"/>
        <w:ind w:firstLine="720" w:end="0"/>
        <w:jc w:val="both"/>
        <w:rPr/>
      </w:pPr>
      <w:r>
        <w:rPr>
          <w:rStyle w:val="FootnoteCharacters"/>
        </w:rPr>
        <w:footnoteRef/>
      </w:r>
      <w:r>
        <w:rPr>
          <w:sz w:val="22"/>
        </w:rPr>
        <w:t xml:space="preserve"> </w:t>
      </w:r>
      <w:r>
        <w:rPr>
          <w:sz w:val="20"/>
        </w:rPr>
        <w:t>The Joint Parties received service of comments from the Association of Bay Area Governments Publicly Owned Energy Resources (“ABAG POWER”),</w:t>
      </w:r>
      <w:r>
        <w:rPr>
          <w:rFonts w:cs="Arial" w:ascii="Arial" w:hAnsi="Arial"/>
          <w:sz w:val="20"/>
        </w:rPr>
        <w:t xml:space="preserve"> </w:t>
      </w:r>
      <w:r>
        <w:rPr>
          <w:sz w:val="20"/>
        </w:rPr>
        <w:t xml:space="preserve">Association of California Water Agencies (“ACWA”), California Industrial Users (“CIU”), California Large Energy Consumers Association (“CLECA”), California Manufacturers &amp; Technology Association (“CMTA”), Calpine Corporation (“Calpine”), Federal Executive Agencies (“FEA”), Golden State Power Cooperative (“GSPC”), Green Mountain Energy Company (“Green Mountain”), </w:t>
      </w:r>
      <w:r>
        <w:rPr>
          <w:sz w:val="20"/>
          <w:szCs w:val="24"/>
        </w:rPr>
        <w:t xml:space="preserve">The Kroger Co. (“Kroger”), </w:t>
      </w:r>
      <w:r>
        <w:rPr>
          <w:sz w:val="20"/>
        </w:rPr>
        <w:t>Pacific Gas and Electric Company (“PG&amp;E”), San Francisco Bay Area Rapid Transit District (“BART”), San Diego Gas &amp; Electric Company (“SDG&amp;E”), Southern California Edison Company (“SCE”), The Utility Reform Network (“TURN”) and the University of California and the California State Universities (collectively “UC/CSU”).</w:t>
      </w:r>
    </w:p>
  </w:footnote>
  <w:footnote w:id="4">
    <w:p>
      <w:pPr>
        <w:pStyle w:val="FootnoteText"/>
        <w:ind w:firstLine="720" w:end="0"/>
        <w:jc w:val="both"/>
        <w:rPr/>
      </w:pPr>
      <w:r>
        <w:rPr>
          <w:rStyle w:val="FootnoteCharacters"/>
        </w:rPr>
        <w:footnoteRef/>
      </w:r>
      <w:r>
        <w:rPr>
          <w:sz w:val="20"/>
        </w:rPr>
        <w:t xml:space="preserve"> </w:t>
      </w:r>
      <w:r>
        <w:rPr>
          <w:sz w:val="20"/>
        </w:rPr>
        <w:t>Only TURN recommended rejection of the draft decision of Commissioner Bilas and approval of the suspension of direct access, as ordered in the draft decision of ALJ Barnett.</w:t>
      </w:r>
    </w:p>
  </w:footnote>
  <w:footnote w:id="5">
    <w:p>
      <w:pPr>
        <w:pStyle w:val="FootnoteText"/>
        <w:jc w:val="both"/>
        <w:rPr/>
      </w:pPr>
      <w:r>
        <w:rPr>
          <w:rStyle w:val="FootnoteCharacters"/>
        </w:rPr>
        <w:footnoteRef/>
      </w:r>
      <w:r>
        <w:rPr/>
        <w:t xml:space="preserve"> </w:t>
      </w:r>
      <w:r>
        <w:rPr>
          <w:sz w:val="20"/>
        </w:rPr>
        <w:t xml:space="preserve">The judiciary has the power to invalidate a contract without violating the Contracts Clause.  See </w:t>
      </w:r>
      <w:r>
        <w:rPr>
          <w:i/>
          <w:iCs/>
          <w:sz w:val="20"/>
        </w:rPr>
        <w:t>Tidal Oil v. Flanagan</w:t>
      </w:r>
      <w:r>
        <w:rPr>
          <w:sz w:val="20"/>
        </w:rPr>
        <w:t>, 263 U.S. 444 (1924).</w:t>
      </w:r>
      <w:r>
        <w:rPr/>
        <w:t xml:space="preserve"> </w:t>
      </w:r>
    </w:p>
  </w:footnote>
  <w:footnote w:id="6">
    <w:p>
      <w:pPr>
        <w:pStyle w:val="FootnoteText"/>
        <w:rPr/>
      </w:pPr>
      <w:r>
        <w:rPr>
          <w:rStyle w:val="FootnoteCharacters"/>
        </w:rPr>
        <w:footnoteRef/>
      </w:r>
      <w:r>
        <w:rPr/>
        <w:t xml:space="preserve"> </w:t>
      </w:r>
      <w:r>
        <w:rPr>
          <w:sz w:val="20"/>
        </w:rPr>
        <w:t xml:space="preserve">Citing </w:t>
      </w:r>
      <w:r>
        <w:rPr>
          <w:i/>
          <w:iCs/>
          <w:sz w:val="20"/>
        </w:rPr>
        <w:t xml:space="preserve">Kaiser Aetna </w:t>
      </w:r>
      <w:r>
        <w:rPr>
          <w:sz w:val="20"/>
        </w:rPr>
        <w:t xml:space="preserve">v. </w:t>
      </w:r>
      <w:r>
        <w:rPr>
          <w:i/>
          <w:iCs/>
          <w:sz w:val="20"/>
        </w:rPr>
        <w:t>United States</w:t>
      </w:r>
      <w:r>
        <w:rPr>
          <w:sz w:val="20"/>
        </w:rPr>
        <w:t>, 444 U.S. 175, 20-22.</w:t>
      </w:r>
    </w:p>
  </w:footnote>
  <w:footnote w:id="7">
    <w:p>
      <w:pPr>
        <w:pStyle w:val="FootnoteText"/>
        <w:jc w:val="both"/>
        <w:rPr/>
      </w:pPr>
      <w:r>
        <w:rPr>
          <w:rStyle w:val="FootnoteCharacters"/>
        </w:rPr>
        <w:footnoteRef/>
      </w:r>
      <w:r>
        <w:rPr/>
        <w:t xml:space="preserve"> </w:t>
      </w:r>
      <w:r>
        <w:rPr>
          <w:sz w:val="20"/>
        </w:rPr>
        <w:t>It is interesting to note that even the dissenters to this case stated that, “an unfair retroactive assessment of liability upsets settled expectations, and it thereby undermines a basic objective of law itself.”  Id. at 2163.</w:t>
      </w:r>
    </w:p>
  </w:footnote>
  <w:footnote w:id="8">
    <w:p>
      <w:pPr>
        <w:pStyle w:val="FootnoteText"/>
        <w:rPr/>
      </w:pPr>
      <w:r>
        <w:rPr>
          <w:rStyle w:val="FootnoteCharacters"/>
        </w:rPr>
        <w:footnoteRef/>
      </w:r>
      <w:r>
        <w:rPr/>
        <w:t xml:space="preserve"> </w:t>
      </w:r>
      <w:r>
        <w:rPr>
          <w:sz w:val="20"/>
        </w:rPr>
        <w:t xml:space="preserve">Volume One, Third Edition of his treatise entitled </w:t>
      </w:r>
      <w:r>
        <w:rPr>
          <w:i/>
          <w:iCs/>
          <w:sz w:val="20"/>
        </w:rPr>
        <w:t>American Constitutional Law</w:t>
      </w:r>
      <w:r>
        <w:rPr>
          <w:sz w:val="20"/>
        </w:rPr>
        <w:t>, at page 1335.</w:t>
      </w:r>
    </w:p>
  </w:footnote>
  <w:footnote w:id="9">
    <w:p>
      <w:pPr>
        <w:pStyle w:val="FootnoteText"/>
        <w:jc w:val="both"/>
        <w:rPr/>
      </w:pPr>
      <w:r>
        <w:rPr>
          <w:rStyle w:val="FootnoteCharacters"/>
        </w:rPr>
        <w:footnoteRef/>
      </w:r>
      <w:r>
        <w:rPr/>
        <w:t xml:space="preserve"> </w:t>
      </w:r>
      <w:r>
        <w:rPr>
          <w:sz w:val="20"/>
        </w:rPr>
        <w:t>“…</w:t>
      </w:r>
      <w:r>
        <w:rPr>
          <w:sz w:val="20"/>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footnote>
  <w:footnote w:id="10">
    <w:p>
      <w:pPr>
        <w:pStyle w:val="HTMLPreformatted"/>
        <w:rPr/>
      </w:pPr>
      <w:r>
        <w:rPr>
          <w:rStyle w:val="FootnoteCharacters"/>
        </w:rPr>
        <w:footnoteRef/>
      </w:r>
      <w:r>
        <w:rPr/>
        <w:t xml:space="preserve"> </w:t>
      </w:r>
      <w:r>
        <w:rPr>
          <w:rFonts w:cs="Times New Roman" w:ascii="Times New Roman" w:hAnsi="Times New Roman"/>
        </w:rPr>
        <w:t>“</w:t>
      </w:r>
      <w:r>
        <w:rPr>
          <w:rFonts w:cs="Times New Roman" w:ascii="Times New Roman" w:hAnsi="Times New Roman"/>
        </w:rPr>
        <w:t xml:space="preserve">A person may not be deprived of life, liberty, or property without </w:t>
      </w:r>
      <w:r>
        <w:rPr>
          <w:rStyle w:val="Strong"/>
          <w:rFonts w:cs="Times New Roman" w:ascii="Times New Roman" w:hAnsi="Times New Roman"/>
          <w:b w:val="false"/>
          <w:bCs w:val="false"/>
        </w:rPr>
        <w:t>due</w:t>
      </w:r>
      <w:r>
        <w:rPr>
          <w:rFonts w:cs="Times New Roman" w:ascii="Times New Roman" w:hAnsi="Times New Roman"/>
          <w:b/>
          <w:bCs/>
        </w:rPr>
        <w:t xml:space="preserve"> </w:t>
      </w:r>
      <w:r>
        <w:rPr>
          <w:rStyle w:val="Strong"/>
          <w:rFonts w:cs="Times New Roman" w:ascii="Times New Roman" w:hAnsi="Times New Roman"/>
          <w:b w:val="false"/>
          <w:bCs w:val="false"/>
        </w:rPr>
        <w:t>process</w:t>
      </w:r>
      <w:r>
        <w:rPr>
          <w:rFonts w:cs="Times New Roman" w:ascii="Times New Roman" w:hAnsi="Times New Roman"/>
        </w:rPr>
        <w:t xml:space="preserve"> of law or denied equal protection of the laws…”</w:t>
      </w:r>
    </w:p>
  </w:footnote>
  <w:footnote w:id="11">
    <w:p>
      <w:pPr>
        <w:pStyle w:val="FootnoteText"/>
        <w:rPr/>
      </w:pPr>
      <w:r>
        <w:rPr>
          <w:rStyle w:val="FootnoteCharacters"/>
        </w:rPr>
        <w:footnoteRef/>
      </w:r>
      <w:r>
        <w:rPr/>
        <w:t xml:space="preserve"> </w:t>
      </w:r>
      <w:r>
        <w:rPr>
          <w:sz w:val="20"/>
        </w:rPr>
        <w:t>Exit fees may have the perverse incentive of encouraging high DWR costs because high exit fees will deter movement to direct access. [Footnote in original.]</w:t>
      </w:r>
    </w:p>
  </w:footnote>
  <w:footnote w:id="12">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13">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 w:id="14">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15">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8"/>
      <w:numFmt w:val="upperRoman"/>
      <w:lvlText w:val="%1."/>
      <w:lvlJc w:val="start"/>
      <w:pPr>
        <w:tabs>
          <w:tab w:val="num" w:pos="3600"/>
        </w:tabs>
        <w:ind w:start="3600" w:hanging="720"/>
      </w:pPr>
      <w:rPr>
        <w:u w:val="none"/>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firstLine="720" w:start="3600" w:end="-180"/>
      <w:outlineLvl w:val="2"/>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paragraph" w:styleId="Heading5">
    <w:name w:val="heading 5"/>
    <w:basedOn w:val="Normal"/>
    <w:next w:val="Normal"/>
    <w:qFormat/>
    <w:pPr>
      <w:keepNext w:val="true"/>
      <w:numPr>
        <w:ilvl w:val="0"/>
        <w:numId w:val="5"/>
      </w:numPr>
      <w:tabs>
        <w:tab w:val="clear" w:pos="720"/>
        <w:tab w:val="left" w:pos="-720" w:leader="none"/>
      </w:tabs>
      <w:suppressAutoHyphens w:val="true"/>
      <w:ind w:hanging="0" w:start="0" w:end="0"/>
      <w:jc w:val="center"/>
      <w:outlineLvl w:val="4"/>
    </w:pPr>
    <w:rPr>
      <w:b/>
      <w:bCs/>
      <w:spacing w:val="-3"/>
      <w:u w:val="single"/>
    </w:rPr>
  </w:style>
  <w:style w:type="character" w:styleId="WW8Num1z0">
    <w:name w:val="WW8Num1z0"/>
    <w:qFormat/>
    <w:rPr>
      <w:rFonts w:ascii="Symbol" w:hAnsi="Symbol" w:cs="Symbol"/>
    </w:rPr>
  </w:style>
  <w:style w:type="character" w:styleId="WW8Num2z0">
    <w:name w:val="WW8Num2z0"/>
    <w:qFormat/>
    <w:rPr>
      <w:b/>
      <w:sz w:val="24"/>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u w:val="none"/>
    </w:rPr>
  </w:style>
  <w:style w:type="character" w:styleId="WW8Num7z0">
    <w:name w:val="WW8Num7z0"/>
    <w:qFormat/>
    <w:rPr>
      <w:b/>
      <w:sz w:val="24"/>
    </w:rPr>
  </w:style>
  <w:style w:type="character" w:styleId="WW8Num8z0">
    <w:name w:val="WW8Num8z0"/>
    <w:qFormat/>
    <w:rPr>
      <w:b/>
      <w:sz w:val="24"/>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u w:val="none"/>
    </w:rPr>
  </w:style>
  <w:style w:type="character" w:styleId="WW8Num11z0">
    <w:name w:val="WW8Num11z0"/>
    <w:qFormat/>
    <w:rPr>
      <w:b/>
      <w:sz w:val="24"/>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z w:val="24"/>
    </w:rPr>
  </w:style>
  <w:style w:type="character" w:styleId="WW8Num14z0">
    <w:name w:val="WW8Num14z0"/>
    <w:qFormat/>
    <w:rPr>
      <w:rFonts w:ascii="Symbol" w:hAnsi="Symbol" w:cs="Symbol"/>
    </w:rPr>
  </w:style>
  <w:style w:type="character" w:styleId="WW8Num14z1">
    <w:name w:val="WW8Num14z1"/>
    <w:qFormat/>
    <w:rPr>
      <w:b/>
      <w:i w:val="false"/>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b/>
      <w:sz w:val="24"/>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zMemoInfo">
    <w:name w:val="zMemoInfo"/>
    <w:basedOn w:val="Normal"/>
    <w:qFormat/>
    <w:pPr>
      <w:widowControl w:val="false"/>
      <w:suppressAutoHyphens w:val="true"/>
      <w:overflowPunct w:val="false"/>
      <w:autoSpaceDE w:val="false"/>
      <w:spacing w:before="66" w:after="112"/>
      <w:textAlignment w:val="baseline"/>
    </w:pPr>
    <w:rPr>
      <w:szCs w:val="20"/>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440" w:leader="none"/>
        <w:tab w:val="left" w:pos="3600" w:leader="none"/>
      </w:tabs>
    </w:pPr>
    <w:rPr>
      <w:sz w:val="22"/>
    </w:rPr>
  </w:style>
  <w:style w:type="paragraph" w:styleId="body">
    <w:name w:val="body"/>
    <w:basedOn w:val="Normal"/>
    <w:qFormat/>
    <w:pPr>
      <w:spacing w:before="240" w:after="0"/>
      <w:jc w:val="both"/>
    </w:pPr>
    <w:rPr>
      <w:rFonts w:ascii="New York" w:hAnsi="New York" w:cs="New York"/>
      <w:spacing w:val="-5"/>
      <w:sz w:val="22"/>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2001-09-04T14:22:00Z</dcterms:created>
  <dc:creator>Daniel W. Douglass</dc:creator>
  <dc:description/>
  <dc:language>en-CA</dc:language>
  <cp:lastModifiedBy>Daniel W. Douglass</cp:lastModifiedBy>
  <cp:lastPrinted>2001-09-04T10:18:00Z</cp:lastPrinted>
  <dcterms:modified xsi:type="dcterms:W3CDTF">2001-09-04T15:02:00Z</dcterms:modified>
  <cp:revision>12</cp:revision>
  <dc:subject/>
  <dc:title>BEFORE THE PUBLIC UTILITIES COMMISSION</dc:title>
</cp:coreProperties>
</file>