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lang w:val="en-CA"/>
        </w:rPr>
        <mc:AlternateContent>
          <mc:Choice Requires="wps">
            <w:drawing>
              <wp:anchor behindDoc="0" distT="0" distB="0" distL="0" distR="0" simplePos="0" locked="0" layoutInCell="1" allowOverlap="1" relativeHeight="4">
                <wp:simplePos x="0" y="0"/>
                <wp:positionH relativeFrom="column">
                  <wp:posOffset>4006215</wp:posOffset>
                </wp:positionH>
                <wp:positionV relativeFrom="paragraph">
                  <wp:posOffset>-462280</wp:posOffset>
                </wp:positionV>
                <wp:extent cx="1981200" cy="1752600"/>
                <wp:effectExtent l="0" t="0" r="0" b="0"/>
                <wp:wrapNone/>
                <wp:docPr id="1" name=""/>
                <a:graphic xmlns:a="http://schemas.openxmlformats.org/drawingml/2006/main">
                  <a:graphicData uri="http://schemas.microsoft.com/office/word/2010/wordprocessingShape">
                    <wps:wsp>
                      <wps:cNvSpPr txBox="1"/>
                      <wps:spPr>
                        <a:xfrm>
                          <a:off x="0" y="0"/>
                          <a:ext cx="1981080" cy="1752480"/>
                        </a:xfrm>
                        <a:prstGeom prst="rect">
                          <a:avLst/>
                        </a:prstGeom>
                        <a:noFill/>
                        <a:ln w="0">
                          <a:noFill/>
                        </a:ln>
                      </wps:spPr>
                      <wps:txbx>
                        <w:txbxContent>
                          <w:p>
                            <w:pPr>
                              <w:overflowPunct w:val="false"/>
                              <w:bidi w:val="0"/>
                              <w:rPr/>
                            </w:pPr>
                            <w:r>
                              <w:rPr>
                                <w:kern w:val="2"/>
                                <w:sz w:val="22"/>
                                <w:b/>
                                <w:szCs w:val="22"/>
                                <w:bCs/>
                                <w:rFonts w:ascii="Times New Roman" w:hAnsi="Times New Roman" w:eastAsia="Times New Roman" w:cs="Times New Roman"/>
                                <w:color w:val="auto"/>
                                <w:lang w:val="en-US"/>
                              </w:rPr>
                              <w:t>Media Contacts:</w:t>
                            </w:r>
                          </w:p>
                          <w:p>
                            <w:pPr>
                              <w:overflowPunct w:val="false"/>
                              <w:bidi w:val="0"/>
                              <w:rPr/>
                            </w:pPr>
                            <w:r>
                              <w:rPr>
                                <w:kern w:val="2"/>
                                <w:sz w:val="22"/>
                                <w:szCs w:val="22"/>
                                <w:rFonts w:ascii="Times New Roman" w:hAnsi="Times New Roman" w:eastAsia="Times New Roman" w:cs="Times New Roman"/>
                                <w:color w:val="auto"/>
                                <w:lang w:val="en-US"/>
                              </w:rPr>
                              <w:t>Tracy Fairchild</w:t>
                            </w:r>
                          </w:p>
                          <w:p>
                            <w:pPr>
                              <w:overflowPunct w:val="false"/>
                              <w:bidi w:val="0"/>
                              <w:rPr/>
                            </w:pPr>
                            <w:r>
                              <w:rPr>
                                <w:kern w:val="2"/>
                                <w:sz w:val="22"/>
                                <w:szCs w:val="22"/>
                                <w:rFonts w:ascii="Times New Roman" w:hAnsi="Times New Roman" w:eastAsia="Times New Roman" w:cs="Times New Roman"/>
                                <w:color w:val="auto"/>
                                <w:lang w:val="en-US"/>
                              </w:rPr>
                              <w:t>916-442-2331</w:t>
                            </w:r>
                          </w:p>
                          <w:p>
                            <w:pPr>
                              <w:overflowPunct w:val="false"/>
                              <w:bidi w:val="0"/>
                              <w:rPr/>
                            </w:pPr>
                            <w:r>
                              <w:rPr>
                                <w:kern w:val="2"/>
                                <w:sz w:val="22"/>
                                <w:szCs w:val="22"/>
                                <w:rFonts w:ascii="Times New Roman" w:hAnsi="Times New Roman" w:eastAsia="Times New Roman" w:cs="Times New Roman"/>
                                <w:color w:val="auto"/>
                                <w:lang w:val="en-US"/>
                              </w:rPr>
                              <w:t>916-835-9007 mobile/weekend</w:t>
                            </w:r>
                          </w:p>
                          <w:p>
                            <w:pPr>
                              <w:overflowPunct w:val="false"/>
                              <w:bidi w:val="0"/>
                              <w:rPr/>
                            </w:pPr>
                            <w:r>
                              <w:rPr>
                                <w:kern w:val="2"/>
                                <w:sz w:val="22"/>
                                <w:szCs w:val="22"/>
                                <w:rFonts w:ascii="Times New Roman" w:hAnsi="Times New Roman" w:eastAsia="Times New Roman" w:cs="Times New Roman"/>
                                <w:color w:val="auto"/>
                                <w:lang w:val="en-US"/>
                              </w:rPr>
                              <w:t>tracy.fairchild@edelman.com</w:t>
                            </w:r>
                          </w:p>
                          <w:p>
                            <w:pPr>
                              <w:overflowPunct w:val="false"/>
                              <w:bidi w:val="0"/>
                              <w:rPr/>
                            </w:pPr>
                            <w:r>
                              <w:rPr>
                                <w:szCs w:val="24"/>
                                <w:kern w:val="2"/>
                                <w:sz w:val="24"/>
                                <w:rFonts w:cs="NotoSans NF" w:eastAsia="Liberation Sans" w:ascii="Liberation Serif" w:hAnsi="Liberation Serif"/>
                                <w:lang w:val="en-CA"/>
                              </w:rPr>
                            </w:r>
                          </w:p>
                          <w:p>
                            <w:pPr>
                              <w:overflowPunct w:val="false"/>
                              <w:bidi w:val="0"/>
                              <w:rPr/>
                            </w:pPr>
                            <w:r>
                              <w:rPr>
                                <w:kern w:val="2"/>
                                <w:sz w:val="22"/>
                                <w:szCs w:val="22"/>
                                <w:rFonts w:ascii="Times New Roman" w:hAnsi="Times New Roman" w:eastAsia="Times New Roman" w:cs="Times New Roman"/>
                                <w:color w:val="auto"/>
                                <w:lang w:val="en-US"/>
                              </w:rPr>
                              <w:t>Erica Manuel</w:t>
                            </w:r>
                          </w:p>
                          <w:p>
                            <w:pPr>
                              <w:overflowPunct w:val="false"/>
                              <w:bidi w:val="0"/>
                              <w:rPr/>
                            </w:pPr>
                            <w:r>
                              <w:rPr>
                                <w:kern w:val="2"/>
                                <w:sz w:val="22"/>
                                <w:szCs w:val="22"/>
                                <w:rFonts w:ascii="Times New Roman" w:hAnsi="Times New Roman" w:eastAsia="Times New Roman" w:cs="Times New Roman"/>
                                <w:color w:val="auto"/>
                                <w:lang w:val="en-US"/>
                              </w:rPr>
                              <w:t>916-442-2331</w:t>
                            </w:r>
                          </w:p>
                          <w:p>
                            <w:pPr>
                              <w:overflowPunct w:val="false"/>
                              <w:bidi w:val="0"/>
                              <w:rPr/>
                            </w:pPr>
                            <w:r>
                              <w:rPr>
                                <w:kern w:val="2"/>
                                <w:sz w:val="22"/>
                                <w:szCs w:val="22"/>
                                <w:rFonts w:ascii="Times New Roman" w:hAnsi="Times New Roman" w:eastAsia="Times New Roman" w:cs="Times New Roman"/>
                                <w:color w:val="auto"/>
                                <w:lang w:val="en-US"/>
                              </w:rPr>
                              <w:t>916-201-5029 mobile/weekend</w:t>
                            </w:r>
                          </w:p>
                          <w:p>
                            <w:pPr>
                              <w:overflowPunct w:val="false"/>
                              <w:bidi w:val="0"/>
                              <w:rPr/>
                            </w:pPr>
                            <w:r>
                              <w:rPr>
                                <w:kern w:val="2"/>
                                <w:sz w:val="22"/>
                                <w:szCs w:val="22"/>
                                <w:rFonts w:ascii="Times New Roman" w:hAnsi="Times New Roman" w:eastAsia="Times New Roman" w:cs="Times New Roman"/>
                                <w:color w:val="auto"/>
                                <w:lang w:val="en-US"/>
                              </w:rPr>
                              <w:t xml:space="preserve">erica.manuel@edelman.com </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315.45pt;margin-top:-36.4pt;width:155.95pt;height:137.95pt;mso-wrap-style:square;v-text-anchor:top" type="_x0000_t202">
                <v:textbox>
                  <w:txbxContent>
                    <w:p>
                      <w:pPr>
                        <w:overflowPunct w:val="false"/>
                        <w:bidi w:val="0"/>
                        <w:rPr/>
                      </w:pPr>
                      <w:r>
                        <w:rPr>
                          <w:kern w:val="2"/>
                          <w:sz w:val="22"/>
                          <w:b/>
                          <w:szCs w:val="22"/>
                          <w:bCs/>
                          <w:rFonts w:ascii="Times New Roman" w:hAnsi="Times New Roman" w:eastAsia="Times New Roman" w:cs="Times New Roman"/>
                          <w:color w:val="auto"/>
                          <w:lang w:val="en-US"/>
                        </w:rPr>
                        <w:t>Media Contacts:</w:t>
                      </w:r>
                    </w:p>
                    <w:p>
                      <w:pPr>
                        <w:overflowPunct w:val="false"/>
                        <w:bidi w:val="0"/>
                        <w:rPr/>
                      </w:pPr>
                      <w:r>
                        <w:rPr>
                          <w:kern w:val="2"/>
                          <w:sz w:val="22"/>
                          <w:szCs w:val="22"/>
                          <w:rFonts w:ascii="Times New Roman" w:hAnsi="Times New Roman" w:eastAsia="Times New Roman" w:cs="Times New Roman"/>
                          <w:color w:val="auto"/>
                          <w:lang w:val="en-US"/>
                        </w:rPr>
                        <w:t>Tracy Fairchild</w:t>
                      </w:r>
                    </w:p>
                    <w:p>
                      <w:pPr>
                        <w:overflowPunct w:val="false"/>
                        <w:bidi w:val="0"/>
                        <w:rPr/>
                      </w:pPr>
                      <w:r>
                        <w:rPr>
                          <w:kern w:val="2"/>
                          <w:sz w:val="22"/>
                          <w:szCs w:val="22"/>
                          <w:rFonts w:ascii="Times New Roman" w:hAnsi="Times New Roman" w:eastAsia="Times New Roman" w:cs="Times New Roman"/>
                          <w:color w:val="auto"/>
                          <w:lang w:val="en-US"/>
                        </w:rPr>
                        <w:t>916-442-2331</w:t>
                      </w:r>
                    </w:p>
                    <w:p>
                      <w:pPr>
                        <w:overflowPunct w:val="false"/>
                        <w:bidi w:val="0"/>
                        <w:rPr/>
                      </w:pPr>
                      <w:r>
                        <w:rPr>
                          <w:kern w:val="2"/>
                          <w:sz w:val="22"/>
                          <w:szCs w:val="22"/>
                          <w:rFonts w:ascii="Times New Roman" w:hAnsi="Times New Roman" w:eastAsia="Times New Roman" w:cs="Times New Roman"/>
                          <w:color w:val="auto"/>
                          <w:lang w:val="en-US"/>
                        </w:rPr>
                        <w:t>916-835-9007 mobile/weekend</w:t>
                      </w:r>
                    </w:p>
                    <w:p>
                      <w:pPr>
                        <w:overflowPunct w:val="false"/>
                        <w:bidi w:val="0"/>
                        <w:rPr/>
                      </w:pPr>
                      <w:r>
                        <w:rPr>
                          <w:kern w:val="2"/>
                          <w:sz w:val="22"/>
                          <w:szCs w:val="22"/>
                          <w:rFonts w:ascii="Times New Roman" w:hAnsi="Times New Roman" w:eastAsia="Times New Roman" w:cs="Times New Roman"/>
                          <w:color w:val="auto"/>
                          <w:lang w:val="en-US"/>
                        </w:rPr>
                        <w:t>tracy.fairchild@edelman.com</w:t>
                      </w:r>
                    </w:p>
                    <w:p>
                      <w:pPr>
                        <w:overflowPunct w:val="false"/>
                        <w:bidi w:val="0"/>
                        <w:rPr/>
                      </w:pPr>
                      <w:r>
                        <w:rPr>
                          <w:szCs w:val="24"/>
                          <w:kern w:val="2"/>
                          <w:sz w:val="24"/>
                          <w:rFonts w:cs="NotoSans NF" w:eastAsia="Liberation Sans" w:ascii="Liberation Serif" w:hAnsi="Liberation Serif"/>
                          <w:lang w:val="en-CA"/>
                        </w:rPr>
                      </w:r>
                    </w:p>
                    <w:p>
                      <w:pPr>
                        <w:overflowPunct w:val="false"/>
                        <w:bidi w:val="0"/>
                        <w:rPr/>
                      </w:pPr>
                      <w:r>
                        <w:rPr>
                          <w:kern w:val="2"/>
                          <w:sz w:val="22"/>
                          <w:szCs w:val="22"/>
                          <w:rFonts w:ascii="Times New Roman" w:hAnsi="Times New Roman" w:eastAsia="Times New Roman" w:cs="Times New Roman"/>
                          <w:color w:val="auto"/>
                          <w:lang w:val="en-US"/>
                        </w:rPr>
                        <w:t>Erica Manuel</w:t>
                      </w:r>
                    </w:p>
                    <w:p>
                      <w:pPr>
                        <w:overflowPunct w:val="false"/>
                        <w:bidi w:val="0"/>
                        <w:rPr/>
                      </w:pPr>
                      <w:r>
                        <w:rPr>
                          <w:kern w:val="2"/>
                          <w:sz w:val="22"/>
                          <w:szCs w:val="22"/>
                          <w:rFonts w:ascii="Times New Roman" w:hAnsi="Times New Roman" w:eastAsia="Times New Roman" w:cs="Times New Roman"/>
                          <w:color w:val="auto"/>
                          <w:lang w:val="en-US"/>
                        </w:rPr>
                        <w:t>916-442-2331</w:t>
                      </w:r>
                    </w:p>
                    <w:p>
                      <w:pPr>
                        <w:overflowPunct w:val="false"/>
                        <w:bidi w:val="0"/>
                        <w:rPr/>
                      </w:pPr>
                      <w:r>
                        <w:rPr>
                          <w:kern w:val="2"/>
                          <w:sz w:val="22"/>
                          <w:szCs w:val="22"/>
                          <w:rFonts w:ascii="Times New Roman" w:hAnsi="Times New Roman" w:eastAsia="Times New Roman" w:cs="Times New Roman"/>
                          <w:color w:val="auto"/>
                          <w:lang w:val="en-US"/>
                        </w:rPr>
                        <w:t>916-201-5029 mobile/weekend</w:t>
                      </w:r>
                    </w:p>
                    <w:p>
                      <w:pPr>
                        <w:overflowPunct w:val="false"/>
                        <w:bidi w:val="0"/>
                        <w:rPr/>
                      </w:pPr>
                      <w:r>
                        <w:rPr>
                          <w:kern w:val="2"/>
                          <w:sz w:val="22"/>
                          <w:szCs w:val="22"/>
                          <w:rFonts w:ascii="Times New Roman" w:hAnsi="Times New Roman" w:eastAsia="Times New Roman" w:cs="Times New Roman"/>
                          <w:color w:val="auto"/>
                          <w:lang w:val="en-US"/>
                        </w:rPr>
                        <w:t xml:space="preserve">erica.manuel@edelman.com </w:t>
                      </w:r>
                    </w:p>
                  </w:txbxContent>
                </v:textbox>
                <v:fill o:detectmouseclick="t" on="false"/>
                <v:stroke color="#3465a4" joinstyle="round" endcap="flat"/>
                <w10:wrap type="none"/>
              </v:shape>
            </w:pict>
          </mc:Fallback>
        </mc:AlternateContent>
        <w:drawing>
          <wp:inline distT="0" distB="0" distL="0" distR="0">
            <wp:extent cx="1371600" cy="10991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1371600" cy="1099185"/>
                    </a:xfrm>
                    <a:prstGeom prst="rect">
                      <a:avLst/>
                    </a:prstGeom>
                    <a:noFill/>
                  </pic:spPr>
                </pic:pic>
              </a:graphicData>
            </a:graphic>
          </wp:inline>
        </w:drawing>
        <mc:AlternateContent>
          <mc:Choice Requires="wps">
            <w:drawing>
              <wp:anchor behindDoc="0" distT="0" distB="0" distL="0" distR="0" simplePos="0" locked="0" layoutInCell="1" allowOverlap="1" relativeHeight="3">
                <wp:simplePos x="0" y="0"/>
                <wp:positionH relativeFrom="column">
                  <wp:posOffset>-62865</wp:posOffset>
                </wp:positionH>
                <wp:positionV relativeFrom="paragraph">
                  <wp:posOffset>-568960</wp:posOffset>
                </wp:positionV>
                <wp:extent cx="1676400" cy="1173480"/>
                <wp:effectExtent l="0" t="0" r="0" b="0"/>
                <wp:wrapNone/>
                <wp:docPr id="3" name=""/>
                <a:graphic xmlns:a="http://schemas.openxmlformats.org/drawingml/2006/main">
                  <a:graphicData uri="http://schemas.microsoft.com/office/word/2010/wordprocessingShape">
                    <wps:wsp>
                      <wps:cNvSpPr txBox="1"/>
                      <wps:spPr>
                        <a:xfrm>
                          <a:off x="0" y="0"/>
                          <a:ext cx="1676520" cy="1173600"/>
                        </a:xfrm>
                        <a:prstGeom prst="rect">
                          <a:avLst/>
                        </a:prstGeom>
                        <a:noFill/>
                        <a:ln w="0">
                          <a:noFill/>
                        </a:ln>
                      </wps:spPr>
                      <wps:bodyPr/>
                    </wps:wsp>
                  </a:graphicData>
                </a:graphic>
              </wp:anchor>
            </w:drawing>
          </mc:Choice>
          <mc:Fallback>
            <w:pict>
              <v:shape id="shape_0" stroked="f" o:allowincell="f" style="position:absolute;margin-left:-4.95pt;margin-top:-44.8pt;width:131.95pt;height:92.35pt;mso-wrap-style:none;v-text-anchor:middle" type="_x0000_t202">
                <v:fill o:detectmouseclick="t" on="false"/>
                <v:stroke color="#3465a4" joinstyle="round" endcap="flat"/>
                <w10:wrap type="none"/>
              </v:shape>
            </w:pict>
          </mc:Fallback>
        </mc:AlternateContent>
      </w:r>
    </w:p>
    <w:p>
      <w:pPr>
        <w:pStyle w:val="Normal"/>
        <w:jc w:val="center"/>
        <w:rPr>
          <w:b/>
          <w:bCs/>
          <w:sz w:val="32"/>
          <w:szCs w:val="32"/>
        </w:rPr>
      </w:pPr>
      <w:r>
        <w:rPr>
          <w:b/>
          <w:bCs/>
          <w:sz w:val="32"/>
          <w:szCs w:val="32"/>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FOR IMMEDIATE RELEASE</w:t>
      </w:r>
    </w:p>
    <w:p>
      <w:pPr>
        <w:pStyle w:val="Normal"/>
        <w:rPr>
          <w:sz w:val="32"/>
          <w:szCs w:val="32"/>
        </w:rPr>
      </w:pPr>
      <w:r>
        <w:rPr>
          <w:sz w:val="24"/>
          <w:szCs w:val="24"/>
        </w:rPr>
        <w:t>September 28, 2001</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b/>
          <w:bCs/>
          <w:sz w:val="26"/>
          <w:szCs w:val="26"/>
        </w:rPr>
      </w:pPr>
      <w:r>
        <w:rPr>
          <w:b/>
          <w:bCs/>
          <w:sz w:val="26"/>
          <w:szCs w:val="26"/>
        </w:rPr>
        <w:t>CITIZENS, BUSINESS ORGANIZATIONS, ENERGY SERVICE PROVIDERS CHALLENGE PUC’S LEGAL AUTHORITY TO SUSPEND DIRECT ACCESS</w:t>
      </w:r>
    </w:p>
    <w:p>
      <w:pPr>
        <w:pStyle w:val="Normal"/>
        <w:jc w:val="center"/>
        <w:rPr>
          <w:b/>
          <w:bCs/>
          <w:i/>
          <w:i/>
          <w:iCs/>
          <w:sz w:val="28"/>
          <w:szCs w:val="28"/>
        </w:rPr>
      </w:pPr>
      <w:r>
        <w:rPr>
          <w:b/>
          <w:bCs/>
          <w:i/>
          <w:iCs/>
          <w:sz w:val="26"/>
          <w:szCs w:val="26"/>
        </w:rPr>
        <w:t>Energy Coalition Files Application for Rehearing with PUC</w:t>
      </w:r>
    </w:p>
    <w:p>
      <w:pPr>
        <w:pStyle w:val="Normal"/>
        <w:jc w:val="center"/>
        <w:rPr>
          <w:b/>
          <w:bCs/>
          <w:i/>
          <w:i/>
          <w:iCs/>
          <w:sz w:val="28"/>
          <w:szCs w:val="28"/>
        </w:rPr>
      </w:pPr>
      <w:r>
        <w:rPr>
          <w:b/>
          <w:bCs/>
          <w:i/>
          <w:iCs/>
          <w:sz w:val="28"/>
          <w:szCs w:val="28"/>
        </w:rPr>
      </w:r>
    </w:p>
    <w:p>
      <w:pPr>
        <w:pStyle w:val="Normal"/>
        <w:rPr/>
      </w:pPr>
      <w:r>
        <w:rPr>
          <w:b/>
          <w:bCs/>
          <w:sz w:val="22"/>
          <w:szCs w:val="22"/>
        </w:rPr>
        <w:t>Sacramento, CA</w:t>
      </w:r>
      <w:r>
        <w:rPr>
          <w:sz w:val="22"/>
          <w:szCs w:val="22"/>
        </w:rPr>
        <w:t xml:space="preserve"> - A group of concerned citizens, business organizations and energy service providers today filed an Application for Rehearing with the Public Utilities Commission (PUC) citing that the PUC did not have valid reasons for suspending direct access on September 20 and has no right to abrogate contracts retroactively, as it has threatened.</w:t>
      </w:r>
    </w:p>
    <w:p>
      <w:pPr>
        <w:pStyle w:val="Normal"/>
        <w:rPr>
          <w:sz w:val="22"/>
          <w:szCs w:val="22"/>
        </w:rPr>
      </w:pPr>
      <w:r>
        <w:rPr>
          <w:sz w:val="22"/>
          <w:szCs w:val="22"/>
        </w:rPr>
      </w:r>
    </w:p>
    <w:p>
      <w:pPr>
        <w:pStyle w:val="Normal"/>
        <w:rPr>
          <w:sz w:val="22"/>
          <w:szCs w:val="22"/>
        </w:rPr>
      </w:pPr>
      <w:r>
        <w:rPr>
          <w:sz w:val="22"/>
          <w:szCs w:val="22"/>
        </w:rPr>
        <w:t xml:space="preserve">In accordance with the PUC Rules of Practice and Procedure, the Alliance for Retail Energy Markets (AReM) and other business groups and concerned citizens filed an Application for Rehearing that identifies the errors of law made by the PUC in its order suspending direct access. AReM cited the following primary reasons for why rehearing should be granted: </w:t>
      </w:r>
    </w:p>
    <w:p>
      <w:pPr>
        <w:pStyle w:val="Normal"/>
        <w:rPr>
          <w:sz w:val="22"/>
          <w:szCs w:val="22"/>
        </w:rPr>
      </w:pPr>
      <w:r>
        <w:rPr>
          <w:sz w:val="22"/>
          <w:szCs w:val="22"/>
        </w:rPr>
      </w:r>
    </w:p>
    <w:p>
      <w:pPr>
        <w:pStyle w:val="Normal"/>
        <w:tabs>
          <w:tab w:val="left" w:pos="720" w:leader="none"/>
        </w:tabs>
        <w:ind w:hanging="360" w:start="360" w:end="0"/>
        <w:rPr/>
      </w:pPr>
      <w:r>
        <w:rPr>
          <w:rFonts w:eastAsia="Symbol" w:cs="Symbol" w:ascii="Symbol" w:hAnsi="Symbol"/>
          <w:sz w:val="22"/>
          <w:szCs w:val="22"/>
        </w:rPr>
        <w:sym w:font="Symbol" w:char="f0b7"/>
      </w:r>
      <w:r>
        <w:rPr>
          <w:rFonts w:eastAsia="Symbol" w:cs="Symbol" w:ascii="Symbol" w:hAnsi="Symbol"/>
          <w:sz w:val="22"/>
          <w:szCs w:val="22"/>
        </w:rPr>
        <w:tab/>
      </w:r>
      <w:r>
        <w:rPr>
          <w:sz w:val="22"/>
          <w:szCs w:val="22"/>
        </w:rPr>
        <w:t xml:space="preserve">the decision violates procedural due process guarantees. </w:t>
      </w:r>
    </w:p>
    <w:p>
      <w:pPr>
        <w:pStyle w:val="Normal"/>
        <w:tabs>
          <w:tab w:val="left" w:pos="720" w:leader="none"/>
        </w:tabs>
        <w:ind w:hanging="360" w:start="360" w:end="0"/>
        <w:rPr/>
      </w:pPr>
      <w:r>
        <w:rPr>
          <w:rFonts w:eastAsia="Symbol" w:cs="Symbol" w:ascii="Symbol" w:hAnsi="Symbol"/>
          <w:sz w:val="22"/>
          <w:szCs w:val="22"/>
        </w:rPr>
        <w:sym w:font="Symbol" w:char="f0b7"/>
      </w:r>
      <w:r>
        <w:rPr>
          <w:rFonts w:eastAsia="Symbol" w:cs="Symbol" w:ascii="Symbol" w:hAnsi="Symbol"/>
          <w:sz w:val="22"/>
          <w:szCs w:val="22"/>
        </w:rPr>
        <w:tab/>
      </w:r>
      <w:r>
        <w:rPr>
          <w:sz w:val="22"/>
          <w:szCs w:val="22"/>
        </w:rPr>
        <w:t xml:space="preserve">the failure to hold hearings violates Public Utilities Code section 1708.5(f). </w:t>
      </w:r>
    </w:p>
    <w:p>
      <w:pPr>
        <w:pStyle w:val="Normal"/>
        <w:tabs>
          <w:tab w:val="left" w:pos="720" w:leader="none"/>
        </w:tabs>
        <w:ind w:hanging="360" w:start="360" w:end="0"/>
        <w:rPr/>
      </w:pPr>
      <w:r>
        <w:rPr>
          <w:rFonts w:eastAsia="Symbol" w:cs="Symbol" w:ascii="Symbol" w:hAnsi="Symbol"/>
          <w:sz w:val="22"/>
          <w:szCs w:val="22"/>
        </w:rPr>
        <w:sym w:font="Symbol" w:char="f0b7"/>
      </w:r>
      <w:r>
        <w:rPr>
          <w:rFonts w:eastAsia="Symbol" w:cs="Symbol" w:ascii="Symbol" w:hAnsi="Symbol"/>
          <w:sz w:val="22"/>
          <w:szCs w:val="22"/>
        </w:rPr>
        <w:tab/>
      </w:r>
      <w:r>
        <w:rPr>
          <w:sz w:val="22"/>
          <w:szCs w:val="22"/>
        </w:rPr>
        <w:t xml:space="preserve">the commission's reliance on material outside the record violates due process. </w:t>
      </w:r>
    </w:p>
    <w:p>
      <w:pPr>
        <w:pStyle w:val="Normal"/>
        <w:tabs>
          <w:tab w:val="left" w:pos="720" w:leader="none"/>
        </w:tabs>
        <w:ind w:hanging="360" w:start="360" w:end="0"/>
        <w:rPr/>
      </w:pPr>
      <w:r>
        <w:rPr>
          <w:rFonts w:eastAsia="Symbol" w:cs="Symbol" w:ascii="Symbol" w:hAnsi="Symbol"/>
          <w:sz w:val="22"/>
          <w:szCs w:val="22"/>
        </w:rPr>
        <w:sym w:font="Symbol" w:char="f0b7"/>
      </w:r>
      <w:r>
        <w:rPr>
          <w:rFonts w:eastAsia="Symbol" w:cs="Symbol" w:ascii="Symbol" w:hAnsi="Symbol"/>
          <w:sz w:val="22"/>
          <w:szCs w:val="22"/>
        </w:rPr>
        <w:tab/>
      </w:r>
      <w:r>
        <w:rPr>
          <w:sz w:val="22"/>
          <w:szCs w:val="22"/>
        </w:rPr>
        <w:t xml:space="preserve">the decision violates the Commerce Clause of the United States Constitution. </w:t>
      </w:r>
    </w:p>
    <w:p>
      <w:pPr>
        <w:pStyle w:val="Normal"/>
        <w:tabs>
          <w:tab w:val="left" w:pos="720" w:leader="none"/>
        </w:tabs>
        <w:ind w:hanging="360" w:start="360" w:end="0"/>
        <w:rPr/>
      </w:pPr>
      <w:r>
        <w:rPr>
          <w:rFonts w:eastAsia="Symbol" w:cs="Symbol" w:ascii="Symbol" w:hAnsi="Symbol"/>
          <w:sz w:val="22"/>
          <w:szCs w:val="22"/>
        </w:rPr>
        <w:sym w:font="Symbol" w:char="f0b7"/>
      </w:r>
      <w:r>
        <w:rPr>
          <w:rFonts w:eastAsia="Symbol" w:cs="Symbol" w:ascii="Symbol" w:hAnsi="Symbol"/>
          <w:sz w:val="22"/>
          <w:szCs w:val="22"/>
        </w:rPr>
        <w:tab/>
      </w:r>
      <w:r>
        <w:rPr>
          <w:sz w:val="22"/>
          <w:szCs w:val="22"/>
        </w:rPr>
        <w:t xml:space="preserve">the threatened retroactivity is contrary to law and in excess of the commission's authority. </w:t>
      </w:r>
    </w:p>
    <w:p>
      <w:pPr>
        <w:pStyle w:val="Normal"/>
        <w:tabs>
          <w:tab w:val="left" w:pos="720" w:leader="none"/>
        </w:tabs>
        <w:ind w:hanging="360" w:start="360" w:end="0"/>
        <w:rPr/>
      </w:pPr>
      <w:r>
        <w:rPr>
          <w:rFonts w:eastAsia="Symbol" w:cs="Symbol" w:ascii="Symbol" w:hAnsi="Symbol"/>
          <w:sz w:val="22"/>
          <w:szCs w:val="22"/>
        </w:rPr>
        <w:sym w:font="Symbol" w:char="f0b7"/>
      </w:r>
      <w:r>
        <w:rPr>
          <w:rFonts w:eastAsia="Symbol" w:cs="Symbol" w:ascii="Symbol" w:hAnsi="Symbol"/>
          <w:sz w:val="22"/>
          <w:szCs w:val="22"/>
        </w:rPr>
        <w:tab/>
      </w:r>
      <w:r>
        <w:rPr>
          <w:sz w:val="22"/>
          <w:szCs w:val="22"/>
        </w:rPr>
        <w:t xml:space="preserve">the commission acted contrary to law and in excess of its authority. </w:t>
      </w:r>
    </w:p>
    <w:p>
      <w:pPr>
        <w:pStyle w:val="Normal"/>
        <w:tabs>
          <w:tab w:val="left" w:pos="720" w:leader="none"/>
        </w:tabs>
        <w:ind w:hanging="360" w:start="360" w:end="0"/>
        <w:rPr/>
      </w:pPr>
      <w:r>
        <w:rPr>
          <w:rFonts w:eastAsia="Symbol" w:cs="Symbol" w:ascii="Symbol" w:hAnsi="Symbol"/>
          <w:sz w:val="22"/>
          <w:szCs w:val="22"/>
        </w:rPr>
        <w:sym w:font="Symbol" w:char="f0b7"/>
      </w:r>
      <w:r>
        <w:rPr>
          <w:rFonts w:eastAsia="Symbol" w:cs="Symbol" w:ascii="Symbol" w:hAnsi="Symbol"/>
          <w:sz w:val="22"/>
          <w:szCs w:val="22"/>
        </w:rPr>
        <w:tab/>
      </w:r>
      <w:r>
        <w:rPr>
          <w:sz w:val="22"/>
          <w:szCs w:val="22"/>
        </w:rPr>
        <w:t xml:space="preserve">the decision's purported findings are not supported. </w:t>
      </w:r>
    </w:p>
    <w:p>
      <w:pPr>
        <w:pStyle w:val="Normal"/>
        <w:tabs>
          <w:tab w:val="left" w:pos="720" w:leader="none"/>
        </w:tabs>
        <w:ind w:hanging="360" w:start="360" w:end="0"/>
        <w:rPr/>
      </w:pPr>
      <w:r>
        <w:rPr>
          <w:rFonts w:eastAsia="Symbol" w:cs="Symbol" w:ascii="Symbol" w:hAnsi="Symbol"/>
          <w:sz w:val="22"/>
          <w:szCs w:val="22"/>
        </w:rPr>
        <w:sym w:font="Symbol" w:char="f0b7"/>
      </w:r>
      <w:r>
        <w:rPr>
          <w:rFonts w:eastAsia="Symbol" w:cs="Symbol" w:ascii="Symbol" w:hAnsi="Symbol"/>
          <w:sz w:val="22"/>
          <w:szCs w:val="22"/>
        </w:rPr>
        <w:tab/>
      </w:r>
      <w:r>
        <w:rPr>
          <w:sz w:val="22"/>
          <w:szCs w:val="22"/>
        </w:rPr>
        <w:t>the commission has impermissibly converted a ratemaking proceeding into a quasi-legislative proceeding.</w:t>
      </w:r>
    </w:p>
    <w:p>
      <w:pPr>
        <w:pStyle w:val="Normal"/>
        <w:rPr>
          <w:sz w:val="22"/>
          <w:szCs w:val="22"/>
        </w:rPr>
      </w:pPr>
      <w:r>
        <w:rPr>
          <w:sz w:val="22"/>
          <w:szCs w:val="22"/>
        </w:rPr>
      </w:r>
    </w:p>
    <w:p>
      <w:pPr>
        <w:pStyle w:val="Normal"/>
        <w:rPr>
          <w:sz w:val="22"/>
          <w:szCs w:val="22"/>
        </w:rPr>
      </w:pPr>
      <w:r>
        <w:rPr>
          <w:sz w:val="22"/>
          <w:szCs w:val="22"/>
        </w:rPr>
        <w:t>AReM’s Application for Rehearing is the first required step of an appeal process outlined in the statute recently enacted by the Legislature to govern this decision.  If the PUC denies AReM’s request, the coalition’s next step would be to consider a direct appeal to the State Supreme Court.</w:t>
      </w:r>
    </w:p>
    <w:p>
      <w:pPr>
        <w:pStyle w:val="Normal"/>
        <w:rPr>
          <w:sz w:val="22"/>
          <w:szCs w:val="22"/>
        </w:rPr>
      </w:pPr>
      <w:r>
        <w:rPr>
          <w:sz w:val="22"/>
          <w:szCs w:val="22"/>
        </w:rPr>
      </w:r>
    </w:p>
    <w:p>
      <w:pPr>
        <w:pStyle w:val="Normal"/>
        <w:spacing w:before="100" w:after="100"/>
        <w:rPr>
          <w:sz w:val="22"/>
          <w:szCs w:val="22"/>
        </w:rPr>
      </w:pPr>
      <w:r>
        <w:rPr>
          <w:sz w:val="22"/>
          <w:szCs w:val="22"/>
        </w:rPr>
        <w:t>"The direct access suspension decision is legally suspect for several reasons," said AReM attorney Dan Douglass. "The Commission has chosen to rush judgment on this issue, without hearings and without creating a proper evidentiary record. AReM is prepared to take whatever legal action is necessary to make sure that direct access at least gets a fair chance at survival."</w:t>
      </w:r>
      <w:r>
        <w:rPr>
          <w:rFonts w:eastAsia="Tahoma" w:cs="Tahoma" w:ascii="Tahoma" w:hAnsi="Tahoma"/>
          <w:color w:val="0000FF"/>
          <w:sz w:val="22"/>
          <w:szCs w:val="22"/>
        </w:rPr>
        <w:t> </w:t>
      </w:r>
    </w:p>
    <w:p>
      <w:pPr>
        <w:pStyle w:val="Normal"/>
        <w:rPr>
          <w:sz w:val="22"/>
          <w:szCs w:val="22"/>
        </w:rPr>
      </w:pPr>
      <w:r>
        <w:rPr>
          <w:sz w:val="22"/>
          <w:szCs w:val="22"/>
        </w:rPr>
      </w:r>
    </w:p>
    <w:p>
      <w:pPr>
        <w:pStyle w:val="BodyText"/>
        <w:rPr>
          <w:sz w:val="22"/>
          <w:szCs w:val="22"/>
        </w:rPr>
      </w:pPr>
      <w:r>
        <w:rPr>
          <w:sz w:val="22"/>
          <w:szCs w:val="22"/>
        </w:rPr>
        <w:t>The PUC has 20 days from the date of the filing to make a decision about the request. As AReM awaits this decision, the coalition remains steadfast in its support for a legislative solution that would complement the PUC’s existing authority and ensure a role for direct access in the state’s energy landscape.</w:t>
      </w:r>
    </w:p>
    <w:p>
      <w:pPr>
        <w:pStyle w:val="BodyText"/>
        <w:rPr>
          <w:sz w:val="22"/>
          <w:szCs w:val="22"/>
        </w:rPr>
      </w:pPr>
      <w:r>
        <w:rPr>
          <w:sz w:val="22"/>
          <w:szCs w:val="22"/>
        </w:rPr>
      </w:r>
    </w:p>
    <w:p>
      <w:pPr>
        <w:pStyle w:val="BodyText"/>
        <w:rPr/>
      </w:pPr>
      <w:r>
        <mc:AlternateContent>
          <mc:Choice Requires="wps">
            <w:drawing>
              <wp:anchor behindDoc="0" distT="0" distB="0" distL="0" distR="0" simplePos="0" locked="0" layoutInCell="1" allowOverlap="1" relativeHeight="5">
                <wp:simplePos x="0" y="0"/>
                <wp:positionH relativeFrom="column">
                  <wp:posOffset>2863215</wp:posOffset>
                </wp:positionH>
                <wp:positionV relativeFrom="paragraph">
                  <wp:posOffset>810260</wp:posOffset>
                </wp:positionV>
                <wp:extent cx="501015" cy="375920"/>
                <wp:effectExtent l="0" t="0" r="0" b="0"/>
                <wp:wrapNone/>
                <wp:docPr id="4" name=""/>
                <a:graphic xmlns:a="http://schemas.openxmlformats.org/drawingml/2006/main">
                  <a:graphicData uri="http://schemas.microsoft.com/office/word/2010/wordprocessingShape">
                    <wps:wsp>
                      <wps:cNvSpPr txBox="1"/>
                      <wps:spPr>
                        <a:xfrm>
                          <a:off x="0" y="0"/>
                          <a:ext cx="501120" cy="3758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w:t>
                            </w:r>
                          </w:p>
                        </w:txbxContent>
                      </wps:txbx>
                      <wps:bodyPr wrap="square" lIns="35640" rIns="35640" tIns="17640" bIns="17640" anchor="t">
                        <a:noAutofit/>
                      </wps:bodyPr>
                    </wps:wsp>
                  </a:graphicData>
                </a:graphic>
              </wp:anchor>
            </w:drawing>
          </mc:Choice>
          <mc:Fallback>
            <w:pict>
              <v:shape id="shape_0" stroked="f" o:allowincell="f" style="position:absolute;margin-left:225.45pt;margin-top:63.8pt;width:39.4pt;height:29.55pt;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w:t>
                      </w:r>
                    </w:p>
                  </w:txbxContent>
                </v:textbox>
                <v:fill o:detectmouseclick="t" on="false"/>
                <v:stroke color="#3465a4" joinstyle="round" endcap="flat"/>
                <w10:wrap type="none"/>
              </v:shape>
            </w:pict>
          </mc:Fallback>
        </mc:AlternateContent>
      </w:r>
      <w:r>
        <w:rPr>
          <w:sz w:val="22"/>
          <w:szCs w:val="22"/>
        </w:rPr>
        <w:t>The following organizations and businesses signed the Application for Rehearing: Association Of California Water Agencies - Utility Service Agency, Western Power Trading Forum, AB&amp;I Foundry,</w:t>
      </w:r>
      <w:r>
        <w:rPr>
          <w:rFonts w:eastAsia="Arial" w:cs="Arial" w:ascii="Arial" w:hAnsi="Arial"/>
          <w:sz w:val="22"/>
          <w:szCs w:val="22"/>
        </w:rPr>
        <w:t xml:space="preserve"> </w:t>
      </w:r>
      <w:r>
        <w:rPr>
          <w:color w:val="000000"/>
          <w:sz w:val="22"/>
          <w:szCs w:val="22"/>
        </w:rPr>
        <w:t>California Cast Metals Association,</w:t>
      </w:r>
      <w:r>
        <w:rPr>
          <w:rFonts w:eastAsia="Arial" w:cs="Arial" w:ascii="Arial" w:hAnsi="Arial"/>
          <w:color w:val="000000"/>
          <w:sz w:val="22"/>
          <w:szCs w:val="22"/>
        </w:rPr>
        <w:t xml:space="preserve"> </w:t>
      </w:r>
      <w:r>
        <w:rPr>
          <w:sz w:val="22"/>
          <w:szCs w:val="22"/>
        </w:rPr>
        <w:t>California League Of Food Processors, California Retailers Association, Community College League Of California, DDU Enterprises, Immanuel Industries, Lam Research, Spurr-Remac, Standard Metal Products, Tricon Global Restaurants.</w:t>
      </w:r>
    </w:p>
    <w:sectPr>
      <w:type w:val="nextPage"/>
      <w:pgSz w:w="12240" w:h="15840"/>
      <w:pgMar w:left="1152" w:right="1152" w:gutter="0" w:header="0" w:top="1152" w:footer="0" w:bottom="5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 w:name="Tahoma">
    <w:charset w:val="01"/>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2001-09-27T21:18:00Z</dcterms:created>
  <dc:creator>edelman</dc:creator>
  <dc:description/>
  <dc:language>en-CA</dc:language>
  <cp:lastModifiedBy>edelman</cp:lastModifiedBy>
  <cp:lastPrinted>2001-09-28T14:38:00Z</cp:lastPrinted>
  <dcterms:modified xsi:type="dcterms:W3CDTF">2001-09-28T19:31:00Z</dcterms:modified>
  <cp:revision>22</cp:revision>
  <dc:subject/>
  <dc:title> </dc:title>
</cp:coreProperties>
</file>