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top w:val="single" w:sz="4" w:space="0" w:color="000000"/>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Pacific Gas and Electric Company for verification, consolidation, and approval of costs and revenues in the transition revenue account.</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t>Application 98-07-003</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98-07-006</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98-07-026</w:t>
            </w:r>
          </w:p>
          <w:p>
            <w:pPr>
              <w:pStyle w:val="Normal"/>
              <w:jc w:val="center"/>
              <w:rPr/>
            </w:pPr>
            <w:r>
              <w:rPr/>
              <w:t>(Filed July 1, 1998)</w:t>
            </w:r>
          </w:p>
        </w:tc>
      </w:tr>
    </w:tbl>
    <w:p>
      <w:pPr>
        <w:pStyle w:val="Normal"/>
        <w:rPr/>
      </w:pPr>
      <w:r>
        <w:rPr/>
      </w:r>
    </w:p>
    <w:p>
      <w:pPr>
        <w:pStyle w:val="FootnoteText"/>
        <w:keepLines w:val="false"/>
        <w:widowControl/>
        <w:overflowPunct w:val="true"/>
        <w:autoSpaceDE w:val="true"/>
        <w:textAlignment w:val="auto"/>
        <w:rPr/>
      </w:pPr>
      <w:r>
        <w:rPr/>
      </w:r>
    </w:p>
    <w:p>
      <w:pPr>
        <w:pStyle w:val="Heading1"/>
        <w:rPr/>
      </w:pPr>
      <w:r>
        <w:rPr/>
        <w:t>MOTION BY NEW WEST ENERGY CORPORATION FOR AN EXPEDITED ORDER REGARDING PX ENERGY CREDITS</w:t>
      </w:r>
    </w:p>
    <w:p>
      <w:pPr>
        <w:pStyle w:val="Normal"/>
        <w:jc w:val="center"/>
        <w:rPr>
          <w:b/>
        </w:rPr>
      </w:pPr>
      <w:r>
        <w:rPr>
          <w:b/>
        </w:rPr>
      </w:r>
    </w:p>
    <w:p>
      <w:pPr>
        <w:pStyle w:val="Normal"/>
        <w:ind w:firstLine="720" w:start="5040" w:end="0"/>
        <w:rPr>
          <w:b/>
        </w:rPr>
      </w:pPr>
      <w:r>
        <w:rPr>
          <w:b/>
        </w:rPr>
      </w:r>
    </w:p>
    <w:p>
      <w:pPr>
        <w:pStyle w:val="Normal"/>
        <w:ind w:firstLine="720" w:start="4320" w:end="0"/>
        <w:rPr/>
      </w:pPr>
      <w:r>
        <w:rPr/>
        <w:t>Daniel W. Douglass</w:t>
      </w:r>
    </w:p>
    <w:p>
      <w:pPr>
        <w:pStyle w:val="Normal"/>
        <w:ind w:firstLine="720" w:start="4320" w:end="0"/>
        <w:rPr/>
      </w:pPr>
      <w:r>
        <w:rPr/>
        <w:t>5959 Topanga Canyon Blvd.</w:t>
      </w:r>
    </w:p>
    <w:p>
      <w:pPr>
        <w:pStyle w:val="Normal"/>
        <w:ind w:firstLine="720" w:start="4320" w:end="0"/>
        <w:rPr/>
      </w:pPr>
      <w:r>
        <w:rPr/>
        <w:t>Suite 244</w:t>
      </w:r>
    </w:p>
    <w:p>
      <w:pPr>
        <w:pStyle w:val="Normal"/>
        <w:ind w:firstLine="720" w:start="4320" w:end="0"/>
        <w:rPr/>
      </w:pPr>
      <w:r>
        <w:rPr/>
        <w:t>Woodland Hills, CA 91367</w:t>
      </w:r>
    </w:p>
    <w:p>
      <w:pPr>
        <w:pStyle w:val="Normal"/>
        <w:ind w:firstLine="720" w:start="4320" w:end="0"/>
        <w:rPr/>
      </w:pPr>
      <w:r>
        <w:rPr/>
        <w:t>Telephone (818) 596-2201</w:t>
      </w:r>
    </w:p>
    <w:p>
      <w:pPr>
        <w:pStyle w:val="Normal"/>
        <w:ind w:firstLine="720" w:start="4320" w:end="0"/>
        <w:rPr/>
      </w:pPr>
      <w:r>
        <w:rPr/>
        <w:t>Facsimile (818) 346-6502</w:t>
      </w:r>
    </w:p>
    <w:p>
      <w:pPr>
        <w:pStyle w:val="Normal"/>
        <w:ind w:firstLine="720" w:start="720" w:end="0"/>
        <w:rPr/>
      </w:pPr>
      <w:r>
        <w:rPr/>
      </w:r>
    </w:p>
    <w:p>
      <w:pPr>
        <w:pStyle w:val="Normal"/>
        <w:ind w:firstLine="720" w:start="4320" w:end="0"/>
        <w:rPr/>
      </w:pPr>
      <w:r>
        <w:rPr/>
        <w:t>Attorney for</w:t>
      </w:r>
    </w:p>
    <w:p>
      <w:pPr>
        <w:pStyle w:val="Heading5"/>
        <w:ind w:firstLine="720" w:end="-180"/>
        <w:rPr/>
      </w:pPr>
      <w:r>
        <w:rPr/>
        <w:t>NEW WEST ENERGY CORPORATION</w:t>
      </w:r>
    </w:p>
    <w:p>
      <w:pPr>
        <w:pStyle w:val="Normal"/>
        <w:ind w:hanging="5040" w:start="5040" w:end="-180"/>
        <w:rPr/>
      </w:pPr>
      <w:r>
        <w:rPr/>
        <w:t>September 24,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top w:val="single" w:sz="4" w:space="0" w:color="000000"/>
              <w:bottom w:val="single" w:sz="4" w:space="0" w:color="000000"/>
              <w:end w:val="single" w:sz="4" w:space="0" w:color="000000"/>
            </w:tcBorders>
          </w:tcPr>
          <w:p>
            <w:pPr>
              <w:pStyle w:val="BodyText3"/>
              <w:snapToGrid w:val="false"/>
              <w:rPr>
                <w:sz w:val="24"/>
              </w:rPr>
            </w:pPr>
            <w:r>
              <w:rPr>
                <w:sz w:val="24"/>
              </w:rPr>
            </w:r>
          </w:p>
          <w:p>
            <w:pPr>
              <w:pStyle w:val="BodyText3"/>
              <w:rPr>
                <w:sz w:val="24"/>
              </w:rPr>
            </w:pPr>
            <w:r>
              <w:rPr>
                <w:sz w:val="24"/>
              </w:rPr>
              <w:t>Application of Pacific Gas and Electric Company for verification, consolidation, and approval of costs and revenues in the transition revenue account.</w:t>
            </w:r>
          </w:p>
          <w:p>
            <w:pPr>
              <w:pStyle w:val="Normal"/>
              <w:rPr>
                <w:sz w:val="24"/>
              </w:rPr>
            </w:pPr>
            <w:r>
              <w:rPr>
                <w:sz w:val="24"/>
              </w:rPr>
            </w:r>
          </w:p>
        </w:tc>
        <w:tc>
          <w:tcPr>
            <w:tcW w:w="3600" w:type="dxa"/>
            <w:tcBorders>
              <w:start w:val="single" w:sz="4" w:space="0" w:color="000000"/>
            </w:tcBorders>
          </w:tcPr>
          <w:p>
            <w:pPr>
              <w:pStyle w:val="Normal"/>
              <w:snapToGrid w:val="false"/>
              <w:jc w:val="center"/>
              <w:rPr/>
            </w:pPr>
            <w:r>
              <w:rPr/>
            </w:r>
          </w:p>
          <w:p>
            <w:pPr>
              <w:pStyle w:val="Normal"/>
              <w:jc w:val="center"/>
              <w:rPr/>
            </w:pPr>
            <w:r>
              <w:rPr/>
            </w:r>
          </w:p>
          <w:p>
            <w:pPr>
              <w:pStyle w:val="Normal"/>
              <w:jc w:val="center"/>
              <w:rPr/>
            </w:pPr>
            <w:r>
              <w:rPr/>
              <w:t>Application 98-07-003</w:t>
            </w:r>
          </w:p>
          <w:p>
            <w:pPr>
              <w:pStyle w:val="Normal"/>
              <w:jc w:val="center"/>
              <w:rPr/>
            </w:pPr>
            <w:r>
              <w:rPr/>
              <w:t>(Filed July 1, 1998)</w:t>
            </w:r>
          </w:p>
        </w:tc>
      </w:tr>
      <w:tr>
        <w:trPr/>
        <w:tc>
          <w:tcPr>
            <w:tcW w:w="5958" w:type="dxa"/>
            <w:tcBorders>
              <w:top w:val="single" w:sz="4" w:space="0" w:color="000000"/>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98-07-006</w:t>
            </w:r>
          </w:p>
          <w:p>
            <w:pPr>
              <w:pStyle w:val="Normal"/>
              <w:jc w:val="center"/>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Normal"/>
              <w:tabs>
                <w:tab w:val="clear" w:pos="720"/>
                <w:tab w:val="left" w:pos="1440" w:leader="none"/>
                <w:tab w:val="left" w:pos="3600" w:leader="none"/>
              </w:tabs>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Application 98-07-026</w:t>
            </w:r>
          </w:p>
          <w:p>
            <w:pPr>
              <w:pStyle w:val="Normal"/>
              <w:jc w:val="center"/>
              <w:rPr/>
            </w:pPr>
            <w:r>
              <w:rPr/>
              <w:t>(Filed July 1, 1998)</w:t>
            </w:r>
          </w:p>
        </w:tc>
      </w:tr>
    </w:tbl>
    <w:p>
      <w:pPr>
        <w:pStyle w:val="Normal"/>
        <w:rPr/>
      </w:pPr>
      <w:r>
        <w:rPr/>
      </w:r>
    </w:p>
    <w:p>
      <w:pPr>
        <w:pStyle w:val="Normal"/>
        <w:rPr/>
      </w:pPr>
      <w:r>
        <w:rPr/>
      </w:r>
    </w:p>
    <w:p>
      <w:pPr>
        <w:pStyle w:val="Heading1"/>
        <w:rPr/>
      </w:pPr>
      <w:r>
        <w:rPr/>
      </w:r>
    </w:p>
    <w:p>
      <w:pPr>
        <w:pStyle w:val="Heading1"/>
        <w:rPr/>
      </w:pPr>
      <w:r>
        <w:rPr/>
        <w:t>MOTION BY NEW WEST ENERGY CORPORATION FOR AN EXPEDITED ORDER REGARDING PX ENERGY CREDITS</w:t>
      </w:r>
    </w:p>
    <w:p>
      <w:pPr>
        <w:pStyle w:val="Normal"/>
        <w:rPr/>
      </w:pPr>
      <w:r>
        <w:rPr/>
      </w:r>
    </w:p>
    <w:p>
      <w:pPr>
        <w:pStyle w:val="Heading2"/>
        <w:numPr>
          <w:ilvl w:val="0"/>
          <w:numId w:val="0"/>
        </w:numPr>
        <w:ind w:hanging="0" w:start="720" w:end="432"/>
        <w:jc w:val="both"/>
        <w:rPr/>
      </w:pPr>
      <w:r>
        <w:rPr/>
        <w:t> </w:t>
      </w:r>
    </w:p>
    <w:p>
      <w:pPr>
        <w:pStyle w:val="BodyTextIndent3"/>
        <w:rPr/>
      </w:pPr>
      <w:r>
        <w:rPr/>
        <w:t xml:space="preserve">Pursuant to Rule 45 of the Commission’s Rules of Practice and Procedure, New West Energy Corporation (“New West”) hereby moves that the Commission issue an expedited order to permit resolution of the PX energy credit issue.  In Commission Decision (“D.”) 01-09-060, approved on September 20, 2001, it was noted that an earlier draft of that decision, “included a proposed resolution of SCE’s Petition for Modification in which it requests authorization to temporarily suspend payment of the Power Exchange (PX) credit to ESPs, as well as our implementation of AB 1X.”  D.01-09-060 further notes that, “At this time, we will not resolve issues regarding payment of PX credits raised in the comments and by SCE’s petition. [footnote omitted]  However, it is imperative that we now address the direct access issue.  We therefore bifurcate this proceeding and will address SCE’s petition in the next phase.”  </w:t>
      </w:r>
    </w:p>
    <w:p>
      <w:pPr>
        <w:pStyle w:val="BodyTextIndent3"/>
        <w:rPr/>
      </w:pPr>
      <w:r>
        <w:rPr/>
        <w:t xml:space="preserve">New West hereby moves that the Commission move forward with the second phase on an expedited basis, as described herein.  As background, on January 25, 2001, SCE filed its Petition for Expedited Modification of Decision (D.) 99-06-058 (the “Petition”).  SCE asked the Commission to authorize SCE to suspend temporarily the payment of PX Energy Credits to Energy Service Providers (“ESPs”).  </w:t>
      </w:r>
    </w:p>
    <w:p>
      <w:pPr>
        <w:pStyle w:val="BodyTextIndent3"/>
        <w:rPr/>
      </w:pPr>
      <w:r>
        <w:rPr/>
        <w:t>The Petition raises an issue that needs to be addressed to facilitate the issue of the $12.5 billion revenue bonds by the Department of Water Resources.  Currently the PX energy credits are a claim by customers against future retail revenues (credits against future bills).  As such the PX energy credits compete against the same revenues that will support the bonds.</w:t>
      </w:r>
    </w:p>
    <w:p>
      <w:pPr>
        <w:pStyle w:val="BodyTextIndent3"/>
        <w:rPr/>
      </w:pPr>
      <w:r>
        <w:rPr/>
        <w:t xml:space="preserve">The SCE Petition raises the issue of payment of PX energy credits, though in a different context.  The solution suggested by SCE was to simply postpone payment of PX energy credits.  This proposal meets the goal of preserving the utility’s cash stability, but does not address the issue of the PX energy credit liability acting as an impediment to the cash flow necessary to service the bonds.  New West proposes herein the following approach that meets </w:t>
      </w:r>
      <w:r>
        <w:rPr>
          <w:u w:val="single"/>
        </w:rPr>
        <w:t>both</w:t>
      </w:r>
      <w:r>
        <w:rPr/>
        <w:t xml:space="preserve"> SCE’s cash preservation goals and the removal of an impediment to bond servicing.</w:t>
      </w:r>
    </w:p>
    <w:p>
      <w:pPr>
        <w:pStyle w:val="BodyTextIndent3"/>
        <w:rPr/>
      </w:pPr>
      <w:r>
        <w:rPr/>
        <w:t>This approach is to authorize the utility distribution companies (both SCE and Pacific Gas and Electric Company (“PG&amp;E”)) to record a regulatory asset in the amount of the unpaid PX energy credits.  This regulatory asset would be amortized over a two-year period after each utility’s respective rate freeze is determined to have ended.  The unpaid PX energy credits would be paid to direct access customers and/or their ESPs over the amortization period.  Amortization of the regulatory asset would be considered as any other operating expense at the time of the next general rate review for the utilities.  New West discusses herein the need and the rationale for such action.</w:t>
      </w:r>
    </w:p>
    <w:p>
      <w:pPr>
        <w:pStyle w:val="BodyTextIndent3"/>
        <w:rPr/>
      </w:pPr>
      <w:r>
        <w:rPr/>
      </w:r>
    </w:p>
    <w:p>
      <w:pPr>
        <w:pStyle w:val="BodyTextIndent"/>
        <w:ind w:hanging="0" w:end="0"/>
        <w:jc w:val="both"/>
        <w:rPr>
          <w:b/>
          <w:i/>
          <w:i/>
          <w:u w:val="single"/>
        </w:rPr>
      </w:pPr>
      <w:r>
        <w:rPr>
          <w:b/>
          <w:i/>
          <w:u w:val="single"/>
        </w:rPr>
        <w:t>The Problem</w:t>
      </w:r>
    </w:p>
    <w:p>
      <w:pPr>
        <w:pStyle w:val="BodyTextIndent"/>
        <w:jc w:val="both"/>
        <w:rPr/>
      </w:pPr>
      <w:r>
        <w:rPr/>
        <w:t>DWR intends to issue bonds secured by retail revenues, or at least a component of retail revenues.  In order for the DWR to secure maximum investor interest, and to secure the lowest possible interest rates, it is essential that the investors understand that retail revenues (or the component of retail revenues) are available for the sole purpose of securing the bonds.  Any claim to the contrary, or any possibility of a claim, is a negative factor for the bond issue, which could either hinder the issuance or cause the State to incur a higher interest rate.  Either result would be harmful to the interests of the State’s citizenry and its taxpayers.</w:t>
      </w:r>
    </w:p>
    <w:p>
      <w:pPr>
        <w:pStyle w:val="BodyTextIndent"/>
        <w:jc w:val="both"/>
        <w:rPr/>
      </w:pPr>
      <w:r>
        <w:rPr/>
        <w:t xml:space="preserve">The PX energy credits are credits on the retail bills of direct access customers.  Before the financial problems with the UDCs, these credits were paid both through reductions of future bills and by cash payments.  When the financial crisis hit in December and January, both SCE and PG&amp;E stopped paying the PX energy credits and stopped accepting them as credits against future bills. </w:t>
      </w:r>
      <w:r>
        <w:rPr>
          <w:rStyle w:val="FootnoteCharacters"/>
          <w:rStyle w:val="FootnoteReference"/>
          <w:sz w:val="24"/>
        </w:rPr>
        <w:footnoteReference w:id="2"/>
      </w:r>
      <w:r>
        <w:rPr/>
        <w:t xml:space="preserve">  However, the PX energy credits are still an outstanding liability of SCE and PG&amp;E, which must ultimately be paid.  As such, it constitutes an unknown, contingent burden on the revenue needed to service the bonds.  Absent Commission resolution of this issue, customers may argue successfully that this is a contract right that must be enforced immediately.  In that event, especially if there were a court order to that effect, there could be a significant and sudden effect on the levels of retail revenues.  </w:t>
      </w:r>
    </w:p>
    <w:p>
      <w:pPr>
        <w:pStyle w:val="BodyTextIndent"/>
        <w:jc w:val="both"/>
        <w:rPr/>
      </w:pPr>
      <w:r>
        <w:rPr/>
        <w:t>Whether this will ultimately happen or not, it constitutes a cloud on the bond issue.  However, should the Commission act to resolve this issue, a court would be naturally reluctant to interpose its authority over that of the Commission’s.  Therefore, the danger to the bond issuance would stem primarily from the Commission failing to act, rather than through it taking affirmative action to resolve the PX energy credits issue.</w:t>
      </w:r>
    </w:p>
    <w:p>
      <w:pPr>
        <w:pStyle w:val="BodyTextIndent"/>
        <w:jc w:val="both"/>
        <w:rPr/>
      </w:pPr>
      <w:r>
        <w:rPr/>
      </w:r>
    </w:p>
    <w:p>
      <w:pPr>
        <w:pStyle w:val="Heading1"/>
        <w:spacing w:lineRule="auto" w:line="480"/>
        <w:jc w:val="both"/>
        <w:rPr>
          <w:i/>
          <w:i/>
          <w:u w:val="single"/>
        </w:rPr>
      </w:pPr>
      <w:r>
        <w:rPr>
          <w:i/>
          <w:u w:val="single"/>
        </w:rPr>
        <w:t>The Solution</w:t>
      </w:r>
    </w:p>
    <w:p>
      <w:pPr>
        <w:pStyle w:val="Normal"/>
        <w:spacing w:lineRule="auto" w:line="480"/>
        <w:ind w:firstLine="720" w:end="0"/>
        <w:jc w:val="both"/>
        <w:rPr/>
      </w:pPr>
      <w:r>
        <w:rPr/>
        <w:t>SCE and PG&amp;E should be authorized by the Commission to record a regulatory asset in the amount of their respective unpaid PX energy credit amounts.  This regulatory asset would be carried on each utility’s books until their respective rate freezes end.  At that time (and in no case later that the current statutory date of March 2002 for the end of the rate freeze), the asset would be amortized by each utility over a two-year period.  Revenue requirement issues and cost of service issues would be addressed at such time, if any, that the Commission reviews the revenue requirement for each utility.</w:t>
      </w:r>
    </w:p>
    <w:p>
      <w:pPr>
        <w:pStyle w:val="Normal"/>
        <w:spacing w:lineRule="auto" w:line="480"/>
        <w:ind w:firstLine="720" w:end="0"/>
        <w:jc w:val="both"/>
        <w:rPr/>
      </w:pPr>
      <w:r>
        <w:rPr/>
      </w:r>
    </w:p>
    <w:p>
      <w:pPr>
        <w:pStyle w:val="Heading1"/>
        <w:spacing w:lineRule="auto" w:line="480"/>
        <w:jc w:val="both"/>
        <w:rPr>
          <w:i/>
          <w:i/>
          <w:u w:val="single"/>
        </w:rPr>
      </w:pPr>
      <w:r>
        <w:rPr>
          <w:i/>
          <w:u w:val="single"/>
        </w:rPr>
        <w:t>The Advantages</w:t>
      </w:r>
    </w:p>
    <w:p>
      <w:pPr>
        <w:pStyle w:val="BodyTextIndent3"/>
        <w:rPr/>
      </w:pPr>
      <w:r>
        <w:rPr/>
        <w:t xml:space="preserve">This approach would remove the PX energy credit as a direct claim on future revenues.  Very simply, the debt would be converted to an operating expense as the asset is amortized.  This step would remove the cloud on the bond issue created by the PX energy credit.  Additionally the order would protect customers who either are owed the PX energy credit or who owe the PX energy credit to the ESPs who advanced it to them.  Finally, the order would address one of the issues facing the UDCs, effectively achieving the relief requested by SCE in its Petition.  </w:t>
      </w:r>
    </w:p>
    <w:p>
      <w:pPr>
        <w:pStyle w:val="BodyText"/>
        <w:widowControl/>
        <w:ind w:firstLine="720" w:end="0"/>
        <w:jc w:val="both"/>
        <w:rPr/>
      </w:pPr>
      <w:r>
        <w:rPr/>
        <w:t>For the foregoing reasons, New West respectfully requests that the Commission:</w:t>
      </w:r>
    </w:p>
    <w:p>
      <w:pPr>
        <w:pStyle w:val="BodyTextIndent"/>
        <w:ind w:hanging="720" w:start="1440" w:end="0"/>
        <w:jc w:val="both"/>
        <w:rPr/>
      </w:pPr>
      <w:r>
        <w:rPr/>
        <w:t>1.</w:t>
        <w:tab/>
        <w:t xml:space="preserve">Issue an order that the UDCs may record a regulatory asset in the amount of the unpaid PX energy credits as described in this motion. </w:t>
      </w:r>
    </w:p>
    <w:p>
      <w:pPr>
        <w:pStyle w:val="BodyTextIndent"/>
        <w:ind w:hanging="720" w:start="1440" w:end="0"/>
        <w:jc w:val="both"/>
        <w:rPr/>
      </w:pPr>
      <w:r>
        <w:rPr/>
        <w:t>2.</w:t>
        <w:tab/>
        <w:t>Make such other findings and conclusions and issue such orders as are necessary to effectuate the terms and conditions of the PX energy credits solution proposed herein.</w:t>
      </w:r>
    </w:p>
    <w:p>
      <w:pPr>
        <w:pStyle w:val="Normal"/>
        <w:tabs>
          <w:tab w:val="clear" w:pos="720"/>
          <w:tab w:val="left" w:pos="-720" w:leader="none"/>
        </w:tabs>
        <w:suppressAutoHyphens w:val="true"/>
        <w:ind w:start="1509" w:end="0"/>
        <w:jc w:val="both"/>
        <w:rPr>
          <w:spacing w:val="-3"/>
        </w:rPr>
      </w:pPr>
      <w:r>
        <w:rPr>
          <w:spacing w:val="-3"/>
        </w:rPr>
        <w:tab/>
        <w:tab/>
        <w:tab/>
        <w:tab/>
      </w:r>
    </w:p>
    <w:p>
      <w:pPr>
        <w:pStyle w:val="Normal"/>
        <w:tabs>
          <w:tab w:val="clear" w:pos="720"/>
          <w:tab w:val="left" w:pos="-720" w:leader="none"/>
        </w:tabs>
        <w:suppressAutoHyphens w:val="true"/>
        <w:ind w:start="1509" w:end="-108"/>
        <w:jc w:val="both"/>
        <w:rPr>
          <w:spacing w:val="-3"/>
        </w:rPr>
      </w:pPr>
      <w:r>
        <w:rPr>
          <w:spacing w:val="-3"/>
        </w:rPr>
        <w:tab/>
        <w:tab/>
        <w:tab/>
        <w:tab/>
        <w:t>Respectfully submitted,</w:t>
      </w:r>
    </w:p>
    <w:p>
      <w:pPr>
        <w:pStyle w:val="Normal"/>
        <w:tabs>
          <w:tab w:val="clear" w:pos="720"/>
          <w:tab w:val="left" w:pos="-720" w:leader="none"/>
        </w:tabs>
        <w:suppressAutoHyphens w:val="true"/>
        <w:ind w:start="1509" w:end="-108"/>
        <w:jc w:val="both"/>
        <w:rPr>
          <w:spacing w:val="-3"/>
        </w:rPr>
      </w:pPr>
      <w:r>
        <w:rPr>
          <w:spacing w:val="-3"/>
        </w:rPr>
      </w:r>
    </w:p>
    <w:p>
      <w:pPr>
        <w:pStyle w:val="Normal"/>
        <w:tabs>
          <w:tab w:val="clear" w:pos="720"/>
          <w:tab w:val="left" w:pos="-720" w:leader="none"/>
        </w:tabs>
        <w:suppressAutoHyphens w:val="true"/>
        <w:ind w:end="-108"/>
        <w:jc w:val="both"/>
        <w:rPr>
          <w:spacing w:val="-3"/>
        </w:rPr>
      </w:pPr>
      <w:r>
        <w:rPr>
          <w:spacing w:val="-3"/>
        </w:rPr>
        <w:tab/>
        <w:tab/>
        <w:tab/>
        <w:tab/>
        <w:tab/>
        <w:tab/>
        <w:t>Daniel W. Douglass</w:t>
        <w:tab/>
        <w:tab/>
        <w:tab/>
        <w:tab/>
        <w:tab/>
      </w:r>
    </w:p>
    <w:p>
      <w:pPr>
        <w:pStyle w:val="Normal"/>
        <w:tabs>
          <w:tab w:val="clear" w:pos="720"/>
          <w:tab w:val="left" w:pos="-720" w:leader="none"/>
        </w:tabs>
        <w:suppressAutoHyphens w:val="true"/>
        <w:ind w:end="-108"/>
        <w:jc w:val="both"/>
        <w:rPr>
          <w:spacing w:val="-3"/>
        </w:rPr>
      </w:pPr>
      <w:r>
        <w:rPr>
          <w:spacing w:val="-3"/>
        </w:rPr>
      </w:r>
    </w:p>
    <w:p>
      <w:pPr>
        <w:pStyle w:val="Normal"/>
        <w:tabs>
          <w:tab w:val="clear" w:pos="720"/>
          <w:tab w:val="left" w:pos="-720" w:leader="none"/>
        </w:tabs>
        <w:suppressAutoHyphens w:val="true"/>
        <w:ind w:end="-108"/>
        <w:jc w:val="both"/>
        <w:rPr>
          <w:spacing w:val="-3"/>
        </w:rPr>
      </w:pPr>
      <w:r>
        <w:rPr>
          <w:spacing w:val="-3"/>
        </w:rPr>
      </w:r>
    </w:p>
    <w:p>
      <w:pPr>
        <w:pStyle w:val="Normal"/>
        <w:tabs>
          <w:tab w:val="clear" w:pos="720"/>
          <w:tab w:val="left" w:pos="-720" w:leader="none"/>
        </w:tabs>
        <w:suppressAutoHyphens w:val="true"/>
        <w:ind w:end="-108"/>
        <w:jc w:val="both"/>
        <w:rPr>
          <w:spacing w:val="-3"/>
        </w:rPr>
      </w:pPr>
      <w:r>
        <w:rPr>
          <w:spacing w:val="-3"/>
        </w:rPr>
      </w:r>
    </w:p>
    <w:p>
      <w:pPr>
        <w:pStyle w:val="Normal"/>
        <w:tabs>
          <w:tab w:val="clear" w:pos="720"/>
          <w:tab w:val="left" w:pos="-720" w:leader="none"/>
        </w:tabs>
        <w:suppressAutoHyphens w:val="true"/>
        <w:ind w:end="-108"/>
        <w:jc w:val="both"/>
        <w:rPr>
          <w:spacing w:val="-3"/>
        </w:rPr>
      </w:pPr>
      <w:r>
        <w:rPr>
          <w:spacing w:val="-3"/>
        </w:rPr>
        <w:tab/>
        <w:tab/>
        <w:tab/>
        <w:tab/>
        <w:tab/>
        <w:tab/>
        <w:t>________________________________</w:t>
      </w:r>
    </w:p>
    <w:p>
      <w:pPr>
        <w:pStyle w:val="Normal"/>
        <w:ind w:start="4320" w:end="-108"/>
        <w:rPr/>
      </w:pPr>
      <w:r>
        <w:rPr/>
        <w:t xml:space="preserve"> </w:t>
      </w:r>
      <w:r>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108"/>
        <w:jc w:val="both"/>
        <w:rPr>
          <w:spacing w:val="-3"/>
        </w:rPr>
      </w:pPr>
      <w:r>
        <w:rPr/>
        <w:t>E-Mail:  douglass@energyattorney.com</w:t>
      </w:r>
    </w:p>
    <w:p>
      <w:pPr>
        <w:pStyle w:val="Normal"/>
        <w:tabs>
          <w:tab w:val="clear" w:pos="720"/>
          <w:tab w:val="left" w:pos="-720" w:leader="none"/>
        </w:tabs>
        <w:suppressAutoHyphens w:val="true"/>
        <w:ind w:end="-108"/>
        <w:jc w:val="both"/>
        <w:rPr>
          <w:spacing w:val="-3"/>
        </w:rPr>
      </w:pPr>
      <w:r>
        <w:rPr>
          <w:spacing w:val="-3"/>
        </w:rPr>
      </w:r>
    </w:p>
    <w:p>
      <w:pPr>
        <w:pStyle w:val="Normal"/>
        <w:tabs>
          <w:tab w:val="clear" w:pos="720"/>
          <w:tab w:val="left" w:pos="-720" w:leader="none"/>
        </w:tabs>
        <w:suppressAutoHyphens w:val="true"/>
        <w:ind w:end="-108"/>
        <w:jc w:val="both"/>
        <w:rPr>
          <w:spacing w:val="-3"/>
        </w:rPr>
      </w:pPr>
      <w:r>
        <w:rPr>
          <w:spacing w:val="-3"/>
        </w:rPr>
        <w:tab/>
        <w:tab/>
        <w:tab/>
        <w:tab/>
        <w:tab/>
        <w:tab/>
        <w:t xml:space="preserve">Counsel for </w:t>
      </w:r>
    </w:p>
    <w:p>
      <w:pPr>
        <w:pStyle w:val="Normal"/>
        <w:tabs>
          <w:tab w:val="clear" w:pos="720"/>
          <w:tab w:val="left" w:pos="-1440" w:leader="none"/>
          <w:tab w:val="left" w:pos="-720" w:leader="none"/>
        </w:tabs>
        <w:ind w:end="-108"/>
        <w:rPr>
          <w:spacing w:val="-3"/>
        </w:rPr>
      </w:pPr>
      <w:r>
        <w:rPr>
          <w:spacing w:val="-3"/>
        </w:rPr>
        <w:tab/>
        <w:tab/>
        <w:tab/>
        <w:tab/>
        <w:tab/>
        <w:tab/>
      </w:r>
      <w:r>
        <w:rPr>
          <w:b/>
        </w:rPr>
        <w:t>NEW WEST ENERGY CORPORATION</w:t>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FootnoteText"/>
        <w:keepLines w:val="false"/>
        <w:widowControl/>
        <w:overflowPunct w:val="true"/>
        <w:autoSpaceDE w:val="true"/>
        <w:spacing w:before="0" w:after="240"/>
        <w:textAlignment w:val="auto"/>
        <w:rPr/>
      </w:pPr>
      <w:r>
        <w:rPr/>
        <w:t>September 24, 2001</w:t>
      </w:r>
      <w:r>
        <w:br w:type="page"/>
      </w:r>
    </w:p>
    <w:p>
      <w:pPr>
        <w:pStyle w:val="standard"/>
        <w:spacing w:lineRule="auto" w:line="480"/>
        <w:ind w:hanging="0" w:end="0"/>
        <w:jc w:val="center"/>
        <w:rPr>
          <w:rFonts w:ascii="Times New Roman" w:hAnsi="Times New Roman" w:cs="Times New Roman"/>
          <w:b/>
          <w:bCs/>
        </w:rPr>
      </w:pPr>
      <w:r>
        <w:rPr>
          <w:rFonts w:cs="Times New Roman" w:ascii="Times New Roman" w:hAnsi="Times New Roman"/>
          <w:b/>
          <w:bCs/>
        </w:rPr>
        <w:t>CERTIFICATE OF SERVICE</w:t>
      </w:r>
    </w:p>
    <w:p>
      <w:pPr>
        <w:pStyle w:val="Normal"/>
        <w:tabs>
          <w:tab w:val="clear" w:pos="720"/>
          <w:tab w:val="left" w:pos="-1440" w:leader="none"/>
          <w:tab w:val="left" w:pos="-720" w:leader="none"/>
        </w:tabs>
        <w:jc w:val="both"/>
        <w:rPr>
          <w:rFonts w:ascii="Times New Roman" w:hAnsi="Times New Roman" w:cs="Times New Roman"/>
          <w:b/>
          <w:bCs/>
        </w:rPr>
      </w:pPr>
      <w:r>
        <w:rPr>
          <w:rFonts w:cs="Times New Roman"/>
          <w:b/>
          <w:bCs/>
        </w:rPr>
      </w:r>
    </w:p>
    <w:p>
      <w:pPr>
        <w:pStyle w:val="Heading1"/>
        <w:jc w:val="both"/>
        <w:rPr>
          <w:b w:val="false"/>
        </w:rPr>
      </w:pPr>
      <w:r>
        <w:rPr>
          <w:b w:val="false"/>
        </w:rPr>
        <w:tab/>
        <w:t xml:space="preserve">I hereby certify that I have this day served a copy of the Motion of New West Energy Corporation for an Expedited Order Concerning PX Energy Credits on all parties of record in the above captioned proceedings by both serving an electronic copy on their email addresses of record or by mailing a properly addressed copy by first-class mail with postage prepaid to each party for whom an email address is not provided on the Commission’s official service list for this proceeding. </w:t>
      </w:r>
    </w:p>
    <w:p>
      <w:pPr>
        <w:pStyle w:val="Normal"/>
        <w:suppressAutoHyphens w:val="true"/>
        <w:ind w:firstLine="720" w:end="0"/>
        <w:jc w:val="both"/>
        <w:rPr>
          <w:b/>
        </w:rPr>
      </w:pPr>
      <w:r>
        <w:rPr>
          <w:b/>
        </w:rPr>
      </w:r>
    </w:p>
    <w:p>
      <w:pPr>
        <w:pStyle w:val="BodyTextIndent3"/>
        <w:suppressAutoHyphens w:val="true"/>
        <w:spacing w:lineRule="auto" w:line="240"/>
        <w:rPr/>
      </w:pPr>
      <w:r>
        <w:rPr/>
        <w:t>Executed on September 24, 2001, at Woodland Hills, California.</w:t>
      </w:r>
    </w:p>
    <w:p>
      <w:pPr>
        <w:pStyle w:val="BodyTextIndent3"/>
        <w:suppressAutoHyphens w:val="true"/>
        <w:spacing w:lineRule="auto" w:line="240"/>
        <w:rPr/>
      </w:pPr>
      <w:r>
        <w:rPr/>
      </w:r>
    </w:p>
    <w:p>
      <w:pPr>
        <w:pStyle w:val="BodyTextIndent3"/>
        <w:suppressAutoHyphens w:val="true"/>
        <w:spacing w:lineRule="auto" w:line="240"/>
        <w:rPr/>
      </w:pPr>
      <w:r>
        <w:rPr/>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rPr>
      </w:pPr>
      <w:r>
        <w:rPr>
          <w:b/>
        </w:rPr>
      </w:r>
    </w:p>
    <w:sectPr>
      <w:footerReference w:type="default" r:id="rId2"/>
      <w:footerReference w:type="first" r:id="rId3"/>
      <w:footnotePr>
        <w:numFmt w:val="decimal"/>
      </w:footnotePr>
      <w:type w:val="nextPage"/>
      <w:pgSz w:w="12240" w:h="15840"/>
      <w:pgMar w:left="1440" w:right="1440" w:gutter="0" w:header="0" w:top="1584" w:footer="576" w:bottom="1584"/>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PALATINO">
    <w:altName w:val="Book Antiqua"/>
    <w:charset w:val="00" w:characterSet="windows-1252"/>
    <w:family w:val="roman"/>
    <w:pitch w:val="variable"/>
  </w:font>
  <w:font w:name="NEWCENTURYSCHLBK">
    <w:altName w:val="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20" w:end="0"/>
        <w:jc w:val="both"/>
        <w:rPr/>
      </w:pPr>
      <w:r>
        <w:rPr>
          <w:rStyle w:val="FootnoteCharacters"/>
        </w:rPr>
        <w:footnoteRef/>
      </w:r>
      <w:r>
        <w:rPr/>
        <w:t xml:space="preserve"> </w:t>
      </w:r>
      <w:r>
        <w:rPr>
          <w:sz w:val="20"/>
        </w:rPr>
        <w:t>The PX energy credits are a function of the retail rate freeze.  Since the rate freeze ended for SDG&amp;E, there is no corresponding issue for this utility.</w:t>
      </w:r>
    </w:p>
    <w:p>
      <w:pPr>
        <w:pStyle w:val="FootnoteText"/>
        <w:ind w:firstLine="720" w:end="0"/>
        <w:jc w:val="both"/>
        <w:rPr>
          <w:sz w:val="20"/>
        </w:rPr>
      </w:pPr>
      <w:r>
        <w:rPr>
          <w:sz w:val="20"/>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2"/>
      <w:pStyle w:val="Heading2"/>
      <w:numFmt w:val="upperLetter"/>
      <w:lvlText w:val="%2."/>
      <w:lvlJc w:val="start"/>
      <w:pPr>
        <w:tabs>
          <w:tab w:val="num" w:pos="1800"/>
        </w:tabs>
        <w:ind w:start="1800" w:hanging="360"/>
      </w:pPr>
      <w:rPr>
        <w:i w:val="false"/>
        <w:b/>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3"/>
      <w:numFmt w:val="upperRoman"/>
      <w:lvlText w:val="%1. "/>
      <w:lvlJc w:val="start"/>
      <w:pPr>
        <w:tabs>
          <w:tab w:val="num" w:pos="360"/>
        </w:tabs>
        <w:ind w:start="36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numPr>
        <w:ilvl w:val="1"/>
        <w:numId w:val="1"/>
      </w:numPr>
      <w:tabs>
        <w:tab w:val="clear" w:pos="720"/>
      </w:tabs>
      <w:ind w:hanging="0" w:start="1080" w:end="0"/>
      <w:outlineLvl w:val="1"/>
    </w:pPr>
    <w:rPr>
      <w:b/>
      <w:bCs/>
    </w:rPr>
  </w:style>
  <w:style w:type="paragraph" w:styleId="Heading3">
    <w:name w:val="heading 3"/>
    <w:basedOn w:val="Normal"/>
    <w:next w:val="Normal"/>
    <w:qFormat/>
    <w:pPr>
      <w:keepNext w:val="true"/>
      <w:ind w:hanging="0" w:start="720" w:end="720"/>
      <w:jc w:val="both"/>
      <w:outlineLvl w:val="2"/>
    </w:pPr>
    <w:rPr>
      <w:b/>
    </w:rPr>
  </w:style>
  <w:style w:type="paragraph" w:styleId="Heading4">
    <w:name w:val="heading 4"/>
    <w:basedOn w:val="Normal"/>
    <w:next w:val="Normal"/>
    <w:qFormat/>
    <w:pPr>
      <w:keepNext w:val="true"/>
      <w:widowControl w:val="false"/>
      <w:tabs>
        <w:tab w:val="clear" w:pos="720"/>
        <w:tab w:val="left" w:pos="-1440" w:leader="none"/>
        <w:tab w:val="left" w:pos="-720" w:leader="none"/>
      </w:tabs>
      <w:overflowPunct w:val="false"/>
      <w:autoSpaceDE w:val="false"/>
      <w:jc w:val="center"/>
      <w:textAlignment w:val="baseline"/>
      <w:outlineLvl w:val="3"/>
    </w:pPr>
    <w:rPr>
      <w:rFonts w:ascii="Arial" w:hAnsi="Arial" w:cs="Arial"/>
      <w:szCs w:val="20"/>
    </w:rPr>
  </w:style>
  <w:style w:type="paragraph" w:styleId="Heading5">
    <w:name w:val="heading 5"/>
    <w:basedOn w:val="Normal"/>
    <w:next w:val="Normal"/>
    <w:qFormat/>
    <w:pPr>
      <w:keepNext w:val="true"/>
      <w:ind w:hanging="0" w:start="4320" w:end="-180"/>
      <w:outlineLvl w:val="4"/>
    </w:pPr>
    <w:rPr>
      <w:b/>
      <w:bCs/>
    </w:rPr>
  </w:style>
  <w:style w:type="paragraph" w:styleId="Heading6">
    <w:name w:val="heading 6"/>
    <w:basedOn w:val="Normal"/>
    <w:next w:val="Normal"/>
    <w:qFormat/>
    <w:pPr>
      <w:spacing w:before="120" w:after="120"/>
      <w:ind w:hanging="0" w:start="0" w:end="1440"/>
      <w:outlineLvl w:val="5"/>
    </w:pPr>
    <w:rPr>
      <w:rFonts w:ascii="Helvetica;Arial" w:hAnsi="Helvetica;Arial" w:cs="Helvetica;Arial"/>
      <w:b/>
      <w:szCs w:val="20"/>
    </w:rPr>
  </w:style>
  <w:style w:type="paragraph" w:styleId="Heading7">
    <w:name w:val="heading 7"/>
    <w:basedOn w:val="Normal"/>
    <w:next w:val="Normal"/>
    <w:qFormat/>
    <w:pPr>
      <w:spacing w:before="120" w:after="120"/>
      <w:ind w:hanging="0" w:start="0" w:end="1440"/>
      <w:outlineLvl w:val="6"/>
    </w:pPr>
    <w:rPr>
      <w:rFonts w:ascii="Helvetica;Arial" w:hAnsi="Helvetica;Arial" w:cs="Helvetica;Arial"/>
      <w:b/>
      <w:i/>
      <w:sz w:val="22"/>
      <w:szCs w:val="20"/>
    </w:rPr>
  </w:style>
  <w:style w:type="paragraph" w:styleId="Heading8">
    <w:name w:val="heading 8"/>
    <w:basedOn w:val="Normal"/>
    <w:next w:val="Normal"/>
    <w:qFormat/>
    <w:pPr>
      <w:spacing w:before="120" w:after="120"/>
      <w:ind w:hanging="0" w:start="0" w:end="1440"/>
      <w:outlineLvl w:val="7"/>
    </w:pPr>
    <w:rPr>
      <w:rFonts w:ascii="Helvetica;Arial" w:hAnsi="Helvetica;Arial" w:cs="Helvetica;Arial"/>
      <w:b/>
      <w:i/>
      <w:sz w:val="20"/>
      <w:szCs w:val="20"/>
    </w:rPr>
  </w:style>
  <w:style w:type="paragraph" w:styleId="Heading9">
    <w:name w:val="heading 9"/>
    <w:basedOn w:val="Normal"/>
    <w:next w:val="Normal"/>
    <w:qFormat/>
    <w:pPr>
      <w:tabs>
        <w:tab w:val="clear" w:pos="720"/>
        <w:tab w:val="left" w:pos="3780" w:leader="none"/>
      </w:tabs>
      <w:spacing w:before="120" w:after="120"/>
      <w:ind w:hanging="0" w:start="0" w:end="1440"/>
      <w:outlineLvl w:val="8"/>
    </w:pPr>
    <w:rPr>
      <w:rFonts w:ascii="Arial" w:hAnsi="Arial" w:cs="Arial"/>
      <w:b/>
      <w:i/>
      <w:sz w:val="18"/>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sz w:val="24"/>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u w:val="none"/>
    </w:rPr>
  </w:style>
  <w:style w:type="character" w:styleId="WW8Num12z0">
    <w:name w:val="WW8Num12z0"/>
    <w:qFormat/>
    <w:rPr>
      <w:b/>
      <w:sz w:val="24"/>
    </w:rPr>
  </w:style>
  <w:style w:type="character" w:styleId="WW8Num13z0">
    <w:name w:val="WW8Num13z0"/>
    <w:qFormat/>
    <w:rPr>
      <w:b/>
      <w:sz w:val="24"/>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b/>
      <w:sz w:val="24"/>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sz w:val="24"/>
    </w:rPr>
  </w:style>
  <w:style w:type="character" w:styleId="WW8Num22z0">
    <w:name w:val="WW8Num22z0"/>
    <w:qFormat/>
    <w:rPr>
      <w:rFonts w:ascii="Symbol" w:hAnsi="Symbol" w:cs="Symbol"/>
    </w:rPr>
  </w:style>
  <w:style w:type="character" w:styleId="WW8Num22z1">
    <w:name w:val="WW8Num22z1"/>
    <w:qFormat/>
    <w:rPr>
      <w:rFonts w:ascii="Wingdings" w:hAnsi="Wingdings" w:cs="Wingdings"/>
    </w:rPr>
  </w:style>
  <w:style w:type="character" w:styleId="WW8Num22z4">
    <w:name w:val="WW8Num22z4"/>
    <w:qFormat/>
    <w:rPr>
      <w:rFonts w:ascii="Courier New" w:hAnsi="Courier New" w:cs="Courier New"/>
    </w:rPr>
  </w:style>
  <w:style w:type="character" w:styleId="WW8Num23z1">
    <w:name w:val="WW8Num23z1"/>
    <w:qFormat/>
    <w:rPr>
      <w:b/>
      <w:i w:val="false"/>
    </w:rPr>
  </w:style>
  <w:style w:type="character" w:styleId="WW8Num24z0">
    <w:name w:val="WW8Num24z0"/>
    <w:qFormat/>
    <w:rPr>
      <w:rFonts w:ascii="Symbol" w:hAnsi="Symbol" w:cs="Symbol"/>
    </w:rPr>
  </w:style>
  <w:style w:type="character" w:styleId="WW8Num24z1">
    <w:name w:val="WW8Num24z1"/>
    <w:qFormat/>
    <w:rPr>
      <w:b/>
      <w:i w:val="false"/>
    </w:rPr>
  </w:style>
  <w:style w:type="character" w:styleId="WW8Num25z0">
    <w:name w:val="WW8Num25z0"/>
    <w:qFormat/>
    <w:rPr/>
  </w:style>
  <w:style w:type="character" w:styleId="WW8Num26z0">
    <w:name w:val="WW8Num26z0"/>
    <w:qFormat/>
    <w:rPr>
      <w:rFonts w:ascii="Wingdings" w:hAnsi="Wingdings" w:cs="Wingdings"/>
    </w:rPr>
  </w:style>
  <w:style w:type="character" w:styleId="WW8Num26z3">
    <w:name w:val="WW8Num26z3"/>
    <w:qFormat/>
    <w:rPr>
      <w:rFonts w:ascii="Symbol" w:hAnsi="Symbol" w:cs="Symbol"/>
    </w:rPr>
  </w:style>
  <w:style w:type="character" w:styleId="WW8Num26z4">
    <w:name w:val="WW8Num26z4"/>
    <w:qFormat/>
    <w:rPr>
      <w:rFonts w:ascii="Courier New" w:hAnsi="Courier New" w:cs="Courier New"/>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2">
    <w:name w:val="WW8Num28z2"/>
    <w:qFormat/>
    <w:rPr>
      <w:rFonts w:ascii="Symbol" w:hAnsi="Symbol" w:cs="Symbol"/>
    </w:rPr>
  </w:style>
  <w:style w:type="character" w:styleId="WW8Num28z4">
    <w:name w:val="WW8Num28z4"/>
    <w:qFormat/>
    <w:rPr>
      <w:rFonts w:ascii="Courier New" w:hAnsi="Courier New" w:cs="Courier New"/>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1z0">
    <w:name w:val="WW8Num31z0"/>
    <w:qFormat/>
    <w:rPr>
      <w:rFonts w:ascii="Wingdings" w:hAnsi="Wingdings" w:cs="Wingdings"/>
    </w:rPr>
  </w:style>
  <w:style w:type="character" w:styleId="WW8Num31z1">
    <w:name w:val="WW8Num31z1"/>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style>
  <w:style w:type="character" w:styleId="WW8Num33z0">
    <w:name w:val="WW8Num33z0"/>
    <w:qFormat/>
    <w:rPr/>
  </w:style>
  <w:style w:type="character" w:styleId="WW8Num34z0">
    <w:name w:val="WW8Num34z0"/>
    <w:qFormat/>
    <w:rPr>
      <w:b/>
      <w:sz w:val="24"/>
    </w:rPr>
  </w:style>
  <w:style w:type="character" w:styleId="WW8Num35z0">
    <w:name w:val="WW8Num35z0"/>
    <w:qFormat/>
    <w:rPr>
      <w:rFonts w:ascii="Wingdings" w:hAnsi="Wingdings" w:cs="Wingdings"/>
    </w:rPr>
  </w:style>
  <w:style w:type="character" w:styleId="WW8Num35z3">
    <w:name w:val="WW8Num35z3"/>
    <w:qFormat/>
    <w:rPr>
      <w:rFonts w:ascii="Symbol" w:hAnsi="Symbol" w:cs="Symbol"/>
    </w:rPr>
  </w:style>
  <w:style w:type="character" w:styleId="WW8Num35z4">
    <w:name w:val="WW8Num35z4"/>
    <w:qFormat/>
    <w:rPr>
      <w:rFonts w:ascii="Courier New" w:hAnsi="Courier New" w:cs="Courier New"/>
    </w:rPr>
  </w:style>
  <w:style w:type="character" w:styleId="WW8NumSt7z0">
    <w:name w:val="WW8NumSt7z0"/>
    <w:qFormat/>
    <w:rPr>
      <w:sz w:val="24"/>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mallCaps/>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Indent2">
    <w:name w:val="Body Text Indent 2"/>
    <w:basedOn w:val="Normal"/>
    <w:qFormat/>
    <w:pPr>
      <w:widowControl w:val="false"/>
      <w:overflowPunct w:val="false"/>
      <w:autoSpaceDE w:val="false"/>
      <w:ind w:firstLine="720" w:start="0" w:end="0"/>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spacing w:lineRule="auto" w:line="480"/>
      <w:ind w:firstLine="720" w:start="0" w:end="0"/>
    </w:pPr>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jc w:val="both"/>
    </w:pPr>
    <w:rPr/>
  </w:style>
  <w:style w:type="paragraph" w:styleId="NormalIndent">
    <w:name w:val="Normal Indent"/>
    <w:basedOn w:val="Normal"/>
    <w:qFormat/>
    <w:pPr>
      <w:ind w:hanging="0" w:start="720" w:end="0"/>
    </w:pPr>
    <w:rPr/>
  </w:style>
  <w:style w:type="paragraph" w:styleId="QA">
    <w:name w:val="Q/A"/>
    <w:basedOn w:val="NormalIndent"/>
    <w:qFormat/>
    <w:pPr>
      <w:widowControl w:val="false"/>
      <w:overflowPunct w:val="false"/>
      <w:autoSpaceDE w:val="false"/>
      <w:ind w:hanging="360" w:start="360" w:end="0"/>
      <w:textAlignment w:val="baseline"/>
    </w:pPr>
    <w:rPr>
      <w:szCs w:val="20"/>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szCs w:val="20"/>
    </w:rPr>
  </w:style>
  <w:style w:type="paragraph" w:styleId="Pleading">
    <w:name w:val="Pleading"/>
    <w:basedOn w:val="NormalIndent"/>
    <w:qFormat/>
    <w:pPr>
      <w:spacing w:lineRule="auto" w:line="480"/>
      <w:ind w:firstLine="720" w:start="0" w:end="0"/>
      <w:jc w:val="both"/>
    </w:pPr>
    <w:rPr>
      <w:szCs w:val="20"/>
    </w:rPr>
  </w:style>
  <w:style w:type="paragraph" w:styleId="Heading1Text">
    <w:name w:val="Heading 1 Text"/>
    <w:basedOn w:val="Normal"/>
    <w:qFormat/>
    <w:pPr>
      <w:spacing w:lineRule="atLeast" w:line="480"/>
      <w:ind w:firstLine="720" w:start="0" w:end="0"/>
    </w:pPr>
    <w:rPr>
      <w:rFonts w:ascii="NEWCENTURYSCHLBK;Century Schoolbook" w:hAnsi="NEWCENTURYSCHLBK;Century Schoolbook" w:cs="NEWCENTURYSCHLBK;Century Schoolbook"/>
      <w:szCs w:val="20"/>
    </w:rPr>
  </w:style>
  <w:style w:type="paragraph" w:styleId="OutlineLevel1">
    <w:name w:val="Outline Level 1"/>
    <w:basedOn w:val="Normal"/>
    <w:qFormat/>
    <w:pPr>
      <w:numPr>
        <w:ilvl w:val="0"/>
        <w:numId w:val="2"/>
      </w:numPr>
      <w:spacing w:before="0" w:after="240"/>
      <w:outlineLvl w:val="0"/>
    </w:pPr>
    <w:rPr>
      <w:szCs w:val="20"/>
    </w:rPr>
  </w:style>
  <w:style w:type="paragraph" w:styleId="BodyText3">
    <w:name w:val="Body Text 3"/>
    <w:basedOn w:val="Normal"/>
    <w:qFormat/>
    <w:pPr>
      <w:tabs>
        <w:tab w:val="clear" w:pos="720"/>
        <w:tab w:val="left" w:pos="1440" w:leader="none"/>
        <w:tab w:val="left" w:pos="3600" w:leader="none"/>
      </w:tabs>
    </w:pPr>
    <w:rPr>
      <w:sz w:val="22"/>
    </w:rPr>
  </w:style>
  <w:style w:type="paragraph" w:styleId="BlockText">
    <w:name w:val="Block Text"/>
    <w:basedOn w:val="Normal"/>
    <w:qFormat/>
    <w:pPr>
      <w:ind w:hanging="0" w:start="720" w:end="720"/>
      <w:jc w:val="both"/>
    </w:pPr>
    <w:rPr>
      <w:b/>
    </w:rPr>
  </w:style>
  <w:style w:type="paragraph" w:styleId="Subtitle">
    <w:name w:val="Subtitle"/>
    <w:basedOn w:val="Normal"/>
    <w:next w:val="BodyText"/>
    <w:qFormat/>
    <w:pPr>
      <w:ind w:hanging="0" w:start="720" w:end="720"/>
    </w:pPr>
    <w:rPr>
      <w:b/>
      <w:bCs/>
      <w:u w:val="singl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2001-09-24T15:24:00Z</dcterms:created>
  <dc:creator>Daniel W. Douglass</dc:creator>
  <dc:description/>
  <dc:language>en-CA</dc:language>
  <cp:lastModifiedBy>Daniel W. Douglass</cp:lastModifiedBy>
  <cp:lastPrinted>2001-08-29T14:02:00Z</cp:lastPrinted>
  <dcterms:modified xsi:type="dcterms:W3CDTF">2001-09-24T15:27:00Z</dcterms:modified>
  <cp:revision>3</cp:revision>
  <dc:subject/>
  <dc:title>BEFORE THE PUBLIC UTILITIES COMMISSION</dc:title>
</cp:coreProperties>
</file>