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bCs/>
        </w:rPr>
      </w:pPr>
      <w:r>
        <w:rPr>
          <w:b/>
          <w:bCs/>
        </w:rPr>
        <w:t>BEFORE THE PUBLIC UTILITIES COMMISSION</w:t>
      </w:r>
    </w:p>
    <w:p>
      <w:pPr>
        <w:pStyle w:val="BodyText"/>
        <w:ind w:firstLine="90" w:end="0"/>
        <w:jc w:val="center"/>
        <w:rPr>
          <w:b/>
          <w:bCs/>
        </w:rPr>
      </w:pPr>
      <w:r>
        <w:rPr>
          <w:b/>
          <w:bCs/>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AND REQUEST FOR EMERGENCY STAY</w:t>
      </w:r>
    </w:p>
    <w:p>
      <w:pPr>
        <w:pStyle w:val="BodyText"/>
        <w:spacing w:lineRule="auto" w:line="240"/>
        <w:ind w:hanging="0" w:end="0"/>
        <w:jc w:val="center"/>
        <w:rPr>
          <w:b/>
          <w:bCs/>
        </w:rPr>
      </w:pPr>
      <w:r>
        <w:rPr>
          <w:b/>
          <w:bCs/>
        </w:rPr>
        <w:t>OF THE ALLIANCE FOR RETAIL ENERGY MARKETS AND THE</w:t>
      </w:r>
    </w:p>
    <w:p>
      <w:pPr>
        <w:pStyle w:val="BodyText"/>
        <w:spacing w:lineRule="auto" w:line="240"/>
        <w:ind w:hanging="0" w:end="0"/>
        <w:jc w:val="center"/>
        <w:rPr>
          <w:b/>
          <w:bCs/>
        </w:rPr>
      </w:pPr>
      <w:r>
        <w:rPr>
          <w:b/>
          <w:bCs/>
        </w:rPr>
        <w:t>WESTERN POWER TRADING FORUM</w:t>
      </w:r>
    </w:p>
    <w:p>
      <w:pPr>
        <w:pStyle w:val="BodyText"/>
        <w:rPr>
          <w:b/>
          <w:bCs/>
        </w:rPr>
      </w:pPr>
      <w:r>
        <w:rPr>
          <w:b/>
          <w:bCs/>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21, 2001</w:t>
      </w:r>
    </w:p>
    <w:p>
      <w:pPr>
        <w:pStyle w:val="BodyText"/>
        <w:spacing w:lineRule="auto" w:line="240"/>
        <w:ind w:hanging="0" w:end="0"/>
        <w:jc w:val="center"/>
        <w:rPr>
          <w:b/>
          <w:bCs/>
        </w:rPr>
      </w:pPr>
      <w:r>
        <w:rPr>
          <w:b/>
          <w:bCs/>
        </w:rPr>
        <w:t>BEFORE THE PUBLIC UTILITIES COMMISSION</w:t>
      </w:r>
    </w:p>
    <w:p>
      <w:pPr>
        <w:pStyle w:val="BodyText"/>
        <w:ind w:hanging="0" w:end="0"/>
        <w:jc w:val="center"/>
        <w:rPr>
          <w:b/>
          <w:bCs/>
        </w:rPr>
      </w:pPr>
      <w:r>
        <w:rPr>
          <w:b/>
          <w:bCs/>
        </w:rPr>
        <w:t>OF THE STATE OF CALIFORNIA</w:t>
      </w:r>
    </w:p>
    <w:p>
      <w:pPr>
        <w:pStyle w:val="BodyText"/>
        <w:spacing w:lineRule="auto" w:line="240"/>
        <w:ind w:hanging="0" w:end="0"/>
        <w:jc w:val="center"/>
        <w:rPr>
          <w:b/>
          <w:bCs/>
        </w:rPr>
      </w:pPr>
      <w:r>
        <w:rPr>
          <w:b/>
          <w:bCs/>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rPr/>
      </w:pPr>
      <w:r>
        <w:rPr/>
      </w:r>
    </w:p>
    <w:p>
      <w:pPr>
        <w:pStyle w:val="BodyText"/>
        <w:spacing w:lineRule="auto" w:line="240"/>
        <w:ind w:hanging="0" w:end="0"/>
        <w:jc w:val="center"/>
        <w:rPr>
          <w:b/>
          <w:bCs/>
        </w:rPr>
      </w:pPr>
      <w:r>
        <w:rPr>
          <w:b/>
          <w:bCs/>
        </w:rPr>
        <w:t>APPLICATION FOR REHEARING AND REQUEST FOR EMERGENCY STAY</w:t>
      </w:r>
    </w:p>
    <w:p>
      <w:pPr>
        <w:pStyle w:val="BodyText"/>
        <w:spacing w:lineRule="auto" w:line="240"/>
        <w:ind w:hanging="0" w:end="0"/>
        <w:jc w:val="center"/>
        <w:rPr>
          <w:b/>
          <w:bCs/>
        </w:rPr>
      </w:pPr>
      <w:r>
        <w:rPr>
          <w:b/>
          <w:bCs/>
        </w:rPr>
        <w:t>OF THE ALLIANCE FOR RETAIL ENERGY MARKETS AND THE</w:t>
      </w:r>
    </w:p>
    <w:p>
      <w:pPr>
        <w:pStyle w:val="BodyText"/>
        <w:spacing w:lineRule="auto" w:line="240"/>
        <w:ind w:hanging="0" w:end="0"/>
        <w:jc w:val="center"/>
        <w:rPr>
          <w:b/>
          <w:bCs/>
        </w:rPr>
      </w:pPr>
      <w:r>
        <w:rPr>
          <w:b/>
          <w:bCs/>
        </w:rPr>
        <w:t>WESTERN POWER TRADING FORUM</w:t>
      </w:r>
    </w:p>
    <w:p>
      <w:pPr>
        <w:pStyle w:val="BodyText"/>
        <w:jc w:val="center"/>
        <w:rPr>
          <w:b/>
          <w:bCs/>
        </w:rPr>
      </w:pPr>
      <w:r>
        <w:rPr>
          <w:b/>
          <w:bCs/>
        </w:rPr>
      </w:r>
    </w:p>
    <w:p>
      <w:pPr>
        <w:pStyle w:val="BodyText"/>
        <w:rPr/>
      </w:pPr>
      <w:r>
        <w:rPr/>
        <w:t>Pursuant to Rules 85 and 86 of the Commission’s Rules of Practice and Procedure, the Alliance for Retail Energy Markets (“AReM”) and the Western Power Trading Forum (“WPTF”) hereby seek rehearing of the Commission’s decision _________ (the “Decision”), issued September 20, 2001, and an emergency stay of the implementation of such Decision until such time as this application for rehearing is acted upon by the Commission.  AReM and WPTF are hereinafter referred to collectively as the “Joint Parties.”</w:t>
      </w:r>
    </w:p>
    <w:p>
      <w:pPr>
        <w:pStyle w:val="BodyText"/>
        <w:ind w:hanging="0" w:end="0"/>
        <w:rPr/>
      </w:pPr>
      <w:r>
        <w:rPr>
          <w:b/>
          <w:bCs/>
        </w:rPr>
        <w:t xml:space="preserve">I.  </w:t>
      </w:r>
      <w:r>
        <w:rPr>
          <w:b/>
          <w:bCs/>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3"/>
        </w:numPr>
        <w:tabs>
          <w:tab w:val="clear" w:pos="720"/>
          <w:tab w:val="left" w:pos="0" w:leader="none"/>
        </w:tabs>
        <w:ind w:hanging="720" w:start="1080" w:end="0"/>
        <w:rPr/>
      </w:pPr>
      <w:r>
        <w:rPr/>
        <w:t xml:space="preserve">The Commission’s Decision violates both United States and California constitutional guarantees by the following actions: </w:t>
      </w:r>
    </w:p>
    <w:p>
      <w:pPr>
        <w:pStyle w:val="BodyText"/>
        <w:numPr>
          <w:ilvl w:val="0"/>
          <w:numId w:val="0"/>
        </w:numPr>
        <w:ind w:hanging="0" w:start="360" w:end="0"/>
        <w:rPr/>
      </w:pPr>
      <w:r>
        <w:rPr/>
        <w:t xml:space="preserve">(i) Interfering with existing contractual obligations; </w:t>
      </w:r>
    </w:p>
    <w:p>
      <w:pPr>
        <w:pStyle w:val="BodyText"/>
        <w:numPr>
          <w:ilvl w:val="0"/>
          <w:numId w:val="0"/>
        </w:numPr>
        <w:ind w:hanging="0" w:start="1800" w:end="0"/>
        <w:rPr/>
      </w:pPr>
      <w:r>
        <w:rPr/>
        <w:t>(ii) Taking the property of direct access customers and energy service providers (“ESPs”) without compensation;</w:t>
      </w:r>
    </w:p>
    <w:p>
      <w:pPr>
        <w:pStyle w:val="BodyText"/>
        <w:numPr>
          <w:ilvl w:val="0"/>
          <w:numId w:val="0"/>
        </w:numPr>
        <w:ind w:hanging="0" w:start="1800" w:end="0"/>
        <w:rPr/>
      </w:pPr>
      <w:r>
        <w:rPr/>
        <w:t xml:space="preserve">(iii) Depriving direct access customers and ESPs of due process by refusing to conduct hearings; and </w:t>
      </w:r>
    </w:p>
    <w:p>
      <w:pPr>
        <w:pStyle w:val="BodyText"/>
        <w:numPr>
          <w:ilvl w:val="0"/>
          <w:numId w:val="0"/>
        </w:numPr>
        <w:ind w:hanging="0" w:start="1800" w:end="0"/>
        <w:rPr/>
      </w:pPr>
      <w:r>
        <w:rPr/>
        <w:t>(iv) Interfering with interstate commerce.</w:t>
      </w:r>
    </w:p>
    <w:p>
      <w:pPr>
        <w:pStyle w:val="BodyText"/>
        <w:numPr>
          <w:ilvl w:val="0"/>
          <w:numId w:val="3"/>
        </w:numPr>
        <w:tabs>
          <w:tab w:val="clear" w:pos="720"/>
          <w:tab w:val="left" w:pos="0" w:leader="none"/>
          <w:tab w:val="left" w:pos="360" w:leader="none"/>
        </w:tabs>
        <w:ind w:hanging="720" w:start="1080" w:end="0"/>
        <w:rPr>
          <w:b/>
          <w:bCs/>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w:t>
      </w:r>
    </w:p>
    <w:p>
      <w:pPr>
        <w:pStyle w:val="BodyText"/>
        <w:numPr>
          <w:ilvl w:val="0"/>
          <w:numId w:val="3"/>
        </w:numPr>
        <w:tabs>
          <w:tab w:val="clear" w:pos="720"/>
          <w:tab w:val="left" w:pos="0" w:leader="none"/>
          <w:tab w:val="left" w:pos="360" w:leader="none"/>
        </w:tabs>
        <w:ind w:hanging="720" w:start="1080" w:end="0"/>
        <w:rPr>
          <w:b/>
          <w:bCs/>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0"/>
        </w:numPr>
        <w:ind w:hanging="0" w:start="0"/>
        <w:rPr/>
      </w:pPr>
      <w:r>
        <w:rPr/>
        <w:t xml:space="preserve">This case presents issues of urgent statewide importance because it concerns the unconstitutional and unlawful actions of the Commission, which have interfered with the right of thousands of Californians to receive the benefit of their contracts to purchase direct access power and to opt for direct access in the future.  The September 20 Decision abrogates the rights of Californians who are parties to </w:t>
      </w:r>
      <w:r>
        <w:rPr>
          <w:u w:val="single"/>
        </w:rPr>
        <w:t>existing</w:t>
      </w:r>
      <w:r>
        <w:rPr/>
        <w:t xml:space="preserve"> direct access contracts (i) when it suspends retroactively from and after July 1, 2001, the right to contract for direct access and (ii) when it unilaterally modifies the terms of all other direct access contracts by subjecting those contracts to suspension following their initial term.  The Commission took its action over protest from multiple parties without allowing any hearings.</w:t>
      </w:r>
    </w:p>
    <w:p>
      <w:pPr>
        <w:pStyle w:val="BodyText"/>
        <w:numPr>
          <w:ilvl w:val="0"/>
          <w:numId w:val="0"/>
        </w:numPr>
        <w:ind w:hanging="0" w:start="0"/>
        <w:rPr>
          <w:b/>
          <w:bCs/>
        </w:rPr>
      </w:pPr>
      <w:r>
        <w:rPr/>
        <w:t xml:space="preserve">The Commission’s action has caused and will continue to cause extraordinary and irreparable harm.  First, the Commission has damaged direct access customers because their direct access contracts are forfeited and they will be compelled to obtain power at higher rates from the State of California, delivered by the regulated utilities.  Second, the Commission has damaged ESPs because their direct access contracts have essentially been confiscated and they will additionally lose the funds they expended and the commitments they made in order to provide electricity to California’s direct access users.  </w:t>
      </w:r>
    </w:p>
    <w:p>
      <w:pPr>
        <w:pStyle w:val="BodyText"/>
        <w:numPr>
          <w:ilvl w:val="0"/>
          <w:numId w:val="0"/>
        </w:numPr>
        <w:ind w:hanging="0" w:start="0"/>
        <w:rPr/>
      </w:pPr>
      <w:r>
        <w:rPr/>
        <w:t>Rehearing of this decision is essential because:</w:t>
      </w:r>
    </w:p>
    <w:p>
      <w:pPr>
        <w:pStyle w:val="BodyText"/>
        <w:numPr>
          <w:ilvl w:val="0"/>
          <w:numId w:val="3"/>
        </w:numPr>
        <w:tabs>
          <w:tab w:val="clear" w:pos="720"/>
          <w:tab w:val="left" w:pos="0" w:leader="none"/>
        </w:tabs>
        <w:ind w:hanging="720" w:start="1440" w:end="0"/>
        <w:rPr/>
      </w:pPr>
      <w:r>
        <w:rPr/>
        <w:t>The retroactive application of the Commission’s Decision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Text"/>
        <w:numPr>
          <w:ilvl w:val="0"/>
          <w:numId w:val="3"/>
        </w:numPr>
        <w:tabs>
          <w:tab w:val="clear" w:pos="720"/>
          <w:tab w:val="left" w:pos="0" w:leader="none"/>
        </w:tabs>
        <w:ind w:hanging="720" w:start="1440" w:end="0"/>
        <w:rPr/>
      </w:pPr>
      <w:r>
        <w:rPr/>
        <w:t>The Commission’s Decision modifying pre-July 1 and suspending post-July 1 direct access contracts constitutes a taking of the Joint Parties’ property without compensation in violation of (a) the Fifth and Fourteenth Amendments of the United States Constitution and (b) Article 1, Section 19 of the California Constitution.</w:t>
      </w:r>
    </w:p>
    <w:p>
      <w:pPr>
        <w:pStyle w:val="BodyText"/>
        <w:numPr>
          <w:ilvl w:val="0"/>
          <w:numId w:val="3"/>
        </w:numPr>
        <w:tabs>
          <w:tab w:val="clear" w:pos="720"/>
          <w:tab w:val="left" w:pos="0" w:leader="none"/>
        </w:tabs>
        <w:ind w:hanging="720" w:start="144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3"/>
        </w:numPr>
        <w:tabs>
          <w:tab w:val="clear" w:pos="720"/>
          <w:tab w:val="left" w:pos="0" w:leader="none"/>
        </w:tabs>
        <w:ind w:hanging="720" w:start="1440" w:end="0"/>
        <w:rPr/>
      </w:pPr>
      <w:r>
        <w:rPr/>
        <w:t>The Commission’s Decision modifying pre-July 1 and suspending post-July 1 contracts interferes within interstate commerce in violation of Section 8 of Article I of the United States Constitution.</w:t>
      </w:r>
    </w:p>
    <w:p>
      <w:pPr>
        <w:pStyle w:val="BodyText"/>
        <w:numPr>
          <w:ilvl w:val="0"/>
          <w:numId w:val="3"/>
        </w:numPr>
        <w:tabs>
          <w:tab w:val="clear" w:pos="720"/>
          <w:tab w:val="left" w:pos="0" w:leader="none"/>
        </w:tabs>
        <w:ind w:hanging="360" w:start="144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rPr/>
      </w:pPr>
      <w:r>
        <w:rPr/>
        <w:t>Pending review of this application for rehearing, the Joint Parties request that an immediate stay order be issued pursuant to Public Utilities Code § 1763(a) to maintain the status quo.  Otherwise, direct access customers and ESPs will suffer irreparable harm because the suspension will cause the termination and thus the loss of direct access contracts, which loss cannot be cured when the Commission’s Decision is ultimately vacated.  Moreover, an immediate stay is necessary to stop the continued violation of the constitutional rights.</w:t>
      </w:r>
    </w:p>
    <w:p>
      <w:pPr>
        <w:pStyle w:val="BodyText"/>
        <w:rPr>
          <w:b/>
          <w:bCs/>
        </w:rPr>
      </w:pPr>
      <w:r>
        <w:rPr>
          <w:b/>
          <w:bCs/>
        </w:rPr>
      </w:r>
    </w:p>
    <w:p>
      <w:pPr>
        <w:pStyle w:val="BodyText"/>
        <w:ind w:hanging="0" w:end="0"/>
        <w:rPr>
          <w:b/>
          <w:bCs/>
        </w:rPr>
      </w:pPr>
      <w:r>
        <w:rPr>
          <w:b/>
          <w:bCs/>
        </w:rPr>
        <w:t xml:space="preserve">II.  </w:t>
      </w:r>
      <w:r>
        <w:rPr>
          <w:b/>
          <w:bCs/>
          <w:u w:val="single"/>
        </w:rPr>
        <w:t>Procedural Summary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bCs/>
        </w:rPr>
        <w:t>as shall be determined by the Commission</w:t>
      </w:r>
      <w:r>
        <w:rPr/>
        <w:t>, the right of retail end use customers . . . to acquire service from other providers shall be suspended.”  (Emphasis added).</w:t>
      </w:r>
    </w:p>
    <w:p>
      <w:pPr>
        <w:pStyle w:val="BodyText"/>
        <w:ind w:start="1440" w:end="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rPr/>
      </w:pPr>
      <w:r>
        <w:rPr/>
        <w:t xml:space="preserve">By suspending, as of July 1, 2001, the right to enter into direct access contracts, the Commission voided all direct access contracts entered into since that date.  The Commission also modified the terms of all other direct access contracts by suspending (i.e., terminating) all such contracts after their initial term.  </w:t>
      </w:r>
    </w:p>
    <w:p>
      <w:pPr>
        <w:pStyle w:val="BodyText"/>
        <w:rPr/>
      </w:pPr>
      <w:r>
        <w:rPr/>
      </w:r>
      <w:r>
        <w:br w:type="page"/>
      </w:r>
    </w:p>
    <w:p>
      <w:pPr>
        <w:pStyle w:val="BodyText"/>
        <w:rPr>
          <w:b/>
          <w:bCs/>
        </w:rPr>
      </w:pPr>
      <w:r>
        <w:rPr>
          <w:b/>
          <w:bCs/>
        </w:rPr>
        <w:t xml:space="preserve">III.  </w:t>
      </w:r>
      <w:r>
        <w:rPr>
          <w:b/>
          <w:bCs/>
          <w:u w:val="single"/>
        </w:rPr>
        <w:t>The Joint Parties Request and are Entitled to a Temporary Stay.</w:t>
      </w:r>
    </w:p>
    <w:p>
      <w:pPr>
        <w:pStyle w:val="BodyText"/>
        <w:rPr/>
      </w:pPr>
      <w:r>
        <w:rPr/>
        <w:t xml:space="preserve">The Joint Parties request that the Commission grant a temporary stay restraining the operation of the Decision because direct access customers and the ESPs who serve them will otherwise suffer the following irreparable loss or damage: </w:t>
      </w:r>
    </w:p>
    <w:p>
      <w:pPr>
        <w:pStyle w:val="BodyText"/>
        <w:ind w:hanging="360" w:start="1080" w:end="0"/>
        <w:rPr/>
      </w:pPr>
      <w:r>
        <w:rPr/>
        <w:fldChar w:fldCharType="begin"/>
      </w:r>
      <w:r>
        <w:rPr/>
        <w:instrText xml:space="preserve"> SEQ Level3 \* alphabetic </w:instrText>
      </w:r>
      <w:r>
        <w:rPr/>
        <w:fldChar w:fldCharType="separate"/>
      </w:r>
      <w:r>
        <w:rPr/>
        <w:t>a</w:t>
      </w:r>
      <w:r>
        <w:rPr/>
        <w:fldChar w:fldCharType="end"/>
      </w:r>
      <w:r>
        <w:rPr/>
        <w:t>)</w:t>
        <w:tab/>
        <w:t>The suspension of the right to contract for direct access from and after July 1, 2001, will result in the immediate forfeiture and loss of the post-July 1 contracts without the possibility of the contracts being reinstated or resurrected;</w:t>
      </w:r>
    </w:p>
    <w:p>
      <w:pPr>
        <w:pStyle w:val="BodyText"/>
        <w:ind w:hanging="360" w:start="1080" w:end="0"/>
        <w:rPr/>
      </w:pPr>
      <w:r>
        <w:rPr/>
        <w:fldChar w:fldCharType="begin"/>
      </w:r>
      <w:r>
        <w:rPr/>
        <w:instrText xml:space="preserve"> SEQ Level3 \* alphabetic </w:instrText>
      </w:r>
      <w:r>
        <w:rPr/>
        <w:fldChar w:fldCharType="separate"/>
      </w:r>
      <w:r>
        <w:rPr/>
        <w:t>b</w:t>
      </w:r>
      <w:r>
        <w:rPr/>
        <w:fldChar w:fldCharType="end"/>
      </w:r>
      <w:r>
        <w:rPr/>
        <w:t>)</w:t>
        <w:tab/>
        <w:t>The modification of one of the fundamental terms in the pre-July 1 contracts suspending such contracts after their initial term will result, at the end of their initial term, in the forfeiture and loss of those contracts without the possibility of those contracts being reinstated or resurrected; and</w:t>
      </w:r>
    </w:p>
    <w:p>
      <w:pPr>
        <w:pStyle w:val="BodyText"/>
        <w:ind w:hanging="360" w:start="1080" w:end="0"/>
        <w:rPr/>
      </w:pPr>
      <w:r>
        <w:rPr/>
        <w:fldChar w:fldCharType="begin"/>
      </w:r>
      <w:r>
        <w:rPr/>
        <w:instrText xml:space="preserve"> SEQ Level3 \* alphabetic </w:instrText>
      </w:r>
      <w:r>
        <w:rPr/>
        <w:fldChar w:fldCharType="separate"/>
      </w:r>
      <w:r>
        <w:rPr/>
        <w:t>c</w:t>
      </w:r>
      <w:r>
        <w:rPr/>
        <w:fldChar w:fldCharType="end"/>
      </w:r>
      <w:r>
        <w:rPr/>
        <w:t>)</w:t>
        <w:tab/>
        <w:t>Direct access customers and ESPs will be subjected to a continuing violation of their constitutional right to due process, and will be subjected to a continuing interference with contracts and a continuing uncompensated taking.</w:t>
      </w:r>
    </w:p>
    <w:p>
      <w:pPr>
        <w:pStyle w:val="BodyText"/>
        <w:rPr/>
      </w:pPr>
      <w:r>
        <w:rPr/>
      </w:r>
    </w:p>
    <w:p>
      <w:pPr>
        <w:pStyle w:val="BodyText"/>
        <w:ind w:hanging="0" w:end="0"/>
        <w:rPr>
          <w:b/>
          <w:bCs/>
        </w:rPr>
      </w:pPr>
      <w:r>
        <w:rPr>
          <w:b/>
          <w:bCs/>
        </w:rPr>
        <w:t xml:space="preserve">IV.  </w:t>
      </w:r>
      <w:r>
        <w:rPr>
          <w:b/>
          <w:bCs/>
          <w:u w:val="single"/>
        </w:rPr>
        <w:t>Grounds for Rehearing</w:t>
      </w:r>
    </w:p>
    <w:p>
      <w:pPr>
        <w:pStyle w:val="BodyText"/>
        <w:numPr>
          <w:ilvl w:val="0"/>
          <w:numId w:val="4"/>
        </w:numPr>
        <w:tabs>
          <w:tab w:val="clear" w:pos="720"/>
          <w:tab w:val="left" w:pos="0" w:leader="none"/>
        </w:tabs>
        <w:spacing w:lineRule="auto" w:line="240"/>
        <w:ind w:hanging="1455" w:start="2175" w:end="0"/>
        <w:rPr>
          <w:b/>
          <w:bCs/>
          <w:u w:val="single"/>
        </w:rPr>
      </w:pPr>
      <w:r>
        <w:rPr>
          <w:b/>
          <w:bCs/>
          <w:u w:val="single"/>
        </w:rPr>
        <w:t>The Commission Violated the Joint Parties’ Rights Under The United States And The California Constitutions.</w:t>
      </w:r>
    </w:p>
    <w:p>
      <w:pPr>
        <w:pStyle w:val="BodyText"/>
        <w:numPr>
          <w:ilvl w:val="0"/>
          <w:numId w:val="0"/>
        </w:numPr>
        <w:spacing w:lineRule="auto" w:line="240"/>
        <w:ind w:hanging="0" w:start="720" w:end="0"/>
        <w:rPr>
          <w:b/>
          <w:bCs/>
          <w:u w:val="single"/>
        </w:rPr>
      </w:pPr>
      <w:r>
        <w:rPr>
          <w:b/>
          <w:bCs/>
          <w:u w:val="single"/>
        </w:rPr>
      </w:r>
    </w:p>
    <w:p>
      <w:pPr>
        <w:pStyle w:val="BodyText"/>
        <w:numPr>
          <w:ilvl w:val="0"/>
          <w:numId w:val="0"/>
        </w:numPr>
        <w:ind w:hanging="0" w:start="1080" w:end="0"/>
        <w:rPr/>
      </w:pPr>
      <w:r>
        <w:rPr>
          <w:b/>
          <w:bCs/>
        </w:rPr>
        <w:t xml:space="preserve">1.  </w:t>
      </w:r>
      <w:r>
        <w:rPr>
          <w:b/>
          <w:bCs/>
          <w:u w:val="single"/>
        </w:rPr>
        <w:t>The Commission Decision Violates the Contract Clause.</w:t>
      </w:r>
    </w:p>
    <w:p>
      <w:pPr>
        <w:pStyle w:val="BodyText"/>
        <w:numPr>
          <w:ilvl w:val="0"/>
          <w:numId w:val="0"/>
        </w:numPr>
        <w:ind w:hanging="0" w:start="0"/>
        <w:rPr/>
      </w:pPr>
      <w:r>
        <w:rPr/>
        <w:t>Both the California and the United States Constitutions contain provisions that bar the government from enacting provisions that impair contracts.  In pertinent part, Article I, Section 10 of the United States Constitution provides:</w:t>
      </w:r>
    </w:p>
    <w:p>
      <w:pPr>
        <w:pStyle w:val="BodyText"/>
        <w:numPr>
          <w:ilvl w:val="0"/>
          <w:numId w:val="0"/>
        </w:numPr>
        <w:spacing w:lineRule="auto" w:line="240"/>
        <w:ind w:hanging="0" w:start="1440" w:end="1440"/>
        <w:rPr/>
      </w:pPr>
      <w:r>
        <w:rPr/>
        <w:t>“</w:t>
      </w:r>
      <w:r>
        <w:rPr/>
        <w:t>No State . . . shall . . . pass any . . . Law impairing the Obligation of Contracts . . . .”</w:t>
      </w:r>
    </w:p>
    <w:p>
      <w:pPr>
        <w:pStyle w:val="BodyText"/>
        <w:numPr>
          <w:ilvl w:val="0"/>
          <w:numId w:val="0"/>
        </w:numPr>
        <w:ind w:hanging="0" w:start="0"/>
        <w:rPr/>
      </w:pPr>
      <w:r>
        <w:rPr/>
        <w:t>The California Constitution similarly provides in Article 1, Section 9:</w:t>
      </w:r>
    </w:p>
    <w:p>
      <w:pPr>
        <w:pStyle w:val="BodyText"/>
        <w:numPr>
          <w:ilvl w:val="0"/>
          <w:numId w:val="0"/>
        </w:numPr>
        <w:spacing w:lineRule="auto" w:line="240"/>
        <w:ind w:hanging="0" w:start="1440" w:end="1440"/>
        <w:rPr/>
      </w:pPr>
      <w:r>
        <w:rPr/>
        <w:t>“</w:t>
      </w:r>
      <w:r>
        <w:rPr/>
        <w:t>A . . . law impairing the obligation of contracts may not be passed.”</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Such laws are invalid retrospective legislation.  </w:t>
      </w:r>
      <w:r>
        <w:rPr>
          <w:i/>
          <w:iCs/>
        </w:rPr>
        <w:t>See Union Oil Company v. Moesch</w:t>
      </w:r>
      <w:r>
        <w:rPr/>
        <w:t xml:space="preserve">(1979) 88 Cal.App.3d 72, 77  (holding that legislation only applied prospectively to contract renewal, not retrospectively to initial contract); </w:t>
      </w:r>
      <w:r>
        <w:rPr>
          <w:i/>
          <w:iCs/>
        </w:rPr>
        <w:t>United States Trust Company v. New Jersey</w:t>
      </w:r>
      <w:r>
        <w:rPr/>
        <w:t xml:space="preserve">, 431 U.S.1 (1977) (invalidating retroactive repeal of statutory covenant between New York and New Jersey).  Federal and California decisional law use a similar test to determine whether a violation of the Contracts Clause has occurred.  </w:t>
      </w:r>
      <w:r>
        <w:rPr>
          <w:i/>
          <w:iCs/>
        </w:rPr>
        <w:t>See Sonoma County Organization of Public Employees v. County of Sonoma</w:t>
      </w:r>
      <w:r>
        <w:rPr/>
        <w:t xml:space="preserve">(1979) 23 Cal.3d 296, 307 (employing identical tests to determine whether legislation violates Federal and State Contract Clauses).  The test consists of three steps as set forth in </w:t>
      </w:r>
      <w:r>
        <w:rPr>
          <w:i/>
          <w:iCs/>
        </w:rPr>
        <w:t>General Motors Corporation v. Romein</w:t>
      </w:r>
      <w:r>
        <w:rPr/>
        <w:t>, 503 U.S. 181 (1992), at page 186:</w:t>
      </w:r>
    </w:p>
    <w:p>
      <w:pPr>
        <w:pStyle w:val="BodyText"/>
        <w:numPr>
          <w:ilvl w:val="0"/>
          <w:numId w:val="0"/>
        </w:numPr>
        <w:spacing w:lineRule="auto" w:line="240"/>
        <w:ind w:hanging="0" w:start="1440" w:end="1440"/>
        <w:rPr/>
      </w:pPr>
      <w:r>
        <w:rPr/>
        <w:t>“</w:t>
      </w:r>
      <w:r>
        <w:rPr/>
        <w:t>This inquiry has three components: whether there is a contractual relationship, whether a change in law impairs that contractual relationship, and whether the impairment is substantial.”</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In order to establish a violation of this constitutional prohibition, it is necessary to demonstrate that “a change in state law has ‘operated as a substantial impairment of a contractual relationship.’”  </w:t>
      </w:r>
      <w:r>
        <w:rPr>
          <w:i/>
          <w:iCs/>
        </w:rPr>
        <w:t>Id.</w:t>
      </w:r>
      <w:r>
        <w:rPr/>
        <w:t xml:space="preserve">, quoting </w:t>
      </w:r>
      <w:r>
        <w:rPr>
          <w:i/>
          <w:iCs/>
        </w:rPr>
        <w:t>Allied Structural Steel Co. v. Spannous</w:t>
      </w:r>
      <w:r>
        <w:rPr/>
        <w:t>, 438 U.S. 234, 244 (1978).</w:t>
      </w:r>
    </w:p>
    <w:p>
      <w:pPr>
        <w:pStyle w:val="BodyText"/>
        <w:numPr>
          <w:ilvl w:val="0"/>
          <w:numId w:val="0"/>
        </w:numPr>
        <w:ind w:hanging="0" w:start="1440" w:end="0"/>
        <w:rPr>
          <w:b/>
          <w:bCs/>
        </w:rPr>
      </w:pPr>
      <w:r>
        <w:rPr>
          <w:b/>
          <w:bCs/>
        </w:rPr>
        <w:t>a.  The Existence Of The Contractual Relationship Is Undisputed.</w:t>
      </w:r>
    </w:p>
    <w:p>
      <w:pPr>
        <w:pStyle w:val="BodyText"/>
        <w:numPr>
          <w:ilvl w:val="0"/>
          <w:numId w:val="0"/>
        </w:numPr>
        <w:ind w:hanging="0" w:start="0"/>
        <w:rPr/>
      </w:pPr>
      <w:r>
        <w:rPr/>
        <w:t>There is no dispute that the Commission directed its Decision to and intended to affect existing contractual relationships.  Indeed, the entire object of the Commission was to interfere with those existing contracts so consumers would be compelled to obtain energy from the State of California at higher prices.  This issue is indisputable.</w:t>
      </w:r>
    </w:p>
    <w:p>
      <w:pPr>
        <w:pStyle w:val="BodyText"/>
        <w:numPr>
          <w:ilvl w:val="0"/>
          <w:numId w:val="0"/>
        </w:numPr>
        <w:ind w:hanging="0" w:start="1440" w:end="0"/>
        <w:rPr>
          <w:b/>
          <w:bCs/>
        </w:rPr>
      </w:pPr>
      <w:r>
        <w:rPr>
          <w:b/>
          <w:bCs/>
        </w:rPr>
        <w:t>b.  The Decision Impairs Existing Contractual Relationships.</w:t>
      </w:r>
    </w:p>
    <w:p>
      <w:pPr>
        <w:pStyle w:val="BodyText"/>
        <w:numPr>
          <w:ilvl w:val="0"/>
          <w:numId w:val="0"/>
        </w:numPr>
        <w:ind w:hanging="0" w:start="0"/>
        <w:rPr/>
      </w:pPr>
      <w:r>
        <w:rPr/>
        <w:t xml:space="preserve">The next question is whether the Decision impairs contractual relationships.  Again, there is no dispute.  The Commission’s Decision is intended to impair and does impair all direct access contracts by voiding the post-July 1 contracts </w:t>
      </w:r>
      <w:r>
        <w:rPr>
          <w:i/>
          <w:iCs/>
        </w:rPr>
        <w:t>ab initio</w:t>
      </w:r>
      <w:r>
        <w:rPr/>
        <w:t xml:space="preserve"> and by changing a material term in the pre-July 1 contracts so they are voided at the conclusion of the initial term.  </w:t>
      </w:r>
    </w:p>
    <w:p>
      <w:pPr>
        <w:pStyle w:val="BodyText"/>
        <w:numPr>
          <w:ilvl w:val="0"/>
          <w:numId w:val="0"/>
        </w:numPr>
        <w:ind w:hanging="0" w:start="1440" w:end="0"/>
        <w:rPr>
          <w:b/>
          <w:bCs/>
        </w:rPr>
      </w:pPr>
      <w:r>
        <w:rPr>
          <w:b/>
          <w:bCs/>
        </w:rPr>
        <w:t>c.  There Has Been A Substantial Impairment.</w:t>
      </w:r>
    </w:p>
    <w:p>
      <w:pPr>
        <w:pStyle w:val="BodyText"/>
        <w:numPr>
          <w:ilvl w:val="0"/>
          <w:numId w:val="0"/>
        </w:numPr>
        <w:ind w:hanging="0" w:start="0"/>
        <w:rPr/>
      </w:pPr>
      <w:r>
        <w:rPr/>
        <w:t xml:space="preserve">The next question is whether there has been a “substantial impairment.”  Here, the contracts have either been voided </w:t>
      </w:r>
      <w:r>
        <w:rPr>
          <w:i/>
          <w:iCs/>
        </w:rPr>
        <w:t>ab initio</w:t>
      </w:r>
      <w:r>
        <w:rPr/>
        <w:t xml:space="preserve"> or voided at the conclusion of their initial term.  This can charitably be described as working a “severe, permanent and immediate change” and thus is substantial.  </w:t>
      </w:r>
      <w:r>
        <w:rPr>
          <w:i/>
          <w:iCs/>
        </w:rPr>
        <w:t>Sonoma County Organization of Public Employees v. Sonoma County Sonoma, supra,</w:t>
      </w:r>
      <w:r>
        <w:rPr/>
        <w:t xml:space="preserve"> 23 Cal.3d at 309 (legislation is invalid which retroactively eliminated contractual wage increase); </w:t>
      </w:r>
      <w:r>
        <w:rPr>
          <w:i/>
          <w:iCs/>
        </w:rPr>
        <w:t>Allied Structural Steel Co. v. Spannaus, supra</w:t>
      </w:r>
      <w:r>
        <w:rPr/>
        <w:t>, at 234 (invalidating law that increased pension benefits).</w:t>
      </w:r>
    </w:p>
    <w:p>
      <w:pPr>
        <w:pStyle w:val="BodyText"/>
        <w:numPr>
          <w:ilvl w:val="0"/>
          <w:numId w:val="0"/>
        </w:numPr>
        <w:ind w:hanging="0" w:start="1440" w:end="0"/>
        <w:rPr/>
      </w:pPr>
      <w:r>
        <w:rPr>
          <w:b/>
          <w:bCs/>
        </w:rPr>
        <w:t>d.  There Is No Significant Or Legitimate Public Purpose</w:t>
      </w:r>
      <w:r>
        <w:rPr/>
        <w:t>.</w:t>
      </w:r>
    </w:p>
    <w:p>
      <w:pPr>
        <w:pStyle w:val="BodyText"/>
        <w:numPr>
          <w:ilvl w:val="0"/>
          <w:numId w:val="0"/>
        </w:numPr>
        <w:ind w:hanging="0" w:start="0"/>
        <w:rPr/>
      </w:pPr>
      <w:r>
        <w:rPr/>
        <w:t xml:space="preserve">When the impairment of a contractual obligation is substantial, the  governmental agency must demonstrate that it has a “significant and legitimate public purpose.”  </w:t>
      </w:r>
      <w:r>
        <w:rPr>
          <w:i/>
          <w:iCs/>
        </w:rPr>
        <w:t>Energy Reserves Group, Inc. v. Kansas Power &amp; Light Co.</w:t>
      </w:r>
      <w:r>
        <w:rPr/>
        <w:t xml:space="preserve">, 459 U.S. 400, 411 (1983).  In this instance, the Commission decided without hearings that the direct access purchase of power must be suspended and that direct access users must instead  purchase power from the State of California so that the State can sell and repay the bonds it intends to issue to purchase the power the regulated utilities will deliver.   The Commission decided without hearings that it was necessary to increase revenues by the amount the utilities will receive from direct access users and pass through to the State to pay for the power to be sold to these same customers.  </w:t>
      </w:r>
    </w:p>
    <w:p>
      <w:pPr>
        <w:pStyle w:val="BodyText"/>
        <w:numPr>
          <w:ilvl w:val="0"/>
          <w:numId w:val="0"/>
        </w:numPr>
        <w:ind w:hanging="0" w:start="0"/>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0"/>
        </w:numPr>
        <w:ind w:hanging="0" w:start="0"/>
        <w:rPr/>
      </w:pPr>
      <w:r>
        <w:rPr/>
        <w:t xml:space="preserve">Moreover, the Commission’s justification of the reasonableness and necessity of its action is entitled to no deference because the State has a financial interest in the proceeding.  </w:t>
      </w:r>
      <w:r>
        <w:rPr>
          <w:i/>
          <w:iCs/>
        </w:rPr>
        <w:t>See United States Trust Company v. New Jersey, supra</w:t>
      </w:r>
      <w:r>
        <w:rPr/>
        <w:t xml:space="preserve">, 431 U.S. at 26 (“[C]omplete deference to a legislative assessment of reasonableness and necessity is not appropriate because the State’s self-interest is at stake.”); </w:t>
      </w:r>
      <w:r>
        <w:rPr>
          <w:i/>
          <w:iCs/>
        </w:rPr>
        <w:t>Board of Administration v. Wilson</w:t>
      </w:r>
      <w:r>
        <w:rPr/>
        <w:t>(1997) 52 Cal.App.4</w:t>
      </w:r>
      <w:r>
        <w:rPr>
          <w:vertAlign w:val="superscript"/>
        </w:rPr>
        <w:t>th</w:t>
      </w:r>
      <w:r>
        <w:rPr/>
        <w:t xml:space="preserve"> 1109, 1154 (invalidating legislation altering pension rights).</w:t>
      </w:r>
    </w:p>
    <w:p>
      <w:pPr>
        <w:pStyle w:val="BodyText"/>
        <w:numPr>
          <w:ilvl w:val="0"/>
          <w:numId w:val="0"/>
        </w:numPr>
        <w:ind w:hanging="0" w:start="0"/>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iCs/>
        </w:rPr>
        <w:t>See Sonoma County Organization of Public Employees v. County of Somona, supra</w:t>
      </w:r>
      <w:r>
        <w:rPr/>
        <w:t>, 23 Cal.3d at 310-11.</w:t>
      </w:r>
    </w:p>
    <w:p>
      <w:pPr>
        <w:pStyle w:val="BodyText"/>
        <w:numPr>
          <w:ilvl w:val="0"/>
          <w:numId w:val="0"/>
        </w:numPr>
        <w:ind w:hanging="0" w:start="0"/>
        <w:rPr/>
      </w:pPr>
      <w:r>
        <w:rPr/>
        <w:t xml:space="preserve">Finally, the Commission’s rationale that the revenues received by the regulated utilities must be maximized is belied by the State sponsored conservation program which has caused a far greater revenue decline than direct access.  The Commission’s claim of legitimate public purpose is undercut by its support for conservation programs, because conservation and direct access have the same impact.  Both reduce the demand for State funded power and both reduce the amount that the State must borrow to acquire power.  </w:t>
      </w:r>
    </w:p>
    <w:p>
      <w:pPr>
        <w:pStyle w:val="BodyText"/>
        <w:numPr>
          <w:ilvl w:val="0"/>
          <w:numId w:val="0"/>
        </w:numPr>
        <w:ind w:hanging="0" w:start="0"/>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0"/>
          <w:numId w:val="4"/>
        </w:numPr>
        <w:tabs>
          <w:tab w:val="clear" w:pos="720"/>
          <w:tab w:val="left" w:pos="0" w:leader="none"/>
          <w:tab w:val="left" w:pos="1425" w:leader="none"/>
        </w:tabs>
        <w:spacing w:lineRule="auto" w:line="240"/>
        <w:ind w:hanging="1455" w:start="3615" w:end="0"/>
        <w:rPr>
          <w:b/>
          <w:bCs/>
        </w:rPr>
      </w:pPr>
      <w:r>
        <w:rPr>
          <w:b/>
          <w:bCs/>
        </w:rPr>
        <w:t>The Impairment Imposed By The Commission Is Neither Reasonable Nor Appropriate.</w:t>
      </w:r>
    </w:p>
    <w:p>
      <w:pPr>
        <w:pStyle w:val="BodyText"/>
        <w:numPr>
          <w:ilvl w:val="0"/>
          <w:numId w:val="0"/>
        </w:numPr>
        <w:spacing w:lineRule="auto" w:line="240"/>
        <w:ind w:hanging="0" w:start="2160" w:end="0"/>
        <w:rPr/>
      </w:pPr>
      <w:r>
        <w:rPr/>
      </w:r>
    </w:p>
    <w:p>
      <w:pPr>
        <w:pStyle w:val="BodyText"/>
        <w:numPr>
          <w:ilvl w:val="0"/>
          <w:numId w:val="0"/>
        </w:numPr>
        <w:ind w:hanging="0" w:start="0"/>
        <w:rPr/>
      </w:pPr>
      <w:r>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i/>
          <w:iCs/>
        </w:rPr>
        <w:t>Energy Reserves Group, Inc. v. Kansas Power &amp; Light Co., supra</w:t>
      </w:r>
      <w:r>
        <w:rPr/>
        <w:t xml:space="preserve">, 459 U.S. at 411-12.  </w:t>
      </w:r>
    </w:p>
    <w:p>
      <w:pPr>
        <w:pStyle w:val="BodyText"/>
        <w:numPr>
          <w:ilvl w:val="0"/>
          <w:numId w:val="0"/>
        </w:numPr>
        <w:ind w:hanging="0" w:start="0"/>
        <w:rPr/>
      </w:pPr>
      <w:r>
        <w:rPr/>
        <w:t>The Commission’s record does not show that the impairment is reasonable and appropriate because it refused to allow hearings.  Moreover, the minimal available record demonstrates that the State’s ability to repay the bonds will not be affected by revenues paid on existing direct access contracts.  Those revenues are a small part of the energy market 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Text"/>
        <w:numPr>
          <w:ilvl w:val="0"/>
          <w:numId w:val="0"/>
        </w:numPr>
        <w:ind w:hanging="0" w:start="0"/>
        <w:rPr/>
      </w:pPr>
      <w:r>
        <w:rPr/>
        <w:t>The Commission has in fact recognized and acknowledged that direct access customers benefit the State by reducing the demand on the State.  In D 01-05-064, the Commission stated that:</w:t>
      </w:r>
    </w:p>
    <w:p>
      <w:pPr>
        <w:pStyle w:val="BodyText"/>
        <w:numPr>
          <w:ilvl w:val="0"/>
          <w:numId w:val="0"/>
        </w:numPr>
        <w:spacing w:lineRule="auto" w:line="240"/>
        <w:ind w:hanging="0" w:start="1440" w:end="1440"/>
        <w:rPr/>
      </w:pPr>
      <w:r>
        <w:rPr/>
        <w:t>“</w:t>
      </w:r>
      <w:r>
        <w:rPr/>
        <w:t>Direct access customers are not relying on the utilities or DWR to purchase power on their behalf.”. . . .“Direct access customers do not impose liabilities on CDWR, PG&amp;E or Edison for procuring power.”</w:t>
      </w:r>
    </w:p>
    <w:p>
      <w:pPr>
        <w:pStyle w:val="BodyText"/>
        <w:numPr>
          <w:ilvl w:val="0"/>
          <w:numId w:val="0"/>
        </w:numPr>
        <w:spacing w:lineRule="auto" w:line="240"/>
        <w:ind w:hanging="0" w:start="1440" w:end="1440"/>
        <w:rPr/>
      </w:pPr>
      <w:r>
        <w:rPr/>
      </w:r>
    </w:p>
    <w:p>
      <w:pPr>
        <w:pStyle w:val="BodyText"/>
        <w:numPr>
          <w:ilvl w:val="0"/>
          <w:numId w:val="0"/>
        </w:numPr>
        <w:ind w:hanging="0" w:start="0"/>
        <w:rPr/>
      </w:pPr>
      <w:r>
        <w:rPr/>
        <w:t>In summary, the Decision is an unconstitutional interference with contracts and must not be allowed to stand.</w:t>
      </w:r>
    </w:p>
    <w:p>
      <w:pPr>
        <w:pStyle w:val="BodyText"/>
        <w:numPr>
          <w:ilvl w:val="0"/>
          <w:numId w:val="4"/>
        </w:numPr>
        <w:tabs>
          <w:tab w:val="clear" w:pos="720"/>
          <w:tab w:val="left" w:pos="0" w:leader="none"/>
          <w:tab w:val="left" w:pos="705" w:leader="none"/>
        </w:tabs>
        <w:ind w:hanging="1455" w:start="2895" w:end="0"/>
        <w:rPr>
          <w:b/>
          <w:bCs/>
          <w:u w:val="single"/>
        </w:rPr>
      </w:pPr>
      <w:r>
        <w:rPr>
          <w:b/>
          <w:bCs/>
          <w:u w:val="single"/>
        </w:rPr>
        <w:t>The Commission’s Decision Is an Unconstitutional Taking.</w:t>
      </w:r>
    </w:p>
    <w:p>
      <w:pPr>
        <w:pStyle w:val="BodyText"/>
        <w:numPr>
          <w:ilvl w:val="0"/>
          <w:numId w:val="0"/>
        </w:numPr>
        <w:ind w:hanging="0" w:start="0"/>
        <w:rPr/>
      </w:pPr>
      <w:r>
        <w:rPr/>
        <w:t>The Constitutions of the United States and California bar the State from taking private property without just compensation.  The Fifth Amendment to the United States Constitution provides:</w:t>
      </w:r>
    </w:p>
    <w:p>
      <w:pPr>
        <w:pStyle w:val="BodyText"/>
        <w:numPr>
          <w:ilvl w:val="0"/>
          <w:numId w:val="0"/>
        </w:numPr>
        <w:spacing w:lineRule="auto" w:line="240"/>
        <w:ind w:hanging="0" w:start="1440" w:end="1440"/>
        <w:rPr/>
      </w:pPr>
      <w:r>
        <w:rPr/>
        <w:t>“</w:t>
      </w:r>
      <w:r>
        <w:rPr/>
        <w:t>nor shall private property be taken for public use, without just compensation.”</w:t>
      </w:r>
    </w:p>
    <w:p>
      <w:pPr>
        <w:pStyle w:val="BodyText"/>
        <w:numPr>
          <w:ilvl w:val="0"/>
          <w:numId w:val="0"/>
        </w:numPr>
        <w:spacing w:lineRule="auto" w:line="240"/>
        <w:ind w:hanging="0" w:start="1440" w:end="1440"/>
        <w:rPr/>
      </w:pPr>
      <w:r>
        <w:rPr/>
      </w:r>
    </w:p>
    <w:p>
      <w:pPr>
        <w:pStyle w:val="BodyText"/>
        <w:numPr>
          <w:ilvl w:val="0"/>
          <w:numId w:val="0"/>
        </w:numPr>
        <w:ind w:hanging="0" w:start="0"/>
        <w:rPr/>
      </w:pPr>
      <w:r>
        <w:rPr/>
        <w:t>Section 1 of the Fourteenth Amendment imposes this limitation on the States.  Article 1, Section 19 of the California Constitution is similar:</w:t>
      </w:r>
    </w:p>
    <w:p>
      <w:pPr>
        <w:pStyle w:val="BodyText"/>
        <w:numPr>
          <w:ilvl w:val="0"/>
          <w:numId w:val="0"/>
        </w:numPr>
        <w:spacing w:lineRule="auto" w:line="240"/>
        <w:ind w:hanging="0" w:start="1440" w:end="1440"/>
        <w:rPr/>
      </w:pPr>
      <w:r>
        <w:rPr/>
        <w:t>“</w:t>
      </w:r>
      <w:r>
        <w:rPr/>
        <w:t>Private property may be taken or damaged for public use only when just compensation . . . has first been paid to . . . the owner.”</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These clauses apply to the taking of both tangible and intangible property rights, such as contracts.  </w:t>
      </w:r>
      <w:r>
        <w:rPr>
          <w:i/>
          <w:iCs/>
        </w:rPr>
        <w:t>See Cincinnati v. Louis &amp; Nash R.R. Co.</w:t>
      </w:r>
      <w:r>
        <w:rPr/>
        <w:t xml:space="preserve">, 223 U.S. 390, 400 (1912); </w:t>
      </w:r>
      <w:r>
        <w:rPr>
          <w:i/>
          <w:iCs/>
        </w:rPr>
        <w:t xml:space="preserve">City of Glendale v. Superior Commission </w:t>
      </w:r>
      <w:r>
        <w:rPr/>
        <w:t>(1993) 18 Cal.App.4</w:t>
      </w:r>
      <w:r>
        <w:rPr>
          <w:vertAlign w:val="superscript"/>
        </w:rPr>
        <w:t>th</w:t>
      </w:r>
      <w:r>
        <w:rPr/>
        <w:t xml:space="preserve"> 1768, 1780 .  </w:t>
      </w:r>
    </w:p>
    <w:p>
      <w:pPr>
        <w:pStyle w:val="BodyText"/>
        <w:numPr>
          <w:ilvl w:val="0"/>
          <w:numId w:val="0"/>
        </w:numPr>
        <w:ind w:hanging="0" w:start="0"/>
        <w:rPr/>
      </w:pPr>
      <w:r>
        <w:rPr/>
        <w:t>California residents who purchased direct access power have lost their property without any compensation.  The reasonable compensation to which they should be entitled is the difference between the cost of energy purchased from the State of California and delivered by the regulated utilities and the cost of energy from direct access contracts, together with the cost of any infrastructure related to direct access and initial contract costs which would have been amortized.  Since there has been no attempt to calculate and no offer to pay this loss, the Commission’s Decision violates the “takings” clause.</w:t>
      </w:r>
    </w:p>
    <w:p>
      <w:pPr>
        <w:pStyle w:val="BodyText"/>
        <w:numPr>
          <w:ilvl w:val="0"/>
          <w:numId w:val="0"/>
        </w:numPr>
        <w:ind w:hanging="0" w:start="0"/>
        <w:rPr/>
      </w:pPr>
      <w:r>
        <w:rPr/>
        <w:t>The direct access ESPs have also lost their property without any compensation.  First, under the Decision, the post-July 1 contracts are suspended so there is a question whether the ESPs are entitled to retain the proceeds for power sold pursuant to post-July 1 contracts.  Second, the ESPs are now deprived of the prospective revenues they would have received on the post-July 1 contracts.  Third, all pre-July 1 contracts will now be terminated after their initial term and the ESPs will lose the future revenues from those contracts.  Finally, the ESPs will lose the value of the infrastructure related to direct access, as well as all other direct access start-up costs.  Since there has been no attempt to calculate and no offer pay this loss, the Commission’s Decision violates the “takings” clause.</w:t>
      </w:r>
    </w:p>
    <w:p>
      <w:pPr>
        <w:pStyle w:val="BodyText"/>
        <w:numPr>
          <w:ilvl w:val="0"/>
          <w:numId w:val="0"/>
        </w:numPr>
        <w:ind w:hanging="0" w:start="720" w:end="0"/>
        <w:rPr>
          <w:b/>
          <w:bCs/>
        </w:rPr>
      </w:pPr>
      <w:r>
        <w:rPr>
          <w:b/>
          <w:bCs/>
        </w:rPr>
        <w:t xml:space="preserve">3.  </w:t>
      </w:r>
      <w:r>
        <w:rPr>
          <w:b/>
          <w:bCs/>
          <w:u w:val="single"/>
        </w:rPr>
        <w:t>The Decision Violates Substantive and Procedural Due</w:t>
      </w:r>
      <w:r>
        <w:rPr>
          <w:u w:val="single"/>
        </w:rPr>
        <w:t xml:space="preserve"> </w:t>
      </w:r>
      <w:r>
        <w:rPr>
          <w:b/>
          <w:bCs/>
          <w:u w:val="single"/>
        </w:rPr>
        <w:t>Process Rights.</w:t>
      </w:r>
    </w:p>
    <w:p>
      <w:pPr>
        <w:pStyle w:val="BodyText"/>
        <w:numPr>
          <w:ilvl w:val="0"/>
          <w:numId w:val="0"/>
        </w:numPr>
        <w:ind w:hanging="0" w:start="0"/>
        <w:rPr/>
      </w:pPr>
      <w:r>
        <w:rPr/>
        <w:t>The Fifth Amendment to the United States Constitution, which applies to States by virtue of the Fourteenth Amendment, provides that:</w:t>
      </w:r>
    </w:p>
    <w:p>
      <w:pPr>
        <w:pStyle w:val="BodyText"/>
        <w:numPr>
          <w:ilvl w:val="0"/>
          <w:numId w:val="0"/>
        </w:numPr>
        <w:spacing w:lineRule="auto" w:line="240"/>
        <w:ind w:hanging="0" w:start="1440" w:end="1440"/>
        <w:rPr/>
      </w:pPr>
      <w:r>
        <w:rPr/>
        <w:t>“</w:t>
      </w:r>
      <w:r>
        <w:rPr/>
        <w:t>No person shall be . . . deprived of . . . property, without due process of law . . ..”</w:t>
      </w:r>
    </w:p>
    <w:p>
      <w:pPr>
        <w:pStyle w:val="BodyText"/>
        <w:numPr>
          <w:ilvl w:val="0"/>
          <w:numId w:val="0"/>
        </w:numPr>
        <w:spacing w:lineRule="auto" w:line="240"/>
        <w:ind w:hanging="0" w:start="1440" w:end="1440"/>
        <w:rPr/>
      </w:pPr>
      <w:r>
        <w:rPr/>
      </w:r>
    </w:p>
    <w:p>
      <w:pPr>
        <w:pStyle w:val="BodyText"/>
        <w:numPr>
          <w:ilvl w:val="0"/>
          <w:numId w:val="0"/>
        </w:numPr>
        <w:ind w:hanging="0" w:start="0"/>
        <w:rPr/>
      </w:pPr>
      <w:r>
        <w:rPr/>
        <w:t>Article 1, Section 7(a) of the California Constitution similarly provides:</w:t>
      </w:r>
    </w:p>
    <w:p>
      <w:pPr>
        <w:pStyle w:val="BodyText"/>
        <w:numPr>
          <w:ilvl w:val="0"/>
          <w:numId w:val="0"/>
        </w:numPr>
        <w:spacing w:lineRule="auto" w:line="240"/>
        <w:ind w:hanging="0" w:start="1440" w:end="1440"/>
        <w:rPr/>
      </w:pPr>
      <w:r>
        <w:rPr/>
        <w:t>“</w:t>
      </w:r>
      <w:r>
        <w:rPr/>
        <w:t>A person may not be deprived of . . . property without due process of law . . ..”</w:t>
      </w:r>
    </w:p>
    <w:p>
      <w:pPr>
        <w:pStyle w:val="BodyText"/>
        <w:numPr>
          <w:ilvl w:val="0"/>
          <w:numId w:val="0"/>
        </w:numPr>
        <w:spacing w:lineRule="auto" w:line="240"/>
        <w:ind w:hanging="0" w:start="1440" w:end="1440"/>
        <w:rPr/>
      </w:pPr>
      <w:r>
        <w:rPr/>
      </w:r>
    </w:p>
    <w:p>
      <w:pPr>
        <w:pStyle w:val="BodyText"/>
        <w:numPr>
          <w:ilvl w:val="0"/>
          <w:numId w:val="0"/>
        </w:numPr>
        <w:ind w:hanging="0" w:start="0"/>
        <w:rPr/>
      </w:pPr>
      <w:r>
        <w:rPr/>
        <w:t>These provisions create substantive and procedural due process rights, which, as discussed below, have been ignored and trampled by the Commission.</w:t>
      </w:r>
    </w:p>
    <w:p>
      <w:pPr>
        <w:pStyle w:val="BodyText"/>
        <w:numPr>
          <w:ilvl w:val="0"/>
          <w:numId w:val="0"/>
        </w:numPr>
        <w:ind w:hanging="0" w:start="1440" w:end="0"/>
        <w:rPr>
          <w:b/>
          <w:bCs/>
        </w:rPr>
      </w:pPr>
      <w:r>
        <w:rPr>
          <w:b/>
          <w:bCs/>
        </w:rPr>
        <w:t>a.  The Commission Violated Substantive Due Process.</w:t>
      </w:r>
    </w:p>
    <w:p>
      <w:pPr>
        <w:pStyle w:val="BodyText"/>
        <w:numPr>
          <w:ilvl w:val="0"/>
          <w:numId w:val="0"/>
        </w:numPr>
        <w:ind w:hanging="0" w:start="0"/>
        <w:rPr/>
      </w:pPr>
      <w:r>
        <w:rPr/>
        <w:t xml:space="preserve">A retroactive legislative enactment that deprives an individual of a vested right is a violation of substantive due process.  </w:t>
      </w:r>
      <w:r>
        <w:rPr>
          <w:i/>
          <w:iCs/>
        </w:rPr>
        <w:t>Coombes v. Getz</w:t>
      </w:r>
      <w:r>
        <w:rPr/>
        <w:t xml:space="preserve">, 285 U.S. 434, 441-42 (1932); </w:t>
      </w:r>
      <w:r>
        <w:rPr>
          <w:i/>
          <w:iCs/>
        </w:rPr>
        <w:t>Wexler v. Los Angeles</w:t>
      </w:r>
      <w:r>
        <w:rPr/>
        <w:t>(1952) 110 Cal.App.2d 740, 747.  The Commission, recognizing the existence of vested contract rights, ignored substantive due process by retroactively invalidating the contracts.</w:t>
      </w:r>
    </w:p>
    <w:p>
      <w:pPr>
        <w:pStyle w:val="BodyText"/>
        <w:numPr>
          <w:ilvl w:val="0"/>
          <w:numId w:val="0"/>
        </w:numPr>
        <w:ind w:hanging="0" w:start="1440" w:end="0"/>
        <w:rPr>
          <w:b/>
          <w:bCs/>
        </w:rPr>
      </w:pPr>
      <w:r>
        <w:rPr>
          <w:b/>
          <w:bCs/>
        </w:rPr>
        <w:t>b.  The Commission Violated Procedural Due Process.</w:t>
      </w:r>
    </w:p>
    <w:p>
      <w:pPr>
        <w:pStyle w:val="BodyText"/>
        <w:numPr>
          <w:ilvl w:val="0"/>
          <w:numId w:val="0"/>
        </w:numPr>
        <w:ind w:hanging="0" w:start="0"/>
        <w:rPr/>
      </w:pPr>
      <w:r>
        <w:rPr/>
        <w:t xml:space="preserve">Commissioner Bilas and all those (including the Joint Parties) who supported the August 30 Alternate Draft Decision requested hearings.  The Commission, however, refused to conduct hearings.  Instead, the Commission adopted the August 27 Draft Decision which stated, “[W]e do not intend to hold evidentiary hearings . . ..” </w:t>
      </w:r>
    </w:p>
    <w:p>
      <w:pPr>
        <w:pStyle w:val="BodyText"/>
        <w:numPr>
          <w:ilvl w:val="0"/>
          <w:numId w:val="0"/>
        </w:numPr>
        <w:ind w:hanging="0" w:start="0"/>
        <w:rPr/>
      </w:pPr>
      <w:r>
        <w:rPr/>
        <w:t xml:space="preserve">Both Federal and State due process clauses require the parties be given adequate notice and an opportunity to be heard.  </w:t>
      </w:r>
      <w:r>
        <w:rPr>
          <w:i/>
          <w:iCs/>
        </w:rPr>
        <w:t>See Morgan v. United States</w:t>
      </w:r>
      <w:r>
        <w:rPr/>
        <w:t xml:space="preserve">, 298 U.S. 468, 480 (1936); </w:t>
      </w:r>
      <w:r>
        <w:rPr>
          <w:i/>
          <w:iCs/>
        </w:rPr>
        <w:t>Rosenblit v. Superior Commission</w:t>
      </w:r>
      <w:r>
        <w:rPr/>
        <w:t xml:space="preserve">(19__)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iCs/>
        </w:rPr>
        <w:t>See, e.g., Mohilef v. Janovici</w:t>
      </w:r>
      <w:r>
        <w:rPr/>
        <w:t xml:space="preserve"> (1996) 51 Cal.App.4</w:t>
      </w:r>
      <w:r>
        <w:rPr>
          <w:vertAlign w:val="superscript"/>
        </w:rPr>
        <w:t>th</w:t>
      </w:r>
      <w:r>
        <w:rPr/>
        <w:t xml:space="preserve"> 267, ___. </w:t>
      </w:r>
    </w:p>
    <w:p>
      <w:pPr>
        <w:pStyle w:val="BodyText"/>
        <w:numPr>
          <w:ilvl w:val="0"/>
          <w:numId w:val="0"/>
        </w:numPr>
        <w:ind w:hanging="0" w:start="0"/>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numPr>
          <w:ilvl w:val="0"/>
          <w:numId w:val="0"/>
        </w:numPr>
        <w:spacing w:lineRule="auto" w:line="240"/>
        <w:ind w:hanging="0" w:start="1440" w:end="1440"/>
        <w:rPr/>
      </w:pPr>
      <w:r>
        <w:rPr/>
        <w:t>“</w:t>
      </w:r>
      <w:r>
        <w:rPr/>
        <w:t xml:space="preserve">The commission, </w:t>
      </w:r>
      <w:r>
        <w:rPr>
          <w:b/>
          <w:bCs/>
        </w:rPr>
        <w:t>consistent with due process</w:t>
      </w:r>
      <w:r>
        <w:rPr/>
        <w:t xml:space="preserve"> . . . shall determine whether a proceeding requires a hearing.”  (Emphasis added.)</w:t>
      </w:r>
    </w:p>
    <w:p>
      <w:pPr>
        <w:pStyle w:val="BodyText"/>
        <w:numPr>
          <w:ilvl w:val="0"/>
          <w:numId w:val="0"/>
        </w:numPr>
        <w:spacing w:lineRule="auto" w:line="240"/>
        <w:ind w:hanging="0" w:start="1440" w:end="1440"/>
        <w:rPr/>
      </w:pPr>
      <w:r>
        <w:rPr/>
      </w:r>
    </w:p>
    <w:p>
      <w:pPr>
        <w:pStyle w:val="BodyText"/>
        <w:numPr>
          <w:ilvl w:val="0"/>
          <w:numId w:val="0"/>
        </w:numPr>
        <w:ind w:hanging="0" w:start="0"/>
        <w:rPr/>
      </w:pPr>
      <w:r>
        <w:rPr/>
        <w:t>The Commission ignored this legislative mandate and its constitutional obligations by refusing to hold hearings and by refusing to make the determination required by Section 1701.1(a), thus rendering its Decision unconstitutional.</w:t>
      </w:r>
    </w:p>
    <w:p>
      <w:pPr>
        <w:pStyle w:val="BodyText"/>
        <w:numPr>
          <w:ilvl w:val="0"/>
          <w:numId w:val="4"/>
        </w:numPr>
        <w:tabs>
          <w:tab w:val="clear" w:pos="720"/>
          <w:tab w:val="left" w:pos="0" w:leader="none"/>
          <w:tab w:val="left" w:pos="705" w:leader="none"/>
        </w:tabs>
        <w:spacing w:lineRule="auto" w:line="240"/>
        <w:ind w:hanging="1455" w:start="2895" w:end="0"/>
        <w:rPr/>
      </w:pPr>
      <w:r>
        <w:rPr>
          <w:b/>
          <w:bCs/>
          <w:u w:val="single"/>
        </w:rPr>
        <w:t>The Commission’s Reliance On Material Outside The Record Violates Due Process</w:t>
      </w:r>
      <w:r>
        <w:rPr>
          <w:b/>
          <w:bCs/>
        </w:rPr>
        <w:t>.</w:t>
      </w:r>
    </w:p>
    <w:p>
      <w:pPr>
        <w:pStyle w:val="BodyText"/>
        <w:numPr>
          <w:ilvl w:val="0"/>
          <w:numId w:val="0"/>
        </w:numPr>
        <w:spacing w:lineRule="auto" w:line="240"/>
        <w:ind w:hanging="0" w:start="1440" w:end="0"/>
        <w:rPr/>
      </w:pPr>
      <w:r>
        <w:rPr/>
      </w:r>
    </w:p>
    <w:p>
      <w:pPr>
        <w:pStyle w:val="BodyText"/>
        <w:numPr>
          <w:ilvl w:val="0"/>
          <w:numId w:val="0"/>
        </w:numPr>
        <w:ind w:hanging="0" w:start="0"/>
        <w:rPr/>
      </w:pPr>
      <w:r>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i/>
          <w:iCs/>
        </w:rPr>
        <w:t>Vallstedt v. City of Stockton</w:t>
      </w:r>
      <w:r>
        <w:rPr/>
        <w:t>, 220 Cal.App.3d 265, 275.  The Commission’s substantive and procedural due process violations require that the Decision be vacated.</w:t>
      </w:r>
    </w:p>
    <w:p>
      <w:pPr>
        <w:pStyle w:val="BodyText"/>
        <w:numPr>
          <w:ilvl w:val="0"/>
          <w:numId w:val="0"/>
        </w:numPr>
        <w:ind w:hanging="0" w:start="720" w:end="0"/>
        <w:rPr>
          <w:b/>
          <w:bCs/>
        </w:rPr>
      </w:pPr>
      <w:r>
        <w:rPr>
          <w:b/>
          <w:bCs/>
        </w:rPr>
        <w:t xml:space="preserve">5.  </w:t>
      </w:r>
      <w:r>
        <w:rPr>
          <w:b/>
          <w:bCs/>
          <w:u w:val="single"/>
        </w:rPr>
        <w:t>The Commission’s Decision Violates The Commerce Clause.</w:t>
      </w:r>
    </w:p>
    <w:p>
      <w:pPr>
        <w:pStyle w:val="BodyText"/>
        <w:numPr>
          <w:ilvl w:val="0"/>
          <w:numId w:val="0"/>
        </w:numPr>
        <w:ind w:hanging="0" w:start="0"/>
        <w:rPr/>
      </w:pPr>
      <w:r>
        <w:rPr/>
        <w:t>ESPs obtain and transport power to California’s direct access customers through interstate commerce.  The commerce clause in the United States Constitution, Section 8 of Article I, provides:</w:t>
      </w:r>
    </w:p>
    <w:p>
      <w:pPr>
        <w:pStyle w:val="BodyText"/>
        <w:numPr>
          <w:ilvl w:val="0"/>
          <w:numId w:val="0"/>
        </w:numPr>
        <w:spacing w:lineRule="auto" w:line="240"/>
        <w:ind w:hanging="0" w:start="1440" w:end="1440"/>
        <w:rPr/>
      </w:pPr>
      <w:r>
        <w:rPr/>
        <w:t>“</w:t>
      </w:r>
      <w:r>
        <w:rPr/>
        <w:t>The Congress shall have Power . . .[t]o regulate Commerce . . .among the several  States . . ..”</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Generally, a state has no authority to erect barriers to interstate commerce.  </w:t>
      </w:r>
      <w:r>
        <w:rPr>
          <w:i/>
          <w:iCs/>
        </w:rPr>
        <w:t xml:space="preserve">Philadelphia v New Jersey </w:t>
      </w:r>
      <w:r>
        <w:rPr/>
        <w:t xml:space="preserve">(1978) 437 US 617, ___.  State regulation that places too much burden on or precludes interstate commerce is invalid.  </w:t>
      </w:r>
      <w:r>
        <w:rPr>
          <w:i/>
          <w:iCs/>
        </w:rPr>
        <w:t>New Energy Co. of Indiana v Limbach</w:t>
      </w:r>
      <w:r>
        <w:rPr/>
        <w:t xml:space="preserve"> (1988) 486 US 269, ___.  Moreover, the transmission of power over a State line involves interstate commerce.  </w:t>
      </w:r>
      <w:r>
        <w:rPr>
          <w:i/>
          <w:iCs/>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an interference and is thus unconstitutional. </w:t>
      </w:r>
    </w:p>
    <w:p>
      <w:pPr>
        <w:pStyle w:val="BodyText"/>
        <w:numPr>
          <w:ilvl w:val="0"/>
          <w:numId w:val="0"/>
        </w:numPr>
        <w:ind w:hanging="0" w:start="1440" w:end="0"/>
        <w:rPr>
          <w:b/>
          <w:bCs/>
        </w:rPr>
      </w:pPr>
      <w:r>
        <w:rPr>
          <w:b/>
          <w:bCs/>
        </w:rPr>
        <w:t xml:space="preserve">6.  </w:t>
      </w:r>
      <w:r>
        <w:rPr>
          <w:b/>
          <w:bCs/>
          <w:u w:val="single"/>
        </w:rPr>
        <w:t>The Commission Acted Contrary To Law And In Excess Of Its Authority.</w:t>
      </w:r>
    </w:p>
    <w:p>
      <w:pPr>
        <w:pStyle w:val="BodyText"/>
        <w:numPr>
          <w:ilvl w:val="0"/>
          <w:numId w:val="0"/>
        </w:numPr>
        <w:ind w:hanging="0" w:start="0"/>
        <w:rPr/>
      </w:pPr>
      <w:r>
        <w:rPr/>
        <w:t>The Commission acted pursuant to Section 80110 of the Water Code.  By acting retroactively, however, the Commission exceeded the authority conferred by, and thus acted contrary to, its enabling statute.</w:t>
      </w:r>
    </w:p>
    <w:p>
      <w:pPr>
        <w:pStyle w:val="BodyText"/>
        <w:numPr>
          <w:ilvl w:val="0"/>
          <w:numId w:val="0"/>
        </w:numPr>
        <w:ind w:hanging="0" w:start="1440" w:end="0"/>
        <w:rPr>
          <w:b/>
          <w:bCs/>
        </w:rPr>
      </w:pPr>
      <w:r>
        <w:rPr>
          <w:b/>
          <w:bCs/>
        </w:rPr>
        <w:t>a.  Section 80110 Is Prospective.</w:t>
      </w:r>
    </w:p>
    <w:p>
      <w:pPr>
        <w:pStyle w:val="BodyText"/>
        <w:numPr>
          <w:ilvl w:val="0"/>
          <w:numId w:val="0"/>
        </w:numPr>
        <w:ind w:hanging="0" w:start="0"/>
        <w:rPr/>
      </w:pPr>
      <w:r>
        <w:rPr/>
        <w:t>Although Section 80110 of the Water Code provides the Commission with authority to suspend direct access, that section at most provides the Commission with authority to suspend direct access prospectively:</w:t>
      </w:r>
    </w:p>
    <w:p>
      <w:pPr>
        <w:pStyle w:val="BodyText"/>
        <w:numPr>
          <w:ilvl w:val="0"/>
          <w:numId w:val="0"/>
        </w:numPr>
        <w:spacing w:lineRule="auto" w:line="240"/>
        <w:ind w:hanging="0" w:start="1440" w:end="1440"/>
        <w:rPr/>
      </w:pPr>
      <w:r>
        <w:rPr/>
        <w:t>“</w:t>
      </w:r>
      <w:r>
        <w:rPr>
          <w:b/>
          <w:bCs/>
        </w:rPr>
        <w:t>After passage of such period of time</w:t>
      </w:r>
      <w:r>
        <w:rPr/>
        <w:t xml:space="preserve"> after the effective date of this section </w:t>
      </w:r>
      <w:r>
        <w:rPr>
          <w:b/>
          <w:bCs/>
        </w:rPr>
        <w:t xml:space="preserve">as shall be determined </w:t>
      </w:r>
      <w:r>
        <w:rPr/>
        <w:t xml:space="preserve">by the Commission, the right of retail end-use customers . . . </w:t>
      </w:r>
      <w:r>
        <w:rPr>
          <w:b/>
          <w:bCs/>
        </w:rPr>
        <w:t>to acquire</w:t>
      </w:r>
      <w:r>
        <w:rPr/>
        <w:t xml:space="preserve"> service from other providers </w:t>
      </w:r>
      <w:r>
        <w:rPr>
          <w:b/>
          <w:bCs/>
        </w:rPr>
        <w:t>shall</w:t>
      </w:r>
      <w:r>
        <w:rPr/>
        <w:t xml:space="preserve"> </w:t>
      </w:r>
      <w:r>
        <w:rPr>
          <w:b/>
          <w:bCs/>
        </w:rPr>
        <w:t>be suspended</w:t>
      </w:r>
      <w:r>
        <w:rPr/>
        <w:t xml:space="preserve"> until the department no longer supplies power hereunder.”  (Emphasis added.)</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numPr>
          <w:ilvl w:val="0"/>
          <w:numId w:val="0"/>
        </w:numPr>
        <w:ind w:hanging="0" w:start="0"/>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numPr>
          <w:ilvl w:val="0"/>
          <w:numId w:val="0"/>
        </w:numPr>
        <w:ind w:hanging="0" w:start="0"/>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numPr>
          <w:ilvl w:val="0"/>
          <w:numId w:val="0"/>
        </w:numPr>
        <w:spacing w:lineRule="auto" w:line="240"/>
        <w:ind w:hanging="0" w:start="1440" w:end="1440"/>
        <w:rPr/>
      </w:pPr>
      <w:r>
        <w:rPr/>
        <w:t>“</w:t>
      </w:r>
      <w:r>
        <w:rPr>
          <w:b/>
          <w:bCs/>
        </w:rPr>
        <w:t>1</w:t>
      </w:r>
      <w:r>
        <w:rPr/>
        <w:t xml:space="preserve"> : to get as one’s own: </w:t>
      </w:r>
      <w:r>
        <w:rPr>
          <w:b/>
          <w:bCs/>
        </w:rPr>
        <w:t>a</w:t>
      </w:r>
      <w:r>
        <w:rPr/>
        <w:t xml:space="preserve"> : to come into possession or control of often by unspecified means </w:t>
      </w:r>
      <w:r>
        <w:rPr>
          <w:b/>
          <w:bCs/>
        </w:rPr>
        <w:t>b</w:t>
      </w:r>
      <w:r>
        <w:rPr/>
        <w:t xml:space="preserve"> : to come to have as a new or added characteristic, trait, or ability (as by sustained effort or natural selection) . . . .”</w:t>
      </w:r>
    </w:p>
    <w:p>
      <w:pPr>
        <w:pStyle w:val="BodyText"/>
        <w:numPr>
          <w:ilvl w:val="0"/>
          <w:numId w:val="0"/>
        </w:numPr>
        <w:spacing w:lineRule="auto" w:line="240"/>
        <w:ind w:hanging="0" w:start="0"/>
        <w:rPr/>
      </w:pPr>
      <w:r>
        <w:rPr/>
      </w:r>
    </w:p>
    <w:p>
      <w:pPr>
        <w:pStyle w:val="BodyText"/>
        <w:numPr>
          <w:ilvl w:val="0"/>
          <w:numId w:val="0"/>
        </w:numPr>
        <w:ind w:hanging="0" w:start="0"/>
        <w:rPr/>
      </w:pPr>
      <w:r>
        <w:rPr/>
        <w:t>Likewise, the common meaning of “suspend” as shown in the Dictionary is:</w:t>
      </w:r>
    </w:p>
    <w:p>
      <w:pPr>
        <w:pStyle w:val="BodyText"/>
        <w:numPr>
          <w:ilvl w:val="0"/>
          <w:numId w:val="0"/>
        </w:numPr>
        <w:spacing w:lineRule="auto" w:line="240"/>
        <w:ind w:hanging="0" w:start="1440" w:end="1440"/>
        <w:rPr/>
      </w:pPr>
      <w:r>
        <w:rPr/>
        <w:t>“</w:t>
      </w:r>
      <w:r>
        <w:rPr>
          <w:b/>
          <w:bCs/>
        </w:rPr>
        <w:t xml:space="preserve">2 a: </w:t>
      </w:r>
      <w:r>
        <w:rPr/>
        <w:t xml:space="preserve">to cause to stop temporarily &lt;suspend bus service&gt; </w:t>
      </w:r>
      <w:r>
        <w:rPr>
          <w:b/>
          <w:bCs/>
        </w:rPr>
        <w:t>b</w:t>
      </w:r>
      <w:r>
        <w:rPr/>
        <w:t xml:space="preserve"> to set aside or make temporarily inoperative &lt;suspend the rules&gt; </w:t>
      </w:r>
      <w:r>
        <w:rPr>
          <w:b/>
          <w:bCs/>
        </w:rPr>
        <w:t>3</w:t>
      </w:r>
      <w:r>
        <w:rPr/>
        <w:t xml:space="preserve"> : to defer to a later time on specified conditions &lt;suspend sentence&gt; </w:t>
      </w:r>
      <w:r>
        <w:rPr>
          <w:b/>
          <w:bCs/>
        </w:rPr>
        <w:t>4</w:t>
      </w:r>
      <w:r>
        <w:rPr/>
        <w:t xml:space="preserve"> : to hold in an undetermined or undecided state awaiting further information &lt;suspend judgment&gt; &lt;suspend disbelief&gt; . . . .”</w:t>
      </w:r>
    </w:p>
    <w:p>
      <w:pPr>
        <w:pStyle w:val="BodyText"/>
        <w:numPr>
          <w:ilvl w:val="0"/>
          <w:numId w:val="0"/>
        </w:numPr>
        <w:spacing w:lineRule="auto" w:line="240"/>
        <w:ind w:hanging="0" w:start="1440" w:end="1440"/>
        <w:rPr/>
      </w:pPr>
      <w:r>
        <w:rPr/>
      </w:r>
    </w:p>
    <w:p>
      <w:pPr>
        <w:pStyle w:val="BodyText"/>
        <w:numPr>
          <w:ilvl w:val="0"/>
          <w:numId w:val="0"/>
        </w:numPr>
        <w:ind w:hanging="0" w:start="0"/>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iCs/>
        </w:rPr>
        <w:t>See, International Association of Machinists v. Street</w:t>
      </w:r>
      <w:r>
        <w:rPr/>
        <w:t>, 367 U.S. 740, 749-750 (statutes should be construed to avoid constitutional infirmity).</w:t>
      </w:r>
    </w:p>
    <w:p>
      <w:pPr>
        <w:pStyle w:val="BodyText"/>
        <w:numPr>
          <w:ilvl w:val="0"/>
          <w:numId w:val="0"/>
        </w:numPr>
        <w:ind w:hanging="0" w:start="2160" w:end="0"/>
        <w:rPr>
          <w:b/>
          <w:bCs/>
        </w:rPr>
      </w:pPr>
      <w:r>
        <w:rPr>
          <w:b/>
          <w:bCs/>
        </w:rPr>
        <w:t>b.  The Prospective Intention Of the Legislature Is Unequivocal.</w:t>
      </w:r>
    </w:p>
    <w:p>
      <w:pPr>
        <w:pStyle w:val="BodyText"/>
        <w:numPr>
          <w:ilvl w:val="0"/>
          <w:numId w:val="0"/>
        </w:numPr>
        <w:ind w:hanging="0" w:start="0"/>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iCs/>
        </w:rPr>
        <w:t>County of Alameda v. Pacific Gas &amp; Elec. Co.</w:t>
      </w:r>
      <w:r>
        <w:rPr/>
        <w:t xml:space="preserve"> (1997)60 Cal.Rptr. 2d 187, 194.  </w:t>
      </w:r>
    </w:p>
    <w:p>
      <w:pPr>
        <w:pStyle w:val="BodyText"/>
        <w:numPr>
          <w:ilvl w:val="0"/>
          <w:numId w:val="0"/>
        </w:numPr>
        <w:ind w:hanging="0" w:start="0"/>
        <w:rPr/>
      </w:pPr>
      <w:r>
        <w:rPr/>
        <w:t>Similarly, the United States Supreme Court observed as follows:</w:t>
      </w:r>
    </w:p>
    <w:p>
      <w:pPr>
        <w:pStyle w:val="BodyText"/>
        <w:numPr>
          <w:ilvl w:val="0"/>
          <w:numId w:val="0"/>
        </w:numPr>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numPr>
          <w:ilvl w:val="0"/>
          <w:numId w:val="0"/>
        </w:numPr>
        <w:spacing w:lineRule="auto" w:line="240"/>
        <w:ind w:hanging="0" w:start="0"/>
        <w:rPr/>
      </w:pPr>
      <w:r>
        <w:rPr/>
      </w:r>
    </w:p>
    <w:p>
      <w:pPr>
        <w:pStyle w:val="BodyText"/>
        <w:numPr>
          <w:ilvl w:val="0"/>
          <w:numId w:val="0"/>
        </w:numPr>
        <w:ind w:hanging="0" w:start="0"/>
        <w:rPr/>
      </w:pPr>
      <w:r>
        <w:rPr>
          <w:i/>
          <w:iCs/>
        </w:rPr>
        <w:t>Bowen v. Georgetown University Hospital</w:t>
      </w:r>
      <w:r>
        <w:rPr/>
        <w:t xml:space="preserve">, 448 U.S. 204, 208-09 (1988).  The </w:t>
      </w:r>
      <w:r>
        <w:rPr>
          <w:i/>
          <w:iCs/>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iCs/>
        </w:rPr>
        <w:t>Id</w:t>
      </w:r>
      <w:r>
        <w:rPr/>
        <w:t>. at 212-13, 215.</w:t>
      </w:r>
    </w:p>
    <w:p>
      <w:pPr>
        <w:pStyle w:val="BodyText"/>
        <w:numPr>
          <w:ilvl w:val="0"/>
          <w:numId w:val="0"/>
        </w:numPr>
        <w:ind w:hanging="0" w:start="0"/>
        <w:rPr/>
      </w:pPr>
      <w:r>
        <w:rPr/>
        <w:t xml:space="preserve">The long history disfavoring the giving of retroactive effect to statutes and regulations was discussed in </w:t>
      </w:r>
      <w:r>
        <w:rPr>
          <w:i/>
          <w:iCs/>
        </w:rPr>
        <w:t>Landsgraf v. USI Film Products</w:t>
      </w:r>
      <w:r>
        <w:rPr/>
        <w:t>, 511 U.S. 244 (1994), where the Supreme Court observed at 270-71:</w:t>
      </w:r>
    </w:p>
    <w:p>
      <w:pPr>
        <w:pStyle w:val="BodyText"/>
        <w:numPr>
          <w:ilvl w:val="0"/>
          <w:numId w:val="0"/>
        </w:numPr>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numPr>
          <w:ilvl w:val="0"/>
          <w:numId w:val="0"/>
        </w:numPr>
        <w:spacing w:lineRule="auto" w:line="240"/>
        <w:ind w:hanging="0" w:start="1440" w:end="720"/>
        <w:rPr/>
      </w:pPr>
      <w:r>
        <w:rPr/>
      </w:r>
    </w:p>
    <w:p>
      <w:pPr>
        <w:pStyle w:val="BodyText"/>
        <w:numPr>
          <w:ilvl w:val="0"/>
          <w:numId w:val="0"/>
        </w:numPr>
        <w:ind w:hanging="0" w:start="0"/>
        <w:rPr/>
      </w:pPr>
      <w:r>
        <w:rPr/>
        <w:t>While noting that Constitutional impediments to retroactive civil legislation have diminished over the years, the Commission nevertheless observed that:</w:t>
      </w:r>
    </w:p>
    <w:p>
      <w:pPr>
        <w:pStyle w:val="BodyText"/>
        <w:numPr>
          <w:ilvl w:val="0"/>
          <w:numId w:val="0"/>
        </w:numPr>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iCs/>
        </w:rPr>
        <w:t>Id.</w:t>
      </w:r>
      <w:r>
        <w:rPr/>
        <w:t xml:space="preserve"> at 272.</w:t>
      </w:r>
    </w:p>
    <w:p>
      <w:pPr>
        <w:pStyle w:val="BodyText"/>
        <w:numPr>
          <w:ilvl w:val="0"/>
          <w:numId w:val="0"/>
        </w:numPr>
        <w:ind w:hanging="0" w:start="0"/>
        <w:rPr/>
      </w:pPr>
      <w:r>
        <w:rPr/>
        <w:t xml:space="preserve">The </w:t>
      </w:r>
      <w:r>
        <w:rPr>
          <w:i/>
          <w:iCs/>
        </w:rPr>
        <w:t>Bowen</w:t>
      </w:r>
      <w:r>
        <w:rPr/>
        <w:t xml:space="preserve"> and </w:t>
      </w:r>
      <w:r>
        <w:rPr>
          <w:i/>
          <w:iCs/>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iCs/>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iCs/>
        </w:rPr>
        <w:t>Id.</w:t>
      </w:r>
      <w:r>
        <w:rPr/>
        <w:t xml:space="preserve"> at 1181-84.</w:t>
      </w:r>
    </w:p>
    <w:p>
      <w:pPr>
        <w:pStyle w:val="BodyText"/>
        <w:numPr>
          <w:ilvl w:val="0"/>
          <w:numId w:val="0"/>
        </w:numPr>
        <w:ind w:hanging="0" w:start="0"/>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iCs/>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iCs/>
        </w:rPr>
        <w:t>See Pacific Tel. &amp; Tel. Co. v. Public Utils. Comm’n</w:t>
      </w:r>
      <w:r>
        <w:rPr/>
        <w:t xml:space="preserve"> (1965) 62 Cal.2d 634, 655 (noting that actions that are legislative in character, such as ratemaking, look to the future).</w:t>
      </w:r>
    </w:p>
    <w:p>
      <w:pPr>
        <w:pStyle w:val="BodyText"/>
        <w:numPr>
          <w:ilvl w:val="0"/>
          <w:numId w:val="0"/>
        </w:numPr>
        <w:ind w:hanging="0" w:start="720" w:end="0"/>
        <w:rPr>
          <w:b/>
          <w:bCs/>
        </w:rPr>
      </w:pPr>
      <w:r>
        <w:rPr>
          <w:b/>
          <w:bCs/>
        </w:rPr>
        <w:t xml:space="preserve">7.  </w:t>
      </w:r>
      <w:r>
        <w:rPr>
          <w:b/>
          <w:bCs/>
          <w:u w:val="single"/>
        </w:rPr>
        <w:t>The Commission Acted Contrary To law And In Excess Of Its Authority.</w:t>
      </w:r>
    </w:p>
    <w:p>
      <w:pPr>
        <w:pStyle w:val="BodyText"/>
        <w:numPr>
          <w:ilvl w:val="0"/>
          <w:numId w:val="0"/>
        </w:numPr>
        <w:ind w:hanging="0" w:start="0"/>
        <w:rPr/>
      </w:pPr>
      <w:r>
        <w:rPr/>
        <w:t>The Commission acted retroactively while its authority pursuant to Section 80110 was prospective.  Accordingly, the Commission acted in excess of its powers and contrary to law (Pub. Util. Code §§ 1757.1(a)(2) and (3)) and thus abused its discretion. (Pub. Util. Code § 1757.1(a)(1).)</w:t>
      </w:r>
    </w:p>
    <w:p>
      <w:pPr>
        <w:pStyle w:val="BodyText"/>
        <w:numPr>
          <w:ilvl w:val="0"/>
          <w:numId w:val="0"/>
        </w:numPr>
        <w:ind w:hanging="0" w:start="1440" w:end="0"/>
        <w:rPr>
          <w:b/>
          <w:bCs/>
        </w:rPr>
      </w:pPr>
      <w:r>
        <w:rPr>
          <w:b/>
          <w:bCs/>
        </w:rPr>
        <w:t>a.  The Commission’s Purported Findings Are Not Supported.</w:t>
      </w:r>
    </w:p>
    <w:p>
      <w:pPr>
        <w:pStyle w:val="BodyText"/>
        <w:numPr>
          <w:ilvl w:val="0"/>
          <w:numId w:val="0"/>
        </w:numPr>
        <w:ind w:hanging="0" w:start="0"/>
        <w:rPr>
          <w:b/>
          <w:bCs/>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numPr>
          <w:ilvl w:val="0"/>
          <w:numId w:val="0"/>
        </w:numPr>
        <w:ind w:hanging="0" w:start="0"/>
        <w:rPr/>
      </w:pPr>
      <w:r>
        <w:rPr/>
        <w:t xml:space="preserve">The Commission bases its retroactive suspension of direct access on three purported findings of fact.  None of these purported findings, however, support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numPr>
          <w:ilvl w:val="0"/>
          <w:numId w:val="0"/>
        </w:numPr>
        <w:ind w:hanging="0" w:start="0"/>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numPr>
          <w:ilvl w:val="0"/>
          <w:numId w:val="0"/>
        </w:numPr>
        <w:ind w:hanging="0"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numPr>
          <w:ilvl w:val="0"/>
          <w:numId w:val="0"/>
        </w:numPr>
        <w:ind w:hanging="0" w:start="1440" w:end="1440"/>
        <w:jc w:val="both"/>
        <w:rPr/>
      </w:pPr>
      <w:r>
        <w:rPr/>
      </w:r>
    </w:p>
    <w:p>
      <w:pPr>
        <w:pStyle w:val="Normal"/>
        <w:numPr>
          <w:ilvl w:val="0"/>
          <w:numId w:val="0"/>
        </w:numPr>
        <w:ind w:hanging="0"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numPr>
          <w:ilvl w:val="0"/>
          <w:numId w:val="0"/>
        </w:numPr>
        <w:ind w:hanging="0" w:start="1440" w:end="1440"/>
        <w:jc w:val="both"/>
        <w:rPr/>
      </w:pPr>
      <w:r>
        <w:rPr/>
      </w:r>
    </w:p>
    <w:p>
      <w:pPr>
        <w:pStyle w:val="Normal"/>
        <w:numPr>
          <w:ilvl w:val="0"/>
          <w:numId w:val="0"/>
        </w:numPr>
        <w:ind w:hanging="0"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2"/>
      </w:r>
      <w:r>
        <w:rPr/>
        <w:t xml:space="preserve">  </w:t>
      </w:r>
    </w:p>
    <w:p>
      <w:pPr>
        <w:pStyle w:val="Normal"/>
        <w:numPr>
          <w:ilvl w:val="0"/>
          <w:numId w:val="0"/>
        </w:numPr>
        <w:ind w:hanging="0" w:start="720" w:end="720"/>
        <w:jc w:val="both"/>
        <w:rPr/>
      </w:pPr>
      <w:r>
        <w:rPr/>
        <w:t xml:space="preserve">               </w:t>
      </w:r>
      <w:r>
        <w:rPr/>
        <w:t xml:space="preserve">.                   </w:t>
      </w:r>
    </w:p>
    <w:p>
      <w:pPr>
        <w:pStyle w:val="BodyText"/>
        <w:numPr>
          <w:ilvl w:val="0"/>
          <w:numId w:val="0"/>
        </w:numPr>
        <w:ind w:hanging="0" w:start="0"/>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numPr>
          <w:ilvl w:val="0"/>
          <w:numId w:val="0"/>
        </w:numPr>
        <w:ind w:hanging="0" w:start="0"/>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numPr>
          <w:ilvl w:val="0"/>
          <w:numId w:val="0"/>
        </w:numPr>
        <w:ind w:hanging="0" w:start="0"/>
        <w:rPr/>
      </w:pPr>
      <w:r>
        <w:rPr/>
        <w:t>“</w:t>
      </w:r>
      <w:r>
        <w:rPr/>
        <w:t xml:space="preserve">Finding of Fact No.2” provides that: The Commission is required by Water Code § 80110 to determine </w:t>
      </w:r>
      <w:r>
        <w:rPr>
          <w:i/>
          <w:iCs/>
        </w:rPr>
        <w:t>when</w:t>
      </w:r>
      <w:r>
        <w:rPr/>
        <w:t xml:space="preserve"> the right of retail end use customers to acquire service from other providers shall be suspended.  Water Code § 80110, however, says nothing to authorize the abrogation of existing direct access contracts or to end the right to acquire service retroactively.  In fact, as discussed previously, the express language of Water Code § 80110 demonstrates that the Legislature contemplated that the suspension of direct access would be prospective.</w:t>
      </w:r>
    </w:p>
    <w:p>
      <w:pPr>
        <w:pStyle w:val="BodyText"/>
        <w:numPr>
          <w:ilvl w:val="0"/>
          <w:numId w:val="0"/>
        </w:numPr>
        <w:ind w:hanging="0" w:start="0"/>
        <w:rPr/>
      </w:pPr>
      <w:r>
        <w:rPr/>
        <w:t>“</w:t>
      </w:r>
      <w:r>
        <w:rPr/>
        <w:t>Finding of Fact No.3” provides that:</w:t>
      </w:r>
    </w:p>
    <w:p>
      <w:pPr>
        <w:pStyle w:val="BodyText"/>
        <w:numPr>
          <w:ilvl w:val="0"/>
          <w:numId w:val="0"/>
        </w:numPr>
        <w:ind w:hanging="0" w:start="0"/>
        <w:rPr/>
      </w:pPr>
      <w:r>
        <w:rPr/>
        <w:t>“</w:t>
      </w:r>
      <w:r>
        <w:rPr/>
        <w:t>Consistent with the draft decision mailed to parties on June 15, 2001, which suspended direct access effective July 1, 2001, and to ensure that we do not reward customers who have switched to direct assess since July 1, 2001 and disadvantage customers who continue to receive bundled service from the utility, the July 1 effective date for suspension of direct access is unchanged.”</w:t>
      </w:r>
    </w:p>
    <w:p>
      <w:pPr>
        <w:pStyle w:val="BodyText"/>
        <w:numPr>
          <w:ilvl w:val="0"/>
          <w:numId w:val="0"/>
        </w:numPr>
        <w:ind w:hanging="0" w:start="0"/>
        <w:rPr/>
      </w:pPr>
      <w:r>
        <w:rPr/>
        <w:t>This finding suffers from a number of flaws, and fails to support retroactive suspension.  First, the finding ignores the prospective nature of the June 15, 2001 Initial Draft Decision, the prospective nature of the First Revised Draft Decision setting a September 1, 2001 prospective suspension date, and the Alternative Draft Decision of Commission Bilas declining to suspend direct access.  The finding also ignores the Commission’s repeated postponement of any decision regarding suspension, all of which are inconsistent with the idea that the reference to the July 1, 2001 date in the initial draft decision provided adequate notice.</w:t>
      </w:r>
    </w:p>
    <w:p>
      <w:pPr>
        <w:pStyle w:val="BodyText"/>
        <w:numPr>
          <w:ilvl w:val="0"/>
          <w:numId w:val="0"/>
        </w:numPr>
        <w:ind w:hanging="0" w:start="0"/>
        <w:rPr/>
      </w:pPr>
      <w:r>
        <w:rPr/>
        <w:t>Second, the finding implies that direct access customers have somehow engaged in improper behavior and should be punished for exercising a right provided to them by the California legislature to manage their electricity rates.  An intent to punish direct access users is hardly consistent with reasoned decision-making or any provision in AB 1X, particularly since those involved in direct access were acting lawfully.</w:t>
      </w:r>
    </w:p>
    <w:p>
      <w:pPr>
        <w:pStyle w:val="BodyText"/>
        <w:numPr>
          <w:ilvl w:val="0"/>
          <w:numId w:val="0"/>
        </w:numPr>
        <w:ind w:hanging="0" w:start="0"/>
        <w:rPr/>
      </w:pPr>
      <w:r>
        <w:rPr/>
        <w:t>Third, the finding’s assertion that retroactive suspension is necessary because doing otherwise might “disadvantage customers who continue to received bundled service” is not supported by any evidence.  Due to the lack of evidentiary hearings, the Commission has no idea of the number of direct access customers affected by the retroactive suspension, or whether the number of customers involved would have any affect on the rates paid by bundled customers.  This purported “finding of fact” is mere speculation and cannot provide a factual basis for retroactive suspension of direct access.</w:t>
      </w:r>
    </w:p>
    <w:p>
      <w:pPr>
        <w:pStyle w:val="BodyText"/>
        <w:numPr>
          <w:ilvl w:val="0"/>
          <w:numId w:val="0"/>
        </w:numPr>
        <w:ind w:hanging="0" w:start="0"/>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numPr>
          <w:ilvl w:val="0"/>
          <w:numId w:val="0"/>
        </w:numPr>
        <w:ind w:hanging="0" w:start="0"/>
        <w:rPr/>
      </w:pPr>
      <w:r>
        <w:rPr/>
        <w:t>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w:t>
      </w:r>
      <w:r>
        <w:rPr>
          <w:rStyle w:val="FootnoteCharacters"/>
          <w:rStyle w:val="FootnoteReference"/>
        </w:rPr>
        <w:footnoteReference w:id="3"/>
      </w:r>
      <w:r>
        <w:rPr/>
        <w:t xml:space="preserve"> Indeed, such hearsay statements cannot serve as evidence to support a finding when they are not certified as required by Section 1710 of the Public Utilities Code.</w:t>
      </w:r>
    </w:p>
    <w:p>
      <w:pPr>
        <w:pStyle w:val="BodyText"/>
        <w:numPr>
          <w:ilvl w:val="0"/>
          <w:numId w:val="0"/>
        </w:numPr>
        <w:ind w:hanging="0" w:start="0"/>
        <w:rPr/>
      </w:pPr>
      <w:r>
        <w:rPr/>
        <w:t>There is a vast difference between asserting some control and retroactive suspension.  Since the only basis for Finding No.3 are unsworn statements by certain State agencies with a financial interest in limiting or terminating direct access, there is no evidence upon which it can be based.  The defect in the findings in this situation derives from the Commission’s refusal to allow a hearing.  When the record is devoid of the evidence that would come through a hearing, there is no basis for any findings and the Decision must be vacated.</w:t>
      </w:r>
    </w:p>
    <w:p>
      <w:pPr>
        <w:pStyle w:val="BodyText"/>
        <w:numPr>
          <w:ilvl w:val="0"/>
          <w:numId w:val="0"/>
        </w:numPr>
        <w:ind w:hanging="0" w:start="0"/>
        <w:rPr/>
      </w:pPr>
      <w:r>
        <w:rPr/>
      </w:r>
    </w:p>
    <w:p>
      <w:pPr>
        <w:pStyle w:val="BodyText"/>
        <w:numPr>
          <w:ilvl w:val="0"/>
          <w:numId w:val="4"/>
        </w:numPr>
        <w:tabs>
          <w:tab w:val="clear" w:pos="720"/>
          <w:tab w:val="left" w:pos="0" w:leader="none"/>
        </w:tabs>
        <w:spacing w:lineRule="auto" w:line="240"/>
        <w:ind w:hanging="1095" w:start="2175" w:end="0"/>
        <w:rPr>
          <w:b/>
          <w:bCs/>
        </w:rPr>
      </w:pPr>
      <w:r>
        <w:rPr>
          <w:b/>
          <w:bCs/>
        </w:rPr>
        <w:t>The Commission Has Impermissibly Converted a Ratemaking Proceeding Into a Quasi-Legislative Proceeding</w:t>
      </w:r>
    </w:p>
    <w:p>
      <w:pPr>
        <w:pStyle w:val="BodyText"/>
        <w:spacing w:lineRule="auto" w:line="240"/>
        <w:ind w:hanging="0" w:start="720" w:end="0"/>
        <w:rPr/>
      </w:pPr>
      <w:r>
        <w:rPr/>
      </w:r>
    </w:p>
    <w:p>
      <w:pPr>
        <w:pStyle w:val="BodyText"/>
        <w:rPr/>
      </w:pPr>
      <w:r>
        <w:rPr/>
        <w:t xml:space="preserve">Senate Bill 960 </w:t>
      </w:r>
      <w:r>
        <w:rPr>
          <w:rStyle w:val="FootnoteCharacters"/>
          <w:rStyle w:val="FootnoteReference"/>
        </w:rPr>
        <w:footnoteReference w:id="4"/>
      </w:r>
      <w:r>
        <w:rPr/>
        <w:t xml:space="preserve"> added certain procedural requirements to the Public Utilities Code, which govern the classification of proceedings before the Commission.  Specifically, Section 1701.1(c) provides as follows:</w:t>
      </w:r>
    </w:p>
    <w:p>
      <w:pPr>
        <w:pStyle w:val="BodyText"/>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rPr/>
      </w:pPr>
      <w:r>
        <w:rPr/>
        <w:t>The proceeding that led to the issuance of the September 20 Decision was classified as a ratesetting proceeding.  D.99-06-058 (the decision that the Edison Petition sought to modify) provides that:</w:t>
      </w:r>
    </w:p>
    <w:p>
      <w:pPr>
        <w:pStyle w:val="standard"/>
        <w:widowControl/>
        <w:spacing w:lineRule="auto" w:line="24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ruling dated September 16, 1998, the Commission further specified the scope of this proceeding to include:</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transition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Pub. Util. Code Section 376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accounting treatment of Edison’s fuel costs for service to Santa Catalina Island;</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accuracy of PX calculations and PX credit components performed by the utilities; and</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elimination or modification of balancing accounts and memorandum accounts.</w:t>
      </w:r>
    </w:p>
    <w:p>
      <w:pPr>
        <w:pStyle w:val="BodyText"/>
        <w:ind w:hanging="0" w:end="0"/>
        <w:rPr>
          <w:rFonts w:ascii="Times New Roman" w:hAnsi="Times New Roman" w:eastAsia="Times New Roman" w:cs="Times New Roman"/>
          <w:sz w:val="24"/>
          <w:szCs w:val="24"/>
        </w:rPr>
      </w:pPr>
      <w:r>
        <w:rPr>
          <w:rFonts w:eastAsia="Times New Roman" w:cs="Times New Roman"/>
          <w:sz w:val="24"/>
          <w:szCs w:val="24"/>
        </w:rPr>
      </w:r>
    </w:p>
    <w:p>
      <w:pPr>
        <w:pStyle w:val="BodyText"/>
        <w:ind w:hanging="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rPr/>
      </w:pPr>
      <w:r>
        <w:rPr/>
        <w:t>These procedural requirements are summarized in Public Utilities Code Section 1701.1.  (a), which provides as follows:</w:t>
      </w:r>
    </w:p>
    <w:p>
      <w:pPr>
        <w:pStyle w:val="HTMLPreformatted"/>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ind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rPr/>
      </w:pPr>
      <w:r>
        <w:rPr/>
        <w:t>However, the Commission has made no such determination with regard to the issue of direct access suspension and its Decision is therefore fatally flawed.  A reading of Public Utilities Code Sections 1708 and 1708.5(f) reinforces this conclusion.  Section 1708 provides that:</w:t>
      </w:r>
    </w:p>
    <w:p>
      <w:pPr>
        <w:pStyle w:val="BodyText"/>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spacing w:lineRule="auto" w:line="240"/>
        <w:ind w:hanging="0" w:start="1440" w:end="1440"/>
        <w:rPr/>
      </w:pPr>
      <w:r>
        <w:rPr/>
      </w:r>
    </w:p>
    <w:p>
      <w:pPr>
        <w:pStyle w:val="BodyText"/>
        <w:ind w:hanging="0" w:end="0"/>
        <w:rPr/>
      </w:pPr>
      <w:r>
        <w:rPr/>
        <w:t>However, Section 1708.5(f) clarifies that:</w:t>
      </w:r>
    </w:p>
    <w:p>
      <w:pPr>
        <w:pStyle w:val="BodyText"/>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spacing w:lineRule="auto" w:line="240"/>
        <w:ind w:hanging="0" w:start="1440" w:end="1440"/>
        <w:rPr/>
      </w:pPr>
      <w:r>
        <w:rPr/>
      </w:r>
    </w:p>
    <w:p>
      <w:pPr>
        <w:pStyle w:val="BodyText2"/>
        <w:widowControl/>
        <w:spacing w:lineRule="auto" w:line="480"/>
        <w:jc w:val="both"/>
        <w:rPr/>
      </w:pPr>
      <w:r>
        <w:rPr>
          <w:sz w:val="24"/>
          <w:szCs w:val="24"/>
        </w:rPr>
        <w:t xml:space="preserve">The statute states clearly that a hearing is not required </w:t>
      </w:r>
      <w:r>
        <w:rPr>
          <w:sz w:val="24"/>
          <w:szCs w:val="24"/>
          <w:u w:val="single"/>
        </w:rPr>
        <w:t>unless</w:t>
      </w:r>
      <w:r>
        <w:rPr>
          <w:sz w:val="24"/>
          <w:szCs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szCs w:val="24"/>
        </w:rPr>
        <w:t>In the area of direct access, Commission policy was first enunciated as follows:</w:t>
      </w:r>
    </w:p>
    <w:p>
      <w:pPr>
        <w:pStyle w:val="Normal"/>
        <w:ind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ind w:start="1440" w:end="1440"/>
        <w:jc w:val="both"/>
        <w:rPr/>
      </w:pPr>
      <w:r>
        <w:rPr/>
      </w:r>
    </w:p>
    <w:p>
      <w:pPr>
        <w:pStyle w:val="Normal"/>
        <w:spacing w:lineRule="auto" w:line="48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spacing w:before="0" w:after="240"/>
        <w:ind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spacing w:lineRule="auto" w:line="48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eastAsia="Times New Roman" w:cs="Times New Roman" w:ascii="Times New Roman" w:hAnsi="Times New Roman"/>
          <w:b w:val="false"/>
          <w:bCs w:val="false"/>
        </w:rPr>
        <w:footnoteReference w:id="5"/>
      </w:r>
    </w:p>
    <w:p>
      <w:pPr>
        <w:pStyle w:val="sub1"/>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r>
    </w:p>
    <w:p>
      <w:pPr>
        <w:pStyle w:val="BodyText"/>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Normal"/>
        <w:spacing w:lineRule="auto" w:line="480"/>
        <w:jc w:val="both"/>
        <w:rPr/>
      </w:pPr>
      <w:r>
        <w:rPr/>
      </w:r>
    </w:p>
    <w:p>
      <w:pPr>
        <w:pStyle w:val="BodyText"/>
        <w:rPr/>
      </w:pPr>
      <w:r>
        <w:rPr>
          <w:b/>
          <w:bCs/>
        </w:rPr>
        <w:t xml:space="preserve">V.  </w:t>
      </w:r>
      <w:r>
        <w:rPr>
          <w:b/>
          <w:bCs/>
          <w:u w:val="single"/>
        </w:rPr>
        <w:t>Summary and Conclusion</w:t>
      </w:r>
    </w:p>
    <w:p>
      <w:pPr>
        <w:pStyle w:val="BodyText"/>
        <w:rPr/>
      </w:pPr>
      <w:r>
        <w:rPr/>
        <w:t xml:space="preserve">For inexplicable reasons, the Commission refused to conduct hearings, acted contrary to the authority conferred on it by the Legislature, and then issued an Decision with retroactive application which interferes with interstate commerce and existing contracts, and results in an uncompensated taking.  This Commission must act to protect and maintain constitutional rights.  </w:t>
      </w:r>
    </w:p>
    <w:p>
      <w:pPr>
        <w:pStyle w:val="BodyText"/>
        <w:rPr/>
      </w:pPr>
      <w:r>
        <w:rPr/>
        <w:t>This Commission should grant this application for rehearing of the Decision and issue an immediate emergency stay of the Decision’s effectiveness while it considers this application.  An emergency stay is appropriate because both direct access customers and ESPs will suffer irreparable damage or loss unless an immediate stay is issued.  The suspension of the right to contract for direct access from and after July 1 will cause the immediate and irrevocable loss and forfeiture of the post-July 1 contracts with no possibility of reinstatement or resurrection.  The modification of the fundamental term in the pre-July 1 direct access contracts suspending such contracts after their initial term will likewise result, at the end of their initial term, in the loss and forfeiture of the contracts with no possibility of reinstatement or resurrection.</w:t>
      </w:r>
    </w:p>
    <w:p>
      <w:pPr>
        <w:pStyle w:val="BodyText"/>
        <w:rPr/>
      </w:pPr>
      <w:r>
        <w:rPr/>
        <w:t>Moreover, the Decision denies direct access customers and ESPs their constitutional right to due process and their rights under both the Contract Clause and the Takings Clause of the United States and California Constitutions.</w:t>
      </w:r>
    </w:p>
    <w:p>
      <w:pPr>
        <w:pStyle w:val="BodyText"/>
        <w:rPr/>
      </w:pPr>
      <w:r>
        <w:rPr/>
        <w:t xml:space="preserve"> </w:t>
      </w:r>
      <w:r>
        <w:rPr>
          <w:spacing w:val="-3"/>
        </w:rPr>
        <w:tab/>
        <w:tab/>
        <w:tab/>
        <w:tab/>
      </w:r>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21,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bCs/>
        </w:rPr>
      </w:pPr>
      <w:r>
        <w:rPr>
          <w:b/>
          <w:bCs/>
        </w:rPr>
        <w:t>CERTIFICATE OF SERVICE</w:t>
      </w:r>
    </w:p>
    <w:p>
      <w:pPr>
        <w:pStyle w:val="BodyText"/>
        <w:spacing w:lineRule="auto" w:line="240"/>
        <w:rPr/>
      </w:pPr>
      <w:r>
        <w:rPr/>
        <w:t xml:space="preserve">I hereby certify that I have this day served a copy of the application for Rehearing and Request for Emergency Stay of the Alliance for Retail Energy Markets and the Western Power Trading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21,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pPr>
            <w:r>
              <w:rPr/>
            </w:r>
          </w:p>
        </w:tc>
        <w:tc>
          <w:tcPr>
            <w:tcW w:w="4770" w:type="dxa"/>
            <w:tcBorders>
              <w:top w:val="dashed" w:sz="6" w:space="0" w:color="auto"/>
              <w:start w:val="dashed" w:sz="6" w:space="0" w:color="auto"/>
              <w:bottom w:val="dashed" w:sz="6" w:space="0" w:color="auto"/>
              <w:end w:val="dashed" w:sz="6" w:space="0" w:color="auto"/>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bCs/>
        </w:rPr>
      </w:pPr>
      <w:r>
        <w:rPr>
          <w:b/>
          <w:bCs/>
        </w:rPr>
      </w:r>
    </w:p>
    <w:p>
      <w:pPr>
        <w:pStyle w:val="BodyText"/>
        <w:spacing w:lineRule="auto" w:line="240"/>
        <w:rPr>
          <w:b/>
          <w:bCs/>
        </w:rPr>
      </w:pPr>
      <w:r>
        <w:rPr>
          <w:b/>
          <w:bCs/>
        </w:rPr>
      </w:r>
    </w:p>
    <w:sectPr>
      <w:footerReference w:type="default" r:id="rId2"/>
      <w:footerReference w:type="first" r:id="rId3"/>
      <w:footnotePr>
        <w:numFmt w:val="decimal"/>
      </w:footnotePr>
      <w:type w:val="nextPage"/>
      <w:pgSz w:w="12240" w:h="15840"/>
      <w:pgMar w:left="1800" w:right="108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20"/>
          <w:szCs w:val="20"/>
        </w:rPr>
      </w:pPr>
      <w:r>
        <w:rPr>
          <w:rStyle w:val="FootnoteCharacters"/>
        </w:rPr>
        <w:footnoteRef/>
      </w:r>
      <w:r>
        <w:rPr/>
        <w:t xml:space="preserve"> </w:t>
      </w:r>
      <w:r>
        <w:rPr>
          <w:rFonts w:eastAsia="Times New Roman" w:cs="Times New Roman" w:ascii="Times New Roman" w:hAnsi="Times New Roman"/>
          <w:sz w:val="20"/>
          <w:szCs w:val="20"/>
        </w:rPr>
        <w:t>Senate Concurrent Resolution 46 [Emphasis added.]</w:t>
      </w:r>
    </w:p>
    <w:p>
      <w:pPr>
        <w:pStyle w:val="FootnoteText"/>
        <w:spacing w:before="0" w:after="240"/>
        <w:rPr>
          <w:sz w:val="20"/>
          <w:szCs w:val="20"/>
        </w:rPr>
      </w:pPr>
      <w:r>
        <w:rPr>
          <w:sz w:val="20"/>
          <w:szCs w:val="20"/>
        </w:rPr>
      </w:r>
    </w:p>
  </w:footnote>
  <w:footnote w:id="3">
    <w:p>
      <w:pPr>
        <w:pStyle w:val="FootnoteText"/>
        <w:spacing w:before="0" w:after="0"/>
        <w:jc w:val="both"/>
        <w:rPr/>
      </w:pPr>
      <w:r>
        <w:rPr>
          <w:rStyle w:val="FootnoteCharacters"/>
        </w:rPr>
        <w:footnoteRef/>
      </w:r>
      <w:r>
        <w:rPr/>
        <w:t xml:space="preserve"> </w:t>
      </w:r>
      <w:r>
        <w:rPr/>
        <w:tab/>
      </w:r>
      <w:bookmarkStart w:id="3" w:name="zImInFootnote"/>
      <w:bookmarkEnd w:id="3"/>
      <w:r>
        <w:rPr>
          <w:rFonts w:eastAsia="Times New Roman" w:cs="Times New Roman" w:ascii="Times New Roman" w:hAnsi="Times New Roman"/>
          <w:sz w:val="20"/>
          <w:szCs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4">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[cite]</w:t>
      </w:r>
    </w:p>
  </w:footnote>
  <w:footnote w:id="5">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D.97-08-056 [</w:t>
      </w:r>
      <w:r>
        <w:rPr>
          <w:rFonts w:eastAsia="Times New Roman" w:cs="Times New Roman" w:ascii="Times New Roman" w:hAnsi="Times New Roman"/>
          <w:i/>
          <w:iCs/>
          <w:sz w:val="20"/>
          <w:szCs w:val="20"/>
        </w:rPr>
        <w:t>mimeo</w:t>
      </w:r>
      <w:r>
        <w:rPr>
          <w:rFonts w:eastAsia="Times New Roman" w:cs="Times New Roman" w:ascii="Times New Roman" w:hAnsi="Times New Roman"/>
          <w:sz w:val="20"/>
          <w:szCs w:val="20"/>
        </w:rPr>
        <w:t>] at page 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1095"/>
        </w:tabs>
        <w:ind w:start="1095" w:hanging="109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a">
    <w:name w:val="num1a"/>
    <w:basedOn w:val="Normal"/>
    <w:qFormat/>
    <w:pPr>
      <w:widowControl/>
      <w:numPr>
        <w:ilvl w:val="0"/>
        <w:numId w:val="2"/>
      </w:numPr>
      <w:tabs>
        <w:tab w:val="clear" w:pos="720"/>
        <w:tab w:val="left" w:pos="-720" w:leader="none"/>
        <w:tab w:val="left" w:pos="360" w:leader="none"/>
      </w:tabs>
      <w:suppressAutoHyphens w:val="true"/>
      <w:spacing w:lineRule="auto" w:line="360"/>
      <w:ind w:firstLine="270" w:start="0" w:end="0"/>
    </w:pPr>
    <w:rPr>
      <w:rFonts w:ascii="Palatino;Book Antiqua" w:hAnsi="Palatino;Book Antiqua" w:eastAsia="Palatino;Book Antiqua" w:cs="Palatino;Book Antiqua"/>
      <w:sz w:val="26"/>
      <w:szCs w:val="26"/>
    </w:rPr>
  </w:style>
  <w:style w:type="paragraph" w:styleId="titlebar">
    <w:name w:val="title bar"/>
    <w:basedOn w:val="Normal"/>
    <w:qFormat/>
    <w:pPr>
      <w:keepNext w:val="true"/>
      <w:widowControl/>
      <w:suppressAutoHyphens w:val="true"/>
      <w:jc w:val="center"/>
    </w:pPr>
    <w:rPr>
      <w:rFonts w:ascii="Helvetica;Arial" w:hAnsi="Helvetica;Arial" w:eastAsia="Helvetica;Arial" w:cs="Helvetica;Arial"/>
      <w:b/>
      <w:bCs/>
      <w:sz w:val="26"/>
      <w:szCs w:val="26"/>
    </w:rPr>
  </w:style>
  <w:style w:type="paragraph" w:styleId="BodyText3">
    <w:name w:val="Body Text 3"/>
    <w:basedOn w:val="Normal"/>
    <w:qFormat/>
    <w:pPr>
      <w:widowControl/>
      <w:tabs>
        <w:tab w:val="clear" w:pos="720"/>
        <w:tab w:val="left" w:pos="1440" w:leader="none"/>
        <w:tab w:val="left" w:pos="3600" w:leader="none"/>
      </w:tabs>
    </w:pPr>
    <w:rPr>
      <w:sz w:val="22"/>
      <w:szCs w:val="22"/>
    </w:rPr>
  </w:style>
  <w:style w:type="paragraph" w:styleId="BlockText">
    <w:name w:val="Block Text"/>
    <w:basedOn w:val="Normal"/>
    <w:qFormat/>
    <w:pPr>
      <w:ind w:firstLine="720" w:start="3600" w:end="-360"/>
    </w:pPr>
    <w:rPr>
      <w:b/>
      <w:bCs/>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
    <w:name w:val="Body Text 2"/>
    <w:basedOn w:val="Normal"/>
    <w:qFormat/>
    <w:pPr>
      <w:spacing w:lineRule="auto" w:line="360" w:before="60" w:after="0"/>
      <w:ind w:firstLine="360" w:start="0" w:end="0"/>
    </w:pPr>
    <w:rPr>
      <w:sz w:val="20"/>
      <w:szCs w:val="20"/>
    </w:rPr>
  </w:style>
  <w:style w:type="paragraph" w:styleId="sub1">
    <w:name w:val="sub1"/>
    <w:basedOn w:val="Normal"/>
    <w:qFormat/>
    <w:pPr>
      <w:widowControl/>
      <w:spacing w:lineRule="auto" w:line="360"/>
      <w:ind w:firstLine="1440" w:start="0" w:end="0"/>
    </w:pPr>
    <w:rPr>
      <w:rFonts w:ascii="Palatino;Book Antiqua" w:hAnsi="Palatino;Book Antiqua" w:eastAsia="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535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2001-09-16T13:49:00Z</dcterms:created>
  <dc:creator>Arter &amp; Hadden</dc:creator>
  <dc:description/>
  <dc:language>en-CA</dc:language>
  <cp:lastModifiedBy>Daniel W. Douglass</cp:lastModifiedBy>
  <cp:lastPrinted>2001-09-15T15:25:00Z</cp:lastPrinted>
  <dcterms:modified xsi:type="dcterms:W3CDTF">2001-09-19T07:02:00Z</dcterms:modified>
  <cp:revision>73</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