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mc:AlternateContent>
          <mc:Choice Requires="wps">
            <w:drawing>
              <wp:anchor behindDoc="0" distT="0" distB="0" distL="114935" distR="114935" simplePos="0" locked="0" layoutInCell="1" allowOverlap="1" relativeHeight="5">
                <wp:simplePos x="0" y="0"/>
                <wp:positionH relativeFrom="column">
                  <wp:posOffset>76200</wp:posOffset>
                </wp:positionH>
                <wp:positionV relativeFrom="page">
                  <wp:posOffset>1017905</wp:posOffset>
                </wp:positionV>
                <wp:extent cx="6248400" cy="0"/>
                <wp:effectExtent l="0" t="5080" r="0" b="5080"/>
                <wp:wrapNone/>
                <wp:docPr id="1" name=""/>
                <a:graphic xmlns:a="http://schemas.openxmlformats.org/drawingml/2006/main">
                  <a:graphicData uri="http://schemas.microsoft.com/office/word/2010/wordprocessingShape">
                    <wps:wsp>
                      <wps:cNvSpPr/>
                      <wps:spPr>
                        <a:xfrm>
                          <a:off x="0" y="0"/>
                          <a:ext cx="6248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pt,80.15pt" to="497.95pt,80.15pt" stroked="t" o:allowincell="f" style="position:absolute;mso-position-vertical-relative:page">
                <v:stroke color="black" weight="9360" joinstyle="miter" endcap="flat"/>
                <v:fill o:detectmouseclick="t" on="false"/>
                <w10:wrap type="none"/>
              </v:line>
            </w:pict>
          </mc:Fallback>
        </mc:AlternateContent>
      </w:r>
      <w:r>
        <w:rPr/>
        <w:t xml:space="preserve">   </w:t>
      </w:r>
      <w:r>
        <mc:AlternateContent>
          <mc:Choice Requires="wps">
            <w:drawing>
              <wp:anchor behindDoc="0" distT="0" distB="0" distL="114935" distR="114935" simplePos="0" locked="0" layoutInCell="0" allowOverlap="1" relativeHeight="4">
                <wp:simplePos x="0" y="0"/>
                <wp:positionH relativeFrom="column">
                  <wp:posOffset>-762000</wp:posOffset>
                </wp:positionH>
                <wp:positionV relativeFrom="paragraph">
                  <wp:posOffset>-724535</wp:posOffset>
                </wp:positionV>
                <wp:extent cx="7467600" cy="2070100"/>
                <wp:effectExtent l="0" t="0" r="0" b="0"/>
                <wp:wrapSquare wrapText="bothSides"/>
                <wp:docPr id="2" name="Frame1"/>
                <a:graphic xmlns:a="http://schemas.openxmlformats.org/drawingml/2006/main">
                  <a:graphicData uri="http://schemas.microsoft.com/office/word/2010/wordprocessingShape">
                    <wps:wsp>
                      <wps:cNvSpPr txBox="1"/>
                      <wps:spPr>
                        <a:xfrm>
                          <a:off x="0" y="0"/>
                          <a:ext cx="7467600" cy="2070100"/>
                        </a:xfrm>
                        <a:prstGeom prst="rect"/>
                        <a:solidFill>
                          <a:srgbClr val="FFFFFF">
                            <a:alpha val="0"/>
                          </a:srgbClr>
                        </a:solidFill>
                      </wps:spPr>
                      <wps:txbx>
                        <w:txbxContent>
                          <w:p>
                            <w:pPr>
                              <w:pStyle w:val="Normal"/>
                              <w:rPr/>
                            </w:pPr>
                            <w:r>
                              <w:rPr>
                                <w:rFonts w:cs="Kunstler Script" w:ascii="Kunstler Script" w:hAnsi="Kunstler Script"/>
                                <w:b/>
                                <w:bCs/>
                                <w:sz w:val="120"/>
                              </w:rPr>
                              <w:t>G</w:t>
                            </w:r>
                            <w:r>
                              <w:rPr>
                                <w:rFonts w:cs="Arial" w:ascii="Arial" w:hAnsi="Arial"/>
                                <w:sz w:val="28"/>
                              </w:rPr>
                              <w:t xml:space="preserve"> </w:t>
                            </w:r>
                            <w:r>
                              <w:rPr>
                                <w:rFonts w:cs="Arial" w:ascii="Arial" w:hAnsi="Arial"/>
                                <w:i/>
                                <w:iCs/>
                                <w:sz w:val="32"/>
                              </w:rPr>
                              <w:t>RUENEICH  RESOURCE  ADVOCATES</w:t>
                            </w:r>
                          </w:p>
                          <w:p>
                            <w:pPr>
                              <w:pStyle w:val="Header"/>
                              <w:tabs>
                                <w:tab w:val="clear" w:pos="4320"/>
                                <w:tab w:val="left" w:pos="90" w:leader="none"/>
                                <w:tab w:val="left" w:pos="8640" w:leader="none"/>
                                <w:tab w:val="left" w:pos="9000" w:leader="none"/>
                              </w:tabs>
                              <w:spacing w:lineRule="exact" w:line="200"/>
                              <w:ind w:start="-994" w:end="0"/>
                              <w:rPr>
                                <w:rFonts w:ascii="Arial" w:hAnsi="Arial" w:cs="Arial"/>
                                <w:sz w:val="18"/>
                              </w:rPr>
                            </w:pPr>
                            <w:r>
                              <w:rPr>
                                <w:rFonts w:eastAsia="Arial" w:cs="Arial" w:ascii="Arial" w:hAnsi="Arial"/>
                                <w:sz w:val="18"/>
                              </w:rPr>
                              <w:t xml:space="preserve">                            </w:t>
                            </w:r>
                            <w:r>
                              <w:rPr>
                                <w:rFonts w:cs="Arial" w:ascii="Arial" w:hAnsi="Arial"/>
                                <w:sz w:val="18"/>
                              </w:rPr>
                              <w:t>582 Market Street, Suite 1020, San Francisco, CA 94104</w:t>
                              <w:tab/>
                              <w:tab/>
                              <w:t xml:space="preserve">Telephone 415.834.2300 </w:t>
                            </w:r>
                          </w:p>
                          <w:p>
                            <w:pPr>
                              <w:pStyle w:val="Header"/>
                              <w:tabs>
                                <w:tab w:val="clear" w:pos="4320"/>
                                <w:tab w:val="left" w:pos="288" w:leader="none"/>
                                <w:tab w:val="left" w:pos="8640" w:leader="none"/>
                                <w:tab w:val="left" w:pos="9000" w:leader="none"/>
                              </w:tabs>
                              <w:spacing w:lineRule="exact" w:line="200"/>
                              <w:ind w:start="-994" w:end="0"/>
                              <w:rPr>
                                <w:rFonts w:ascii="Arial" w:hAnsi="Arial" w:cs="Arial"/>
                                <w:sz w:val="18"/>
                              </w:rPr>
                            </w:pPr>
                            <w:r>
                              <w:rPr>
                                <w:rFonts w:cs="Arial" w:ascii="Arial" w:hAnsi="Arial"/>
                                <w:sz w:val="18"/>
                              </w:rPr>
                              <w:tab/>
                              <w:tab/>
                              <w:tab/>
                              <w:t>Facsimile 415.834.2310</w:t>
                            </w:r>
                          </w:p>
                          <w:p>
                            <w:pPr>
                              <w:pStyle w:val="Header"/>
                              <w:tabs>
                                <w:tab w:val="clear" w:pos="4320"/>
                                <w:tab w:val="left" w:pos="8640" w:leader="none"/>
                                <w:tab w:val="left" w:pos="9000" w:leader="none"/>
                              </w:tabs>
                              <w:spacing w:lineRule="exact" w:line="200"/>
                              <w:ind w:start="-994" w:end="0"/>
                              <w:rPr>
                                <w:rFonts w:ascii="Arial" w:hAnsi="Arial" w:cs="Arial"/>
                                <w:sz w:val="18"/>
                              </w:rPr>
                            </w:pPr>
                            <w:r>
                              <w:rPr>
                                <w:rFonts w:cs="Arial" w:ascii="Arial" w:hAnsi="Arial"/>
                                <w:sz w:val="18"/>
                              </w:rPr>
                              <w:tab/>
                              <w:t xml:space="preserve"> </w:t>
                              <w:tab/>
                              <w:t>Email gra@gralegal.com</w:t>
                            </w:r>
                          </w:p>
                          <w:p>
                            <w:pPr>
                              <w:pStyle w:val="Header"/>
                              <w:tabs>
                                <w:tab w:val="clear" w:pos="4320"/>
                                <w:tab w:val="clear" w:pos="8640"/>
                                <w:tab w:val="left" w:pos="480" w:leader="none"/>
                                <w:tab w:val="right" w:pos="10620" w:leader="none"/>
                              </w:tabs>
                              <w:spacing w:lineRule="exact" w:line="200"/>
                              <w:ind w:start="-994" w:end="0"/>
                              <w:rPr>
                                <w:rFonts w:ascii="Arial" w:hAnsi="Arial" w:cs="Arial"/>
                                <w:sz w:val="18"/>
                              </w:rPr>
                            </w:pPr>
                            <w:r>
                              <w:rPr>
                                <w:rFonts w:eastAsia="Arial" w:cs="Arial" w:ascii="Arial" w:hAnsi="Arial"/>
                                <w:sz w:val="18"/>
                              </w:rPr>
                              <w:t xml:space="preserve">   </w:t>
                            </w:r>
                            <w:r>
                              <w:rPr>
                                <w:rFonts w:cs="Arial" w:ascii="Arial" w:hAnsi="Arial"/>
                                <w:sz w:val="18"/>
                              </w:rPr>
                              <w:tab/>
                              <w:t xml:space="preserve">Dian M. Grueneich, J.D. </w:t>
                            </w:r>
                          </w:p>
                          <w:p>
                            <w:pPr>
                              <w:pStyle w:val="Header"/>
                              <w:tabs>
                                <w:tab w:val="clear" w:pos="4320"/>
                                <w:tab w:val="left" w:pos="480" w:leader="none"/>
                                <w:tab w:val="left" w:pos="8640" w:leader="none"/>
                                <w:tab w:val="right" w:pos="10620" w:leader="none"/>
                              </w:tabs>
                              <w:spacing w:lineRule="exact" w:line="200"/>
                              <w:ind w:start="-994" w:end="0"/>
                              <w:rPr>
                                <w:rFonts w:ascii="Arial" w:hAnsi="Arial" w:cs="Arial"/>
                                <w:sz w:val="18"/>
                              </w:rPr>
                            </w:pPr>
                            <w:r>
                              <w:rPr>
                                <w:rFonts w:eastAsia="Arial" w:cs="Arial" w:ascii="Arial" w:hAnsi="Arial"/>
                                <w:sz w:val="18"/>
                              </w:rPr>
                              <w:t xml:space="preserve">                  </w:t>
                            </w:r>
                            <w:r>
                              <w:rPr>
                                <w:rFonts w:cs="Arial" w:ascii="Arial" w:hAnsi="Arial"/>
                                <w:sz w:val="18"/>
                              </w:rPr>
                              <w:tab/>
                              <w:t>Kelly R. Tilton, J.D.</w:t>
                            </w:r>
                          </w:p>
                          <w:p>
                            <w:pPr>
                              <w:pStyle w:val="Header"/>
                              <w:tabs>
                                <w:tab w:val="clear" w:pos="4320"/>
                                <w:tab w:val="left" w:pos="480" w:leader="none"/>
                                <w:tab w:val="left" w:pos="8640" w:leader="none"/>
                                <w:tab w:val="right" w:pos="10620" w:leader="none"/>
                              </w:tabs>
                              <w:spacing w:lineRule="exact" w:line="200"/>
                              <w:ind w:start="-994" w:end="0"/>
                              <w:rPr>
                                <w:rFonts w:ascii="Arial" w:hAnsi="Arial" w:cs="Arial"/>
                                <w:sz w:val="18"/>
                              </w:rPr>
                            </w:pPr>
                            <w:r>
                              <w:rPr>
                                <w:rFonts w:eastAsia="Arial" w:cs="Arial" w:ascii="Arial" w:hAnsi="Arial"/>
                                <w:sz w:val="18"/>
                              </w:rPr>
                              <w:t xml:space="preserve">                  </w:t>
                            </w:r>
                            <w:r>
                              <w:rPr>
                                <w:rFonts w:cs="Arial" w:ascii="Arial" w:hAnsi="Arial"/>
                                <w:sz w:val="18"/>
                              </w:rPr>
                              <w:tab/>
                              <w:t xml:space="preserve">Jody S. London, M.P.A.                                                                        </w:t>
                              <w:tab/>
                              <w:t xml:space="preserve">       Dian M. Grueneich</w:t>
                            </w:r>
                          </w:p>
                          <w:p>
                            <w:pPr>
                              <w:pStyle w:val="Header"/>
                              <w:tabs>
                                <w:tab w:val="clear" w:pos="4320"/>
                                <w:tab w:val="left" w:pos="480" w:leader="none"/>
                                <w:tab w:val="left" w:pos="8640" w:leader="none"/>
                                <w:tab w:val="right" w:pos="10620" w:leader="none"/>
                              </w:tabs>
                              <w:spacing w:lineRule="exact" w:line="200"/>
                              <w:ind w:end="0"/>
                              <w:rPr>
                                <w:rFonts w:ascii="Arial" w:hAnsi="Arial" w:cs="Arial"/>
                                <w:sz w:val="18"/>
                              </w:rPr>
                            </w:pPr>
                            <w:r>
                              <w:rPr>
                                <w:rFonts w:cs="Arial" w:ascii="Arial" w:hAnsi="Arial"/>
                                <w:sz w:val="18"/>
                              </w:rPr>
                              <w:tab/>
                              <w:t>Clyde S. Murley, M.A.</w:t>
                              <w:tab/>
                              <w:t xml:space="preserve">       dgrueneich@gralegal.com</w:t>
                            </w:r>
                          </w:p>
                          <w:p>
                            <w:pPr>
                              <w:pStyle w:val="Header"/>
                              <w:tabs>
                                <w:tab w:val="clear" w:pos="4320"/>
                                <w:tab w:val="left" w:pos="480" w:leader="none"/>
                                <w:tab w:val="left" w:pos="8640" w:leader="none"/>
                                <w:tab w:val="right" w:pos="10620" w:leader="none"/>
                              </w:tabs>
                              <w:spacing w:lineRule="exact" w:line="200"/>
                              <w:ind w:end="0"/>
                              <w:rPr>
                                <w:rFonts w:ascii="Arial" w:hAnsi="Arial" w:cs="Arial"/>
                                <w:sz w:val="18"/>
                              </w:rPr>
                            </w:pPr>
                            <w:r>
                              <w:rPr>
                                <w:rFonts w:cs="Arial" w:ascii="Arial" w:hAnsi="Arial"/>
                                <w:sz w:val="18"/>
                              </w:rPr>
                              <w:tab/>
                              <w:t>Anne C. Selting, M.S.</w:t>
                            </w:r>
                          </w:p>
                        </w:txbxContent>
                      </wps:txbx>
                      <wps:bodyPr anchor="t" lIns="92075" tIns="46355" rIns="92075" bIns="46355">
                        <a:noAutofit/>
                      </wps:bodyPr>
                    </wps:wsp>
                  </a:graphicData>
                </a:graphic>
              </wp:anchor>
            </w:drawing>
          </mc:Choice>
          <mc:Fallback>
            <w:pict>
              <v:rect fillcolor="#FFFFFF" style="position:absolute;rotation:-0;width:588pt;height:163pt;mso-wrap-distance-left:9.05pt;mso-wrap-distance-right:9.05pt;mso-wrap-distance-top:0pt;mso-wrap-distance-bottom:0pt;margin-top:-57.05pt;mso-position-vertical-relative:text;margin-left:-60pt;mso-position-horizontal-relative:text">
                <v:fill opacity="0f"/>
                <v:textbox inset="0.100694444444444in,0.0506944444444444in,0.100694444444444in,0.0506944444444444in">
                  <w:txbxContent>
                    <w:p>
                      <w:pPr>
                        <w:pStyle w:val="Normal"/>
                        <w:rPr/>
                      </w:pPr>
                      <w:r>
                        <w:rPr>
                          <w:rFonts w:cs="Kunstler Script" w:ascii="Kunstler Script" w:hAnsi="Kunstler Script"/>
                          <w:b/>
                          <w:bCs/>
                          <w:sz w:val="120"/>
                        </w:rPr>
                        <w:t>G</w:t>
                      </w:r>
                      <w:r>
                        <w:rPr>
                          <w:rFonts w:cs="Arial" w:ascii="Arial" w:hAnsi="Arial"/>
                          <w:sz w:val="28"/>
                        </w:rPr>
                        <w:t xml:space="preserve"> </w:t>
                      </w:r>
                      <w:r>
                        <w:rPr>
                          <w:rFonts w:cs="Arial" w:ascii="Arial" w:hAnsi="Arial"/>
                          <w:i/>
                          <w:iCs/>
                          <w:sz w:val="32"/>
                        </w:rPr>
                        <w:t>RUENEICH  RESOURCE  ADVOCATES</w:t>
                      </w:r>
                    </w:p>
                    <w:p>
                      <w:pPr>
                        <w:pStyle w:val="Header"/>
                        <w:tabs>
                          <w:tab w:val="clear" w:pos="4320"/>
                          <w:tab w:val="left" w:pos="90" w:leader="none"/>
                          <w:tab w:val="left" w:pos="8640" w:leader="none"/>
                          <w:tab w:val="left" w:pos="9000" w:leader="none"/>
                        </w:tabs>
                        <w:spacing w:lineRule="exact" w:line="200"/>
                        <w:ind w:start="-994" w:end="0"/>
                        <w:rPr>
                          <w:rFonts w:ascii="Arial" w:hAnsi="Arial" w:cs="Arial"/>
                          <w:sz w:val="18"/>
                        </w:rPr>
                      </w:pPr>
                      <w:r>
                        <w:rPr>
                          <w:rFonts w:eastAsia="Arial" w:cs="Arial" w:ascii="Arial" w:hAnsi="Arial"/>
                          <w:sz w:val="18"/>
                        </w:rPr>
                        <w:t xml:space="preserve">                            </w:t>
                      </w:r>
                      <w:r>
                        <w:rPr>
                          <w:rFonts w:cs="Arial" w:ascii="Arial" w:hAnsi="Arial"/>
                          <w:sz w:val="18"/>
                        </w:rPr>
                        <w:t>582 Market Street, Suite 1020, San Francisco, CA 94104</w:t>
                        <w:tab/>
                        <w:tab/>
                        <w:t xml:space="preserve">Telephone 415.834.2300 </w:t>
                      </w:r>
                    </w:p>
                    <w:p>
                      <w:pPr>
                        <w:pStyle w:val="Header"/>
                        <w:tabs>
                          <w:tab w:val="clear" w:pos="4320"/>
                          <w:tab w:val="left" w:pos="288" w:leader="none"/>
                          <w:tab w:val="left" w:pos="8640" w:leader="none"/>
                          <w:tab w:val="left" w:pos="9000" w:leader="none"/>
                        </w:tabs>
                        <w:spacing w:lineRule="exact" w:line="200"/>
                        <w:ind w:start="-994" w:end="0"/>
                        <w:rPr>
                          <w:rFonts w:ascii="Arial" w:hAnsi="Arial" w:cs="Arial"/>
                          <w:sz w:val="18"/>
                        </w:rPr>
                      </w:pPr>
                      <w:r>
                        <w:rPr>
                          <w:rFonts w:cs="Arial" w:ascii="Arial" w:hAnsi="Arial"/>
                          <w:sz w:val="18"/>
                        </w:rPr>
                        <w:tab/>
                        <w:tab/>
                        <w:tab/>
                        <w:t>Facsimile 415.834.2310</w:t>
                      </w:r>
                    </w:p>
                    <w:p>
                      <w:pPr>
                        <w:pStyle w:val="Header"/>
                        <w:tabs>
                          <w:tab w:val="clear" w:pos="4320"/>
                          <w:tab w:val="left" w:pos="8640" w:leader="none"/>
                          <w:tab w:val="left" w:pos="9000" w:leader="none"/>
                        </w:tabs>
                        <w:spacing w:lineRule="exact" w:line="200"/>
                        <w:ind w:start="-994" w:end="0"/>
                        <w:rPr>
                          <w:rFonts w:ascii="Arial" w:hAnsi="Arial" w:cs="Arial"/>
                          <w:sz w:val="18"/>
                        </w:rPr>
                      </w:pPr>
                      <w:r>
                        <w:rPr>
                          <w:rFonts w:cs="Arial" w:ascii="Arial" w:hAnsi="Arial"/>
                          <w:sz w:val="18"/>
                        </w:rPr>
                        <w:tab/>
                        <w:t xml:space="preserve"> </w:t>
                        <w:tab/>
                        <w:t>Email gra@gralegal.com</w:t>
                      </w:r>
                    </w:p>
                    <w:p>
                      <w:pPr>
                        <w:pStyle w:val="Header"/>
                        <w:tabs>
                          <w:tab w:val="clear" w:pos="4320"/>
                          <w:tab w:val="clear" w:pos="8640"/>
                          <w:tab w:val="left" w:pos="480" w:leader="none"/>
                          <w:tab w:val="right" w:pos="10620" w:leader="none"/>
                        </w:tabs>
                        <w:spacing w:lineRule="exact" w:line="200"/>
                        <w:ind w:start="-994" w:end="0"/>
                        <w:rPr>
                          <w:rFonts w:ascii="Arial" w:hAnsi="Arial" w:cs="Arial"/>
                          <w:sz w:val="18"/>
                        </w:rPr>
                      </w:pPr>
                      <w:r>
                        <w:rPr>
                          <w:rFonts w:eastAsia="Arial" w:cs="Arial" w:ascii="Arial" w:hAnsi="Arial"/>
                          <w:sz w:val="18"/>
                        </w:rPr>
                        <w:t xml:space="preserve">   </w:t>
                      </w:r>
                      <w:r>
                        <w:rPr>
                          <w:rFonts w:cs="Arial" w:ascii="Arial" w:hAnsi="Arial"/>
                          <w:sz w:val="18"/>
                        </w:rPr>
                        <w:tab/>
                        <w:t xml:space="preserve">Dian M. Grueneich, J.D. </w:t>
                      </w:r>
                    </w:p>
                    <w:p>
                      <w:pPr>
                        <w:pStyle w:val="Header"/>
                        <w:tabs>
                          <w:tab w:val="clear" w:pos="4320"/>
                          <w:tab w:val="left" w:pos="480" w:leader="none"/>
                          <w:tab w:val="left" w:pos="8640" w:leader="none"/>
                          <w:tab w:val="right" w:pos="10620" w:leader="none"/>
                        </w:tabs>
                        <w:spacing w:lineRule="exact" w:line="200"/>
                        <w:ind w:start="-994" w:end="0"/>
                        <w:rPr>
                          <w:rFonts w:ascii="Arial" w:hAnsi="Arial" w:cs="Arial"/>
                          <w:sz w:val="18"/>
                        </w:rPr>
                      </w:pPr>
                      <w:r>
                        <w:rPr>
                          <w:rFonts w:eastAsia="Arial" w:cs="Arial" w:ascii="Arial" w:hAnsi="Arial"/>
                          <w:sz w:val="18"/>
                        </w:rPr>
                        <w:t xml:space="preserve">                  </w:t>
                      </w:r>
                      <w:r>
                        <w:rPr>
                          <w:rFonts w:cs="Arial" w:ascii="Arial" w:hAnsi="Arial"/>
                          <w:sz w:val="18"/>
                        </w:rPr>
                        <w:tab/>
                        <w:t>Kelly R. Tilton, J.D.</w:t>
                      </w:r>
                    </w:p>
                    <w:p>
                      <w:pPr>
                        <w:pStyle w:val="Header"/>
                        <w:tabs>
                          <w:tab w:val="clear" w:pos="4320"/>
                          <w:tab w:val="left" w:pos="480" w:leader="none"/>
                          <w:tab w:val="left" w:pos="8640" w:leader="none"/>
                          <w:tab w:val="right" w:pos="10620" w:leader="none"/>
                        </w:tabs>
                        <w:spacing w:lineRule="exact" w:line="200"/>
                        <w:ind w:start="-994" w:end="0"/>
                        <w:rPr>
                          <w:rFonts w:ascii="Arial" w:hAnsi="Arial" w:cs="Arial"/>
                          <w:sz w:val="18"/>
                        </w:rPr>
                      </w:pPr>
                      <w:r>
                        <w:rPr>
                          <w:rFonts w:eastAsia="Arial" w:cs="Arial" w:ascii="Arial" w:hAnsi="Arial"/>
                          <w:sz w:val="18"/>
                        </w:rPr>
                        <w:t xml:space="preserve">                  </w:t>
                      </w:r>
                      <w:r>
                        <w:rPr>
                          <w:rFonts w:cs="Arial" w:ascii="Arial" w:hAnsi="Arial"/>
                          <w:sz w:val="18"/>
                        </w:rPr>
                        <w:tab/>
                        <w:t xml:space="preserve">Jody S. London, M.P.A.                                                                        </w:t>
                        <w:tab/>
                        <w:t xml:space="preserve">       Dian M. Grueneich</w:t>
                      </w:r>
                    </w:p>
                    <w:p>
                      <w:pPr>
                        <w:pStyle w:val="Header"/>
                        <w:tabs>
                          <w:tab w:val="clear" w:pos="4320"/>
                          <w:tab w:val="left" w:pos="480" w:leader="none"/>
                          <w:tab w:val="left" w:pos="8640" w:leader="none"/>
                          <w:tab w:val="right" w:pos="10620" w:leader="none"/>
                        </w:tabs>
                        <w:spacing w:lineRule="exact" w:line="200"/>
                        <w:ind w:end="0"/>
                        <w:rPr>
                          <w:rFonts w:ascii="Arial" w:hAnsi="Arial" w:cs="Arial"/>
                          <w:sz w:val="18"/>
                        </w:rPr>
                      </w:pPr>
                      <w:r>
                        <w:rPr>
                          <w:rFonts w:cs="Arial" w:ascii="Arial" w:hAnsi="Arial"/>
                          <w:sz w:val="18"/>
                        </w:rPr>
                        <w:tab/>
                        <w:t>Clyde S. Murley, M.A.</w:t>
                        <w:tab/>
                        <w:t xml:space="preserve">       dgrueneich@gralegal.com</w:t>
                      </w:r>
                    </w:p>
                    <w:p>
                      <w:pPr>
                        <w:pStyle w:val="Header"/>
                        <w:tabs>
                          <w:tab w:val="clear" w:pos="4320"/>
                          <w:tab w:val="left" w:pos="480" w:leader="none"/>
                          <w:tab w:val="left" w:pos="8640" w:leader="none"/>
                          <w:tab w:val="right" w:pos="10620" w:leader="none"/>
                        </w:tabs>
                        <w:spacing w:lineRule="exact" w:line="200"/>
                        <w:ind w:end="0"/>
                        <w:rPr>
                          <w:rFonts w:ascii="Arial" w:hAnsi="Arial" w:cs="Arial"/>
                          <w:sz w:val="18"/>
                        </w:rPr>
                      </w:pPr>
                      <w:r>
                        <w:rPr>
                          <w:rFonts w:cs="Arial" w:ascii="Arial" w:hAnsi="Arial"/>
                          <w:sz w:val="18"/>
                        </w:rPr>
                        <w:tab/>
                        <w:t>Anne C. Selting, M.S.</w:t>
                      </w:r>
                    </w:p>
                  </w:txbxContent>
                </v:textbox>
                <w10:wrap type="square"/>
              </v:rect>
            </w:pict>
          </mc:Fallback>
        </mc:AlternateContent>
      </w:r>
    </w:p>
    <w:p>
      <w:pPr>
        <w:pStyle w:val="Header"/>
        <w:tabs>
          <w:tab w:val="clear" w:pos="4320"/>
          <w:tab w:val="clear" w:pos="8640"/>
          <w:tab w:val="center" w:pos="5040" w:leader="none"/>
        </w:tabs>
        <w:jc w:val="center"/>
        <w:rPr>
          <w:b/>
          <w:bCs/>
        </w:rPr>
      </w:pPr>
      <w:r>
        <w:rPr/>
        <w:t>CONFIDENTIAL AND PRIVILEGED COMMUNICATION</w:t>
      </w:r>
    </w:p>
    <w:p>
      <w:pPr>
        <w:pStyle w:val="Normal"/>
        <w:tabs>
          <w:tab w:val="clear" w:pos="720"/>
          <w:tab w:val="left" w:pos="9360" w:leader="none"/>
        </w:tabs>
        <w:rPr>
          <w:b/>
          <w:bCs/>
        </w:rPr>
      </w:pPr>
      <w:r>
        <w:rPr>
          <w:b/>
          <w:bCs/>
        </w:rPr>
      </w:r>
    </w:p>
    <w:p>
      <w:pPr>
        <w:pStyle w:val="Normal"/>
        <w:tabs>
          <w:tab w:val="clear" w:pos="720"/>
          <w:tab w:val="left" w:pos="9360" w:leader="none"/>
        </w:tabs>
        <w:rPr/>
      </w:pPr>
      <w:r>
        <w:rPr/>
      </w:r>
    </w:p>
    <w:p>
      <w:pPr>
        <w:pStyle w:val="Normal"/>
        <w:rPr/>
      </w:pPr>
      <w:r>
        <w:rPr/>
        <w:t>TO:</w:t>
        <w:tab/>
        <w:tab/>
        <w:t>Arter &amp; Hadden, Sue Mara</w:t>
      </w:r>
    </w:p>
    <w:p>
      <w:pPr>
        <w:pStyle w:val="Normal"/>
        <w:tabs>
          <w:tab w:val="clear" w:pos="720"/>
          <w:tab w:val="left" w:pos="9360" w:leader="none"/>
        </w:tabs>
        <w:rPr/>
      </w:pPr>
      <w:r>
        <w:rPr/>
      </w:r>
    </w:p>
    <w:p>
      <w:pPr>
        <w:pStyle w:val="Normal"/>
        <w:rPr/>
      </w:pPr>
      <w:r>
        <w:rPr/>
        <w:t>FROM:</w:t>
        <w:tab/>
        <w:t>Dian M. Grueneich</w:t>
      </w:r>
    </w:p>
    <w:p>
      <w:pPr>
        <w:pStyle w:val="Normal"/>
        <w:tabs>
          <w:tab w:val="clear" w:pos="720"/>
          <w:tab w:val="left" w:pos="9360" w:leader="none"/>
        </w:tabs>
        <w:rPr/>
      </w:pPr>
      <w:r>
        <w:rPr/>
      </w:r>
    </w:p>
    <w:p>
      <w:pPr>
        <w:pStyle w:val="Normal"/>
        <w:rPr/>
      </w:pPr>
      <w:r>
        <w:rPr/>
        <w:t>RE:</w:t>
        <w:tab/>
        <w:tab/>
        <w:t>Review of draft pleading re DA suspension</w:t>
      </w:r>
    </w:p>
    <w:p>
      <w:pPr>
        <w:pStyle w:val="Normal"/>
        <w:tabs>
          <w:tab w:val="clear" w:pos="720"/>
          <w:tab w:val="left" w:pos="9360" w:leader="none"/>
        </w:tabs>
        <w:rPr/>
      </w:pPr>
      <w:r>
        <w:rPr/>
      </w:r>
    </w:p>
    <w:p>
      <w:pPr>
        <w:pStyle w:val="Normal"/>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tabs>
          <w:tab w:val="clear" w:pos="720"/>
          <w:tab w:val="left" w:pos="9360" w:leader="none"/>
        </w:tabs>
        <w:rPr/>
      </w:pPr>
      <w:r>
        <w:rPr/>
      </w:r>
    </w:p>
    <w:p>
      <w:pPr>
        <w:pStyle w:val="Normal"/>
        <w:tabs>
          <w:tab w:val="clear" w:pos="720"/>
          <w:tab w:val="left" w:pos="9360" w:leader="none"/>
        </w:tabs>
        <w:rPr>
          <w:sz w:val="20"/>
          <w:lang w:val="en-CA" w:eastAsia="en-CA"/>
        </w:rPr>
      </w:pPr>
      <w:r>
        <w:rPr>
          <w:sz w:val="20"/>
          <w:lang w:val="en-CA" w:eastAsia="en-CA"/>
        </w:rPr>
        <mc:AlternateContent>
          <mc:Choice Requires="wps">
            <w:drawing>
              <wp:anchor behindDoc="0" distT="0" distB="0" distL="114935" distR="114935" simplePos="0" locked="0" layoutInCell="1" allowOverlap="1" relativeHeight="6">
                <wp:simplePos x="0" y="0"/>
                <wp:positionH relativeFrom="column">
                  <wp:posOffset>-177165</wp:posOffset>
                </wp:positionH>
                <wp:positionV relativeFrom="paragraph">
                  <wp:posOffset>43180</wp:posOffset>
                </wp:positionV>
                <wp:extent cx="6515100" cy="0"/>
                <wp:effectExtent l="0" t="5080" r="0" b="5080"/>
                <wp:wrapNone/>
                <wp:docPr id="3" name=""/>
                <a:graphic xmlns:a="http://schemas.openxmlformats.org/drawingml/2006/main">
                  <a:graphicData uri="http://schemas.microsoft.com/office/word/2010/wordprocessingShape">
                    <wps:wsp>
                      <wps:cNvSpPr/>
                      <wps:spPr>
                        <a:xfrm>
                          <a:off x="0" y="0"/>
                          <a:ext cx="6515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3.95pt,3.4pt" to="499pt,3.4pt" stroked="t" o:allowincell="f" style="position:absolute">
                <v:stroke color="black" weight="9360" joinstyle="miter" endcap="flat"/>
                <v:fill o:detectmouseclick="t" on="false"/>
                <w10:wrap type="none"/>
              </v:line>
            </w:pict>
          </mc:Fallback>
        </mc:AlternateContent>
      </w:r>
    </w:p>
    <w:p>
      <w:pPr>
        <w:pStyle w:val="Normal"/>
        <w:tabs>
          <w:tab w:val="left" w:pos="720" w:leader="none"/>
          <w:tab w:val="left" w:pos="1440" w:leader="none"/>
          <w:tab w:val="left" w:pos="2160" w:leader="none"/>
          <w:tab w:val="left" w:pos="2880" w:leader="none"/>
          <w:tab w:val="left" w:pos="3600" w:leader="none"/>
          <w:tab w:val="left" w:pos="4320" w:leader="none"/>
          <w:tab w:val="left" w:pos="9360" w:leader="none"/>
        </w:tabs>
        <w:jc w:val="both"/>
        <w:rPr/>
      </w:pPr>
      <w:r>
        <w:rPr/>
        <w:tab/>
      </w:r>
    </w:p>
    <w:p>
      <w:pPr>
        <w:pStyle w:val="Normal"/>
        <w:jc w:val="both"/>
        <w:rPr/>
      </w:pPr>
      <w:r>
        <w:rPr/>
        <w:tab/>
        <w:t>Thanks for sharing the draft with me.  In general, I think it is well written.  I have a few comments:</w:t>
      </w:r>
    </w:p>
    <w:p>
      <w:pPr>
        <w:pStyle w:val="Normal"/>
        <w:jc w:val="both"/>
        <w:rPr/>
      </w:pPr>
      <w:r>
        <w:rPr/>
      </w:r>
    </w:p>
    <w:p>
      <w:pPr>
        <w:pStyle w:val="Normal"/>
        <w:jc w:val="both"/>
        <w:rPr/>
      </w:pPr>
      <w:r>
        <w:rPr/>
        <w:t>1.</w:t>
        <w:tab/>
        <w:t>P. 5, Petition for Review, para. 5.  The date of 1996 should be changed to 1998.  While AB 1890 was passed in 1996, the right of direct access did not begin until March 31, 1998.</w:t>
      </w:r>
    </w:p>
    <w:p>
      <w:pPr>
        <w:pStyle w:val="Normal"/>
        <w:jc w:val="both"/>
        <w:rPr/>
      </w:pPr>
      <w:r>
        <w:rPr/>
      </w:r>
    </w:p>
    <w:p>
      <w:pPr>
        <w:pStyle w:val="Normal"/>
        <w:jc w:val="both"/>
        <w:rPr/>
      </w:pPr>
      <w:r>
        <w:rPr/>
        <w:t>2.</w:t>
        <w:tab/>
        <w:t>P. 7, Petition for Review, para. 12.  Here and elsewhere, you refer to the impact on pre-July 1, 2001 contracts as “termination on their first anniversary”.  It may not be clear to the court what you mean by “first anniversary”.  Some might think it was the first calendar year.  So, I suggest you either add a footnote or use a clearer explanation.  You might state: “terminate after their initial term (e.g., the CPUC has retroactively voided all contract extensions).”</w:t>
      </w:r>
    </w:p>
    <w:p>
      <w:pPr>
        <w:pStyle w:val="Normal"/>
        <w:jc w:val="both"/>
        <w:rPr/>
      </w:pPr>
      <w:r>
        <w:rPr/>
      </w:r>
    </w:p>
    <w:p>
      <w:pPr>
        <w:pStyle w:val="Normal"/>
        <w:jc w:val="both"/>
        <w:rPr/>
      </w:pPr>
      <w:r>
        <w:rPr/>
        <w:t>3.</w:t>
        <w:tab/>
        <w:t>P. 7, Petition, para. 15.  UC/CSU filed comments on August 31 as well and can be added to your list.  (Sue, I’ll have my secretary email you the comments.)</w:t>
      </w:r>
    </w:p>
    <w:p>
      <w:pPr>
        <w:pStyle w:val="Normal"/>
        <w:jc w:val="both"/>
        <w:rPr/>
      </w:pPr>
      <w:r>
        <w:rPr/>
      </w:r>
    </w:p>
    <w:p>
      <w:pPr>
        <w:pStyle w:val="Normal"/>
        <w:jc w:val="both"/>
        <w:rPr/>
      </w:pPr>
      <w:r>
        <w:rPr/>
        <w:t>4.</w:t>
        <w:tab/>
        <w:t>P. 15, P&amp;As, second para on page: You might want to add the phrase “as of March 31, 1998” at the end of the first sentence, to clarify the difference between the date of the enactment of AB 1890 and the beginning of direct access.</w:t>
      </w:r>
    </w:p>
    <w:p>
      <w:pPr>
        <w:pStyle w:val="Normal"/>
        <w:jc w:val="both"/>
        <w:rPr/>
      </w:pPr>
      <w:r>
        <w:rPr/>
      </w:r>
    </w:p>
    <w:p>
      <w:pPr>
        <w:pStyle w:val="Normal"/>
        <w:jc w:val="both"/>
        <w:rPr/>
      </w:pPr>
      <w:r>
        <w:rPr/>
        <w:t xml:space="preserve">5. </w:t>
        <w:tab/>
        <w:t xml:space="preserve">P. 23, P&amp;As, subsection (d), regarding significant or legitimate public purpose.  The first sentence has a quote but no cited source.  Given that this exception to the prohibition on contract impairment will be the core of the CPUC’s defense, I would try to expand this section of the brief. </w:t>
      </w:r>
    </w:p>
    <w:p>
      <w:pPr>
        <w:pStyle w:val="Normal"/>
        <w:jc w:val="both"/>
        <w:rPr/>
      </w:pPr>
      <w:r>
        <w:rPr/>
      </w:r>
    </w:p>
    <w:p>
      <w:pPr>
        <w:pStyle w:val="Normal"/>
        <w:jc w:val="both"/>
        <w:rPr/>
      </w:pPr>
      <w:r>
        <w:rPr/>
        <w:t>Has the CPUC stated any public policy reason in the draft decisions? If not, I suggest you state that as the first point.  If the CPUC has given a public policy decision, then I would acknowledge it, quote the reason directly and refute it.  In other words, I’d try to focus specifically on what the CPUC says in its official documents.  Otherwise, the brief seems to be speculation as to what the CPUC might have said or should have said.</w:t>
      </w:r>
    </w:p>
    <w:p>
      <w:pPr>
        <w:pStyle w:val="Normal"/>
        <w:jc w:val="both"/>
        <w:rPr/>
      </w:pPr>
      <w:r>
        <w:rPr/>
      </w:r>
    </w:p>
    <w:p>
      <w:pPr>
        <w:pStyle w:val="Normal"/>
        <w:jc w:val="both"/>
        <w:rPr/>
      </w:pPr>
      <w:r>
        <w:rPr/>
        <w:t>On p. 24 (line 8), the brief states that the CPUC has failed to consider that the incremental costs re DA power demand can be avoided by allowing DA customers  to use the DA contracts.  The problem with this type of argument is that it forces the court to get into the heads of the CPUC and decide what the CPUC considered.  How do you know the Commissioners didn’t consider this fact?</w:t>
      </w:r>
    </w:p>
    <w:p>
      <w:pPr>
        <w:pStyle w:val="Normal"/>
        <w:jc w:val="both"/>
        <w:rPr/>
      </w:pPr>
      <w:r>
        <w:rPr/>
      </w:r>
    </w:p>
    <w:p>
      <w:pPr>
        <w:pStyle w:val="Normal"/>
        <w:jc w:val="both"/>
        <w:rPr/>
      </w:pPr>
      <w:r>
        <w:rPr/>
        <w:t xml:space="preserve">The discussion on energy conservation and its impact on utility purchases is interesting.  However, the closing on p. 25 is a disaster – that if the State believes the revenues outweigh the costs, the State should do away with programs like conservation that reduce revenues.  Did you review the CPUC’s ERAM mechanism (that eliminates the linkage between utility revenues and conservation impacts) to make sure this argument is in fact true? If you did, I’d explain why ERAM isn’t an issue in a footnote. And, do you really want to present the court with such an anti-conservation approach as a first impression of the plaintiffs? </w:t>
      </w:r>
    </w:p>
    <w:p>
      <w:pPr>
        <w:pStyle w:val="Normal"/>
        <w:jc w:val="both"/>
        <w:rPr/>
      </w:pPr>
      <w:r>
        <w:rPr/>
      </w:r>
    </w:p>
    <w:p>
      <w:pPr>
        <w:pStyle w:val="Normal"/>
        <w:jc w:val="both"/>
        <w:rPr/>
      </w:pPr>
      <w:r>
        <w:rPr/>
        <w:t>6.</w:t>
        <w:tab/>
        <w:t>ALJ Barnett’s draft decision states the CPUC is not holding hearings because no party has identified any material factual issues that require a hearing.  I suggest the brief take this claim on directly and give 3-4 cites – from specific CPUC filings – that show there are material factual issues and that if the facts are as alleged by the plaintiffs, this would likely eliminate the factual basis for the decisions.  Otherwise, have you justified asking for hearings?</w:t>
      </w:r>
    </w:p>
    <w:p>
      <w:pPr>
        <w:pStyle w:val="Normal"/>
        <w:jc w:val="both"/>
        <w:rPr/>
      </w:pPr>
      <w:r>
        <w:rPr/>
      </w:r>
    </w:p>
    <w:p>
      <w:pPr>
        <w:pStyle w:val="Normal"/>
        <w:jc w:val="both"/>
        <w:rPr/>
      </w:pPr>
      <w:r>
        <w:rPr/>
        <w:t>7.</w:t>
        <w:tab/>
        <w:t xml:space="preserve">One of the Sept. 5 draft decisions would suspend the right to enter into new contracts as of the date of the CPUC decision and put off the effect on existing contracts, including renewals, for a later part of the case.  If the CPUC adopts that decision, will you still file the complaint? </w:t>
      </w:r>
    </w:p>
    <w:p>
      <w:pPr>
        <w:pStyle w:val="Normal"/>
        <w:jc w:val="both"/>
        <w:rPr/>
      </w:pPr>
      <w:r>
        <w:rPr/>
      </w:r>
    </w:p>
    <w:p>
      <w:pPr>
        <w:pStyle w:val="Normal"/>
        <w:jc w:val="both"/>
        <w:rPr/>
      </w:pPr>
      <w:r>
        <w:rPr/>
        <w:t>8.</w:t>
        <w:tab/>
        <w:t>If the CPUC decision prohibits honoring the extensions, I suggest you add a section focusing on this matter.  First, the CPUC has no factual record at all regarding the scope of the extensions at issue or their possible impact on state revenues and the bond sale.  Second, the current DA contracts presumably expire on various dates and the extensions are for varying periods as well.  Assume there is a DA customer that has a contract with an initial term to 2002.  Assume another customer has a contract with an initial term to 2001 and a valid extension to 2002.  What is the basis for allowing the first customer to have DA to 2002 but not the second?  In other words, I’d give the court some concrete examples of how arbitrary the approach on extension is.  You might also add in language re the difficulty of the CPUC enforcing the prohibition since it involves getting private, confidential contracts between non-CPUC regulated parties.</w:t>
      </w:r>
    </w:p>
    <w:p>
      <w:pPr>
        <w:pStyle w:val="Normal"/>
        <w:jc w:val="both"/>
        <w:rPr/>
      </w:pPr>
      <w:r>
        <w:rPr/>
      </w:r>
    </w:p>
    <w:p>
      <w:pPr>
        <w:pStyle w:val="Normal"/>
        <w:jc w:val="both"/>
        <w:rPr/>
      </w:pPr>
      <w:r>
        <w:rPr/>
        <w:t>I hope these thoughts help.</w:t>
      </w:r>
    </w:p>
    <w:p>
      <w:pPr>
        <w:pStyle w:val="Normal"/>
        <w:jc w:val="both"/>
        <w:rPr/>
      </w:pPr>
      <w:r>
        <w:rPr/>
      </w:r>
    </w:p>
    <w:p>
      <w:pPr>
        <w:pStyle w:val="Normal"/>
        <w:jc w:val="both"/>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Kunstler Scrip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4"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270" w:end="1080"/>
      <w:jc w:val="center"/>
      <w:outlineLvl w:val="0"/>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MemoF - DMG</Template>
  <TotalTime>39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2001-09-17T17:51:00Z</dcterms:created>
  <dc:creator>Dian M. Grueneich</dc:creator>
  <dc:description/>
  <dc:language>en-CA</dc:language>
  <cp:lastModifiedBy>Dian M. Grueneich</cp:lastModifiedBy>
  <cp:lastPrinted>2001-09-17T14:01:00Z</cp:lastPrinted>
  <dcterms:modified xsi:type="dcterms:W3CDTF">2001-09-17T18:31:00Z</dcterms:modified>
  <cp:revision>5</cp:revision>
  <dc:subject/>
  <dc:title>   </dc:title>
</cp:coreProperties>
</file>