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6"/>
        </w:rPr>
      </w:pPr>
      <w:r>
        <w:rPr>
          <w:b/>
          <w:sz w:val="36"/>
        </w:rPr>
        <w:t xml:space="preserve">DRAFT </w:t>
      </w:r>
    </w:p>
    <w:p>
      <w:pPr>
        <w:pStyle w:val="Normal"/>
        <w:rPr>
          <w:b/>
          <w:sz w:val="36"/>
        </w:rPr>
      </w:pPr>
      <w:r>
        <w:rPr>
          <w:b/>
          <w:sz w:val="36"/>
        </w:rPr>
      </w:r>
    </w:p>
    <w:p>
      <w:pPr>
        <w:pStyle w:val="Normal"/>
        <w:rPr/>
      </w:pPr>
      <w:r>
        <w:rPr/>
      </w:r>
    </w:p>
    <w:p>
      <w:pPr>
        <w:pStyle w:val="Normal"/>
        <w:rPr/>
      </w:pPr>
      <w:r>
        <w:rPr/>
        <w:t>September 17, 2001</w:t>
      </w:r>
    </w:p>
    <w:p>
      <w:pPr>
        <w:pStyle w:val="Normal"/>
        <w:rPr/>
      </w:pPr>
      <w:r>
        <w:rPr/>
      </w:r>
    </w:p>
    <w:p>
      <w:pPr>
        <w:pStyle w:val="Normal"/>
        <w:rPr/>
      </w:pPr>
      <w:r>
        <w:rPr/>
        <w:t>The Honorable Jeff Bingaman</w:t>
      </w:r>
    </w:p>
    <w:p>
      <w:pPr>
        <w:pStyle w:val="Normal"/>
        <w:rPr/>
      </w:pPr>
      <w:r>
        <w:rPr/>
        <w:t>Chairman</w:t>
      </w:r>
    </w:p>
    <w:p>
      <w:pPr>
        <w:pStyle w:val="Normal"/>
        <w:rPr/>
      </w:pPr>
      <w:r>
        <w:rPr/>
        <w:t>The Senate Committee on Energy and Natural Resources</w:t>
      </w:r>
    </w:p>
    <w:p>
      <w:pPr>
        <w:pStyle w:val="Normal"/>
        <w:rPr/>
      </w:pPr>
      <w:r>
        <w:rPr/>
        <w:t>SH-703</w:t>
      </w:r>
    </w:p>
    <w:p>
      <w:pPr>
        <w:pStyle w:val="Normal"/>
        <w:rPr/>
      </w:pPr>
      <w:r>
        <w:rPr/>
        <w:t>Washington, DC 20510</w:t>
      </w:r>
    </w:p>
    <w:p>
      <w:pPr>
        <w:pStyle w:val="Normal"/>
        <w:rPr/>
      </w:pPr>
      <w:r>
        <w:rPr/>
      </w:r>
    </w:p>
    <w:p>
      <w:pPr>
        <w:pStyle w:val="Normal"/>
        <w:rPr/>
      </w:pPr>
      <w:r>
        <w:rPr/>
        <w:t>Dear Chairman Bingaman:</w:t>
      </w:r>
    </w:p>
    <w:p>
      <w:pPr>
        <w:pStyle w:val="Normal"/>
        <w:rPr/>
      </w:pPr>
      <w:r>
        <w:rPr/>
      </w:r>
    </w:p>
    <w:p>
      <w:pPr>
        <w:pStyle w:val="Normal"/>
        <w:jc w:val="both"/>
        <w:rPr/>
      </w:pPr>
      <w:r>
        <w:rPr/>
        <w:t>The Electric Power Supply Association (EPSA) would like to express its support for your efforts to improve our nation’s transmission system and increase participation in regional transmission organizations (RTOs).  We strongly support the principles embodied in your White Paper, and we appreciate your efforts to create a reliable, competitive wholesale market for the generation and transmission of electricity.</w:t>
      </w:r>
    </w:p>
    <w:p>
      <w:pPr>
        <w:pStyle w:val="Normal"/>
        <w:jc w:val="both"/>
        <w:rPr/>
      </w:pPr>
      <w:r>
        <w:rPr/>
      </w:r>
    </w:p>
    <w:p>
      <w:pPr>
        <w:pStyle w:val="Normal"/>
        <w:ind w:end="-90"/>
        <w:rPr/>
      </w:pP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p>
    <w:p>
      <w:pPr>
        <w:pStyle w:val="Normal"/>
        <w:jc w:val="both"/>
        <w:rPr/>
      </w:pPr>
      <w:r>
        <w:rPr/>
      </w:r>
    </w:p>
    <w:p>
      <w:pPr>
        <w:pStyle w:val="Normal"/>
        <w:jc w:val="both"/>
        <w:rPr/>
      </w:pPr>
      <w:r>
        <w:rPr/>
        <w:t>We believe that it is absolutely essential that the interstate transmission grid be open under consistent, non-discriminatory rules and regulations for all uses and users of the grid, and that all transmission owners must participate in RTOs to facilitate this end.  The transmission and RTO provisions that you have included in your bill of September 6</w:t>
      </w:r>
      <w:r>
        <w:rPr>
          <w:vertAlign w:val="superscript"/>
        </w:rPr>
        <w:t>th</w:t>
      </w:r>
      <w:r>
        <w:rPr/>
        <w:t xml:space="preserve"> are critical elements to any legislation with a goal of stronger, more competitive wholesale power markets.  </w:t>
      </w:r>
    </w:p>
    <w:p>
      <w:pPr>
        <w:pStyle w:val="Normal"/>
        <w:jc w:val="both"/>
        <w:rPr/>
      </w:pPr>
      <w:r>
        <w:rPr/>
      </w:r>
    </w:p>
    <w:p>
      <w:pPr>
        <w:pStyle w:val="Normal"/>
        <w:rPr/>
      </w:pPr>
      <w:r>
        <w:rPr/>
        <w:t>While the overall focus and intent of your legislation is strongly supported by EPSA, there are a number of elements of your bill which we believe need to be changed to support a reliable, workable, pro-competitive electricity market:</w:t>
      </w:r>
    </w:p>
    <w:p>
      <w:pPr>
        <w:pStyle w:val="Normal"/>
        <w:rPr/>
      </w:pPr>
      <w:r>
        <w:rPr/>
      </w:r>
    </w:p>
    <w:p>
      <w:pPr>
        <w:pStyle w:val="Normal"/>
        <w:numPr>
          <w:ilvl w:val="0"/>
          <w:numId w:val="2"/>
        </w:numPr>
        <w:tabs>
          <w:tab w:val="clear" w:pos="720"/>
          <w:tab w:val="left" w:pos="0" w:leader="none"/>
        </w:tabs>
        <w:spacing w:before="0" w:after="120"/>
        <w:rPr>
          <w:color w:val="000000"/>
        </w:rPr>
      </w:pPr>
      <w:r>
        <w:rPr>
          <w:color w:val="000000"/>
        </w:rPr>
        <w:t>The interconnection language in the bill should be replaced with a more positive affirmation of non-discriminatory interconnection policy; language that has already been endorsed by a wide variety of industry stakeholders is available for your consideration.</w:t>
      </w:r>
    </w:p>
    <w:p>
      <w:pPr>
        <w:pStyle w:val="Normal"/>
        <w:numPr>
          <w:ilvl w:val="0"/>
          <w:numId w:val="2"/>
        </w:numPr>
        <w:spacing w:before="0" w:after="120"/>
        <w:rPr>
          <w:color w:val="000000"/>
        </w:rPr>
      </w:pPr>
      <w:r>
        <w:rPr>
          <w:color w:val="000000"/>
        </w:rPr>
        <w:t>The merger authority section would unnecessarily require prior FERC approval for almost any acquisition or disposition of assets, and could be incredibly burdensome, creating delays in the construction and operation of generation and transmission facilities; we believe existing authorities are sufficient to allow adequate oversight of new acquisitions by market participants.</w:t>
      </w:r>
    </w:p>
    <w:p>
      <w:pPr>
        <w:pStyle w:val="Normal"/>
        <w:numPr>
          <w:ilvl w:val="0"/>
          <w:numId w:val="2"/>
        </w:numPr>
        <w:spacing w:before="0" w:after="120"/>
        <w:rPr>
          <w:color w:val="000000"/>
        </w:rPr>
      </w:pPr>
      <w:r>
        <w:rPr>
          <w:color w:val="000000"/>
        </w:rPr>
        <w:t>Limiting market-based rates only to markets that are competitive may actually be counterproductive and delay the development of competitive markets.</w:t>
      </w:r>
    </w:p>
    <w:p>
      <w:pPr>
        <w:pStyle w:val="Normal"/>
        <w:numPr>
          <w:ilvl w:val="0"/>
          <w:numId w:val="2"/>
        </w:numPr>
        <w:spacing w:before="0" w:after="120"/>
        <w:rPr>
          <w:color w:val="000000"/>
        </w:rPr>
      </w:pPr>
      <w:r>
        <w:rPr>
          <w:color w:val="000000"/>
        </w:rPr>
        <w:t xml:space="preserve">Market power provisions should be targeted at those who abuse market power, and not simply on those who may possess it (or are affiliated with those who possess it).  </w:t>
      </w:r>
    </w:p>
    <w:p>
      <w:pPr>
        <w:pStyle w:val="Normal"/>
        <w:numPr>
          <w:ilvl w:val="0"/>
          <w:numId w:val="2"/>
        </w:numPr>
        <w:spacing w:before="0" w:after="120"/>
        <w:rPr>
          <w:color w:val="000000"/>
        </w:rPr>
      </w:pPr>
      <w:r>
        <w:rPr>
          <w:color w:val="000000"/>
        </w:rPr>
        <w:t xml:space="preserve">We strongly support market transparency, and would like to work with you to craft language that achieves this goal without forcing the disclosure of sensitive commercial data or needlessly burdening market participants. </w:t>
      </w:r>
    </w:p>
    <w:p>
      <w:pPr>
        <w:pStyle w:val="Normal"/>
        <w:numPr>
          <w:ilvl w:val="0"/>
          <w:numId w:val="2"/>
        </w:numPr>
        <w:spacing w:before="0" w:after="120"/>
        <w:rPr>
          <w:color w:val="000000"/>
        </w:rPr>
      </w:pPr>
      <w:r>
        <w:rPr>
          <w:color w:val="000000"/>
        </w:rPr>
        <w:t>The financing mechanism for the Public Benefits Fund is effectively a tax on interconnections and can have adverse, anti-competitive impacts on many power generators.</w:t>
      </w:r>
    </w:p>
    <w:p>
      <w:pPr>
        <w:pStyle w:val="Normal"/>
        <w:rPr>
          <w:color w:val="000000"/>
        </w:rPr>
      </w:pPr>
      <w:r>
        <w:rPr>
          <w:color w:val="000000"/>
        </w:rPr>
      </w:r>
    </w:p>
    <w:p>
      <w:pPr>
        <w:pStyle w:val="Normal"/>
        <w:rPr/>
      </w:pPr>
      <w:r>
        <w:rPr/>
        <w:t xml:space="preserve">There is much that can and should be done to enhance the development of robust wholesale power markets.  Your “white paper” and legislation identify most of the critical elements required for this effort to succeed.  We are encouraged by your commitment to enacting comprehensive electricity legislation, and we look forward to working with you to pass a bill which expands and improves our nation’s transmission capacity and supports FERC’s bipartisan initiatives on RTOs.  </w:t>
      </w:r>
    </w:p>
    <w:p>
      <w:pPr>
        <w:pStyle w:val="BodyText"/>
        <w:ind w:end="0"/>
        <w:rPr/>
      </w:pPr>
      <w:r>
        <w:rPr/>
      </w:r>
    </w:p>
    <w:p>
      <w:pPr>
        <w:pStyle w:val="Normal"/>
        <w:ind w:end="-90"/>
        <w:rPr/>
      </w:pPr>
      <w:r>
        <w:rPr/>
        <w:t>Thank you again for your work on these important issues.  Please don’t hesitate to contact us with further questions or for additional information.</w:t>
      </w:r>
    </w:p>
    <w:p>
      <w:pPr>
        <w:pStyle w:val="Normal"/>
        <w:rPr/>
      </w:pPr>
      <w:r>
        <w:rPr/>
      </w:r>
    </w:p>
    <w:p>
      <w:pPr>
        <w:pStyle w:val="Normal"/>
        <w:rPr/>
      </w:pPr>
      <w:r>
        <w:rPr/>
        <w:t>Sincerely,</w:t>
      </w:r>
    </w:p>
    <w:p>
      <w:pPr>
        <w:pStyle w:val="Normal"/>
        <w:rPr/>
      </w:pPr>
      <w:r>
        <w:rPr/>
      </w:r>
    </w:p>
    <w:p>
      <w:pPr>
        <w:pStyle w:val="Heading1"/>
        <w:ind w:hanging="0" w:start="0"/>
        <w:rPr/>
      </w:pPr>
      <w:r>
        <w:rPr/>
        <w:t>DRAFT</w:t>
      </w:r>
    </w:p>
    <w:p>
      <w:pPr>
        <w:pStyle w:val="Normal"/>
        <w:rPr/>
      </w:pPr>
      <w:r>
        <w:rPr/>
      </w:r>
    </w:p>
    <w:p>
      <w:pPr>
        <w:pStyle w:val="Normal"/>
        <w:rPr/>
      </w:pPr>
      <w:r>
        <w:rPr/>
        <w:t>Lynne H. Church</w:t>
      </w:r>
    </w:p>
    <w:p>
      <w:pPr>
        <w:pStyle w:val="Normal"/>
        <w:rPr/>
      </w:pPr>
      <w:r>
        <w:rPr/>
        <w:t>President</w:t>
      </w:r>
    </w:p>
    <w:p>
      <w:pPr>
        <w:pStyle w:val="Normal"/>
        <w:tabs>
          <w:tab w:val="clear" w:pos="720"/>
          <w:tab w:val="left" w:pos="360" w:leader="none"/>
        </w:tabs>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4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2001-09-14T14:16:00Z</dcterms:created>
  <dc:creator>EPSA</dc:creator>
  <dc:description/>
  <dc:language>en-CA</dc:language>
  <cp:lastModifiedBy>EPSA Staff</cp:lastModifiedBy>
  <cp:lastPrinted>2001-06-27T13:41:00Z</cp:lastPrinted>
  <dcterms:modified xsi:type="dcterms:W3CDTF">2001-09-14T15:07:00Z</dcterms:modified>
  <cp:revision>4</cp:revision>
  <dc:subject/>
  <dc:title>Letter to Bingaman, Thompson</dc:title>
</cp:coreProperties>
</file>