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2077308304" r:id="rId2"/>
        </w:object>
      </w:r>
      <w:r>
        <w:rPr/>
        <w:t>WEEKLY SUMMARY</w:t>
      </w:r>
    </w:p>
    <w:p>
      <w:pPr>
        <w:pStyle w:val="Heading4"/>
        <w:ind w:hanging="0" w:start="0"/>
        <w:rPr/>
      </w:pPr>
      <w:r>
        <w:rPr/>
        <w:t>SEPTEMBER 7-13, 2001</w:t>
      </w:r>
    </w:p>
    <w:p>
      <w:pPr>
        <w:pStyle w:val="Normal"/>
        <w:tabs>
          <w:tab w:val="clear" w:pos="720"/>
          <w:tab w:val="left" w:pos="1440" w:leader="none"/>
        </w:tabs>
        <w:ind w:start="1440" w:end="0"/>
        <w:jc w:val="both"/>
        <w:rPr>
          <w:rFonts w:ascii="Arial" w:hAnsi="Arial" w:cs="Arial"/>
          <w:sz w:val="28"/>
        </w:rPr>
      </w:pPr>
      <w:r>
        <w:rPr>
          <w:rFonts w:cs="Arial" w:ascii="Arial" w:hAnsi="Arial"/>
          <w:sz w:val="28"/>
        </w:rPr>
      </w:r>
    </w:p>
    <w:p>
      <w:pPr>
        <w:pStyle w:val="Normal"/>
        <w:tabs>
          <w:tab w:val="clear" w:pos="720"/>
          <w:tab w:val="left" w:pos="1440" w:leader="none"/>
        </w:tabs>
        <w:ind w:start="1440" w:end="0"/>
        <w:jc w:val="both"/>
        <w:rPr>
          <w:rFonts w:ascii="Arial" w:hAnsi="Arial" w:cs="Arial"/>
          <w:b/>
          <w:sz w:val="28"/>
        </w:rPr>
      </w:pPr>
      <w:r>
        <w:rPr>
          <w:rFonts w:cs="Arial" w:ascii="Arial" w:hAnsi="Arial"/>
          <w:b/>
          <w:sz w:val="28"/>
        </w:rPr>
      </w:r>
    </w:p>
    <w:p>
      <w:pPr>
        <w:pStyle w:val="Normal"/>
        <w:numPr>
          <w:ilvl w:val="0"/>
          <w:numId w:val="5"/>
        </w:numPr>
        <w:jc w:val="both"/>
        <w:rPr>
          <w:rFonts w:ascii="Arial" w:hAnsi="Arial" w:cs="Arial"/>
          <w:sz w:val="28"/>
          <w:lang w:eastAsia="en-US"/>
        </w:rPr>
      </w:pPr>
      <w:r>
        <w:rPr>
          <w:rFonts w:cs="Arial" w:ascii="Arial" w:hAnsi="Arial"/>
          <w:b/>
          <w:sz w:val="28"/>
        </w:rPr>
        <w:t>Aconcagua (Deepwater) (Mississippi Canyon 305) (25% WI)</w:t>
      </w:r>
      <w:r>
        <w:rPr>
          <w:rFonts w:cs="Arial" w:ascii="Arial" w:hAnsi="Arial"/>
          <w:sz w:val="28"/>
        </w:rPr>
        <w:t xml:space="preserve"> – The data room showings are complete.  Twelve companies participated.  Moved due date on bids to September 21 at the request of two companies that could not travel to their headquarters for approval due to the terrorist attack on New York.  </w:t>
      </w:r>
    </w:p>
    <w:p>
      <w:pPr>
        <w:pStyle w:val="Normal"/>
        <w:jc w:val="both"/>
        <w:rPr>
          <w:rFonts w:ascii="Arial" w:hAnsi="Arial" w:cs="Arial"/>
          <w:sz w:val="28"/>
          <w:lang w:eastAsia="en-US"/>
        </w:rPr>
      </w:pPr>
      <w:r>
        <w:rPr>
          <w:rFonts w:cs="Arial" w:ascii="Arial" w:hAnsi="Arial"/>
          <w:sz w:val="28"/>
          <w:lang w:eastAsia="en-US"/>
        </w:rPr>
      </w:r>
    </w:p>
    <w:p>
      <w:pPr>
        <w:pStyle w:val="Normal"/>
        <w:numPr>
          <w:ilvl w:val="0"/>
          <w:numId w:val="5"/>
        </w:numPr>
        <w:jc w:val="both"/>
        <w:rPr>
          <w:rFonts w:ascii="Arial" w:hAnsi="Arial" w:cs="Arial"/>
          <w:sz w:val="28"/>
        </w:rPr>
      </w:pPr>
      <w:r>
        <w:rPr>
          <w:rFonts w:cs="Arial" w:ascii="Arial" w:hAnsi="Arial"/>
          <w:b/>
          <w:sz w:val="28"/>
        </w:rPr>
        <w:t xml:space="preserve">King Kong/Yosemite (Deepwater) (Green Canyon 472) (50% WI) </w:t>
      </w:r>
      <w:r>
        <w:rPr>
          <w:rFonts w:cs="Arial" w:ascii="Arial" w:hAnsi="Arial"/>
          <w:sz w:val="28"/>
        </w:rPr>
        <w:t>–</w:t>
      </w:r>
      <w:r>
        <w:rPr>
          <w:rFonts w:cs="Arial" w:ascii="Arial" w:hAnsi="Arial"/>
          <w:b/>
          <w:sz w:val="28"/>
        </w:rPr>
        <w:t xml:space="preserve"> </w:t>
      </w:r>
      <w:r>
        <w:rPr>
          <w:rFonts w:cs="Arial" w:ascii="Arial" w:hAnsi="Arial"/>
          <w:sz w:val="28"/>
        </w:rPr>
        <w:t xml:space="preserve">Finished completion on Green Canyon 473 #2.  Plan to move the rig to complete the Yosemite well this week. </w:t>
      </w:r>
    </w:p>
    <w:p>
      <w:pPr>
        <w:pStyle w:val="Normal"/>
        <w:jc w:val="both"/>
        <w:rPr>
          <w:rFonts w:ascii="Arial" w:hAnsi="Arial" w:cs="Arial"/>
          <w:b/>
          <w:sz w:val="28"/>
        </w:rPr>
      </w:pPr>
      <w:r>
        <w:rPr>
          <w:rFonts w:cs="Arial" w:ascii="Arial" w:hAnsi="Arial"/>
          <w:b/>
          <w:sz w:val="28"/>
        </w:rPr>
      </w:r>
    </w:p>
    <w:p>
      <w:pPr>
        <w:pStyle w:val="Normal"/>
        <w:numPr>
          <w:ilvl w:val="0"/>
          <w:numId w:val="5"/>
        </w:numPr>
        <w:jc w:val="both"/>
        <w:rPr>
          <w:rFonts w:ascii="Arial" w:hAnsi="Arial" w:cs="Arial"/>
          <w:sz w:val="28"/>
        </w:rPr>
      </w:pPr>
      <w:r>
        <w:rPr>
          <w:rFonts w:cs="Arial" w:ascii="Arial" w:hAnsi="Arial"/>
          <w:b/>
          <w:sz w:val="28"/>
        </w:rPr>
        <w:t>Falcon (Deepwater) (East Breaks 690) (50% WI)</w:t>
      </w:r>
      <w:r>
        <w:rPr>
          <w:rFonts w:cs="Arial" w:ascii="Arial" w:hAnsi="Arial"/>
          <w:sz w:val="28"/>
        </w:rPr>
        <w:t xml:space="preserve"> – The Board of Directors approved the sanction of Falcon this week. Continuing negotiations with pipeline companies.  Target on-line date is early 2003.</w:t>
      </w:r>
    </w:p>
    <w:p>
      <w:pPr>
        <w:pStyle w:val="Normal"/>
        <w:jc w:val="both"/>
        <w:rPr>
          <w:rFonts w:ascii="Arial" w:hAnsi="Arial" w:cs="Arial"/>
          <w:b/>
          <w:sz w:val="28"/>
        </w:rPr>
      </w:pPr>
      <w:r>
        <w:rPr>
          <w:rFonts w:cs="Arial" w:ascii="Arial" w:hAnsi="Arial"/>
          <w:b/>
          <w:sz w:val="28"/>
        </w:rPr>
      </w:r>
    </w:p>
    <w:p>
      <w:pPr>
        <w:pStyle w:val="Normal"/>
        <w:numPr>
          <w:ilvl w:val="0"/>
          <w:numId w:val="5"/>
        </w:numPr>
        <w:jc w:val="both"/>
        <w:rPr>
          <w:rFonts w:ascii="Arial" w:hAnsi="Arial" w:cs="Arial"/>
          <w:b/>
          <w:sz w:val="28"/>
        </w:rPr>
      </w:pPr>
      <w:r>
        <w:rPr>
          <w:rFonts w:cs="Arial" w:ascii="Arial" w:hAnsi="Arial"/>
          <w:b/>
          <w:sz w:val="28"/>
        </w:rPr>
        <w:t>Swordfish (Deepwater) (Viosca Knoll 917, 961, 962) (Planned WI 50% BCP, 25% ACP)</w:t>
      </w:r>
      <w:r>
        <w:rPr>
          <w:rFonts w:cs="Arial" w:ascii="Arial" w:hAnsi="Arial"/>
          <w:sz w:val="28"/>
        </w:rPr>
        <w:t xml:space="preserve"> - Received board approval on this opportunity.  Mariner plans to lay off a portion of its 50% working interest with BP retaining a 50% WI.  Have received a letter of intent from Burlington to acquire half of Mariner’s working interest.</w:t>
      </w:r>
    </w:p>
    <w:p>
      <w:pPr>
        <w:pStyle w:val="Normal"/>
        <w:jc w:val="both"/>
        <w:rPr>
          <w:rFonts w:ascii="Arial" w:hAnsi="Arial" w:cs="Arial"/>
          <w:b/>
          <w:sz w:val="28"/>
        </w:rPr>
      </w:pPr>
      <w:r>
        <w:rPr>
          <w:rFonts w:cs="Arial" w:ascii="Arial" w:hAnsi="Arial"/>
          <w:b/>
          <w:sz w:val="28"/>
        </w:rPr>
      </w:r>
    </w:p>
    <w:p>
      <w:pPr>
        <w:pStyle w:val="Normal"/>
        <w:numPr>
          <w:ilvl w:val="0"/>
          <w:numId w:val="5"/>
        </w:numPr>
        <w:jc w:val="both"/>
        <w:rPr>
          <w:rFonts w:ascii="Arial" w:hAnsi="Arial" w:cs="Arial"/>
          <w:b/>
          <w:sz w:val="28"/>
        </w:rPr>
      </w:pPr>
      <w:r>
        <w:rPr>
          <w:rFonts w:cs="Arial" w:ascii="Arial" w:hAnsi="Arial"/>
          <w:b/>
          <w:sz w:val="28"/>
        </w:rPr>
        <w:t>Western Gulf of Mexico Lease Sale – OCS Sale 180</w:t>
      </w:r>
      <w:r>
        <w:rPr>
          <w:rFonts w:cs="Arial" w:ascii="Arial" w:hAnsi="Arial"/>
          <w:sz w:val="28"/>
        </w:rPr>
        <w:t xml:space="preserve"> – Mariner was the high bidder on 13 deepwater blocks.  Twelve of the bids were with Pioneer 50% and the remaining bid was 100% Mariner.  As of today, three blocks have been awarded with the remaining ten blocks moving into phase 2 of the MMS’ evaluation</w:t>
      </w:r>
    </w:p>
    <w:p>
      <w:pPr>
        <w:pStyle w:val="BodyText"/>
        <w:ind w:start="1440" w:end="0"/>
        <w:jc w:val="both"/>
        <w:rPr>
          <w:rFonts w:ascii="Arial" w:hAnsi="Arial" w:cs="Arial"/>
          <w:b/>
          <w:sz w:val="28"/>
        </w:rPr>
      </w:pPr>
      <w:r>
        <w:rPr>
          <w:rFonts w:cs="Arial"/>
          <w:b/>
          <w:sz w:val="28"/>
        </w:rPr>
      </w:r>
    </w:p>
    <w:p>
      <w:pPr>
        <w:pStyle w:val="Normal"/>
        <w:rPr>
          <w:rFonts w:ascii="Arial" w:hAnsi="Arial" w:cs="Arial"/>
          <w:sz w:val="28"/>
        </w:rPr>
      </w:pPr>
      <w:r>
        <w:rPr>
          <w:rFonts w:cs="Arial" w:ascii="Arial" w:hAnsi="Arial"/>
          <w:sz w:val="28"/>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ind w:hanging="1440" w:start="1440" w:end="0"/>
        <w:rPr>
          <w:rFonts w:ascii="Arial" w:hAnsi="Arial" w:cs="Arial"/>
          <w:sz w:val="28"/>
        </w:rPr>
      </w:pPr>
      <w:r>
        <w:rPr>
          <w:rFonts w:cs="Arial" w:ascii="Arial" w:hAnsi="Arial"/>
          <w:sz w:val="28"/>
        </w:rPr>
      </w:r>
    </w:p>
    <w:p>
      <w:pPr>
        <w:pStyle w:val="Normal"/>
        <w:tabs>
          <w:tab w:val="left" w:pos="720" w:leader="none"/>
        </w:tabs>
        <w:ind w:hanging="720" w:start="720" w:end="0"/>
        <w:jc w:val="both"/>
        <w:rPr>
          <w:rFonts w:ascii="Arial" w:hAnsi="Arial" w:cs="Arial"/>
          <w:spacing w:val="-3"/>
          <w:sz w:val="28"/>
          <w:lang w:val="en-CA"/>
        </w:rPr>
      </w:pPr>
      <w:r>
        <w:rPr>
          <w:rFonts w:cs="Arial" w:ascii="Arial" w:hAnsi="Arial"/>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796182033"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SEPTEMBER 13,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F.</w:t>
              <w:tab/>
              <w:t>À.</w:t>
              <w:tab/>
              <w:t>Pici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 xml:space="preserve">W. </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K. D. Zelikovitz</w:t>
            </w:r>
          </w:p>
        </w:tc>
        <w:tc>
          <w:tcPr>
            <w:tcW w:w="180" w:type="dxa"/>
            <w:tcBorders/>
          </w:tcPr>
          <w:p>
            <w:pPr>
              <w:pStyle w:val="Normal"/>
              <w:tabs>
                <w:tab w:val="clear" w:pos="720"/>
                <w:tab w:val="left" w:pos="1350" w:leader="none"/>
              </w:tabs>
              <w:rPr>
                <w:rFonts w:ascii="Arial" w:hAnsi="Arial" w:cs="Arial"/>
                <w:sz w:val="24"/>
              </w:rPr>
            </w:pPr>
            <w:r>
              <w:rPr>
                <w:rFonts w:cs="Arial" w:ascii="Arial" w:hAnsi="Arial"/>
                <w:sz w:val="24"/>
              </w:rPr>
              <w:tab/>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6"/>
        </w:numPr>
        <w:tabs>
          <w:tab w:val="clear" w:pos="720"/>
          <w:tab w:val="left" w:pos="1440" w:leader="none"/>
        </w:tabs>
        <w:jc w:val="both"/>
        <w:rPr>
          <w:rFonts w:ascii="Arial" w:hAnsi="Arial" w:cs="Arial"/>
          <w:sz w:val="24"/>
          <w:lang w:eastAsia="en-US"/>
        </w:rPr>
      </w:pPr>
      <w:r>
        <w:rPr>
          <w:rFonts w:cs="Arial" w:ascii="Arial" w:hAnsi="Arial"/>
          <w:b/>
          <w:sz w:val="24"/>
        </w:rPr>
        <w:t>Aconcagua (Deepwater) (Mississippi Canyon 305) (25% WI)</w:t>
      </w:r>
      <w:r>
        <w:rPr>
          <w:rFonts w:cs="Arial" w:ascii="Arial" w:hAnsi="Arial"/>
          <w:sz w:val="24"/>
        </w:rPr>
        <w:t xml:space="preserve"> – The data room showings are complete.   Twelve companies participated.  Moved due date on bids to September 21 at the request of two companies that could not travel to their headquarters for approval due to the terrorist attack on New York.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6"/>
        </w:numPr>
        <w:tabs>
          <w:tab w:val="clear" w:pos="720"/>
          <w:tab w:val="left" w:pos="1440" w:leader="none"/>
        </w:tabs>
        <w:jc w:val="both"/>
        <w:rPr>
          <w:rFonts w:ascii="Arial" w:hAnsi="Arial" w:cs="Arial"/>
          <w:sz w:val="24"/>
        </w:rPr>
      </w:pPr>
      <w:r>
        <w:rPr>
          <w:rFonts w:cs="Arial" w:ascii="Arial" w:hAnsi="Arial"/>
          <w:b/>
          <w:sz w:val="24"/>
        </w:rPr>
        <w:t>Pluto (Deepwater) (Mississippi Canyon 674/718) (51% WI)</w:t>
      </w:r>
      <w:r>
        <w:rPr>
          <w:rFonts w:cs="Arial" w:ascii="Arial" w:hAnsi="Arial"/>
          <w:sz w:val="24"/>
        </w:rPr>
        <w:t xml:space="preserve"> – The well is currently flowing 40 MMCFPD and 4,700 BCPD.  There are clear indications that the flow line hydraulic performance is deteriorating.  We are adjusting our treatment program to address the situation.</w:t>
      </w:r>
    </w:p>
    <w:p>
      <w:pPr>
        <w:pStyle w:val="Normal"/>
        <w:tabs>
          <w:tab w:val="clear" w:pos="720"/>
          <w:tab w:val="left" w:pos="1440" w:leader="none"/>
        </w:tabs>
        <w:jc w:val="both"/>
        <w:rPr>
          <w:rFonts w:ascii="Arial" w:hAnsi="Arial" w:cs="Arial"/>
          <w:b/>
          <w:sz w:val="24"/>
        </w:rPr>
      </w:pPr>
      <w:r>
        <w:rPr>
          <w:rFonts w:cs="Arial" w:ascii="Arial" w:hAnsi="Arial"/>
          <w:b/>
          <w:sz w:val="24"/>
        </w:rPr>
      </w:r>
    </w:p>
    <w:p>
      <w:pPr>
        <w:pStyle w:val="Normal"/>
        <w:numPr>
          <w:ilvl w:val="0"/>
          <w:numId w:val="6"/>
        </w:numPr>
        <w:tabs>
          <w:tab w:val="clear" w:pos="720"/>
          <w:tab w:val="left" w:pos="1440" w:leader="none"/>
        </w:tabs>
        <w:jc w:val="both"/>
        <w:rPr>
          <w:rFonts w:ascii="Arial" w:hAnsi="Arial" w:cs="Arial"/>
          <w:sz w:val="24"/>
        </w:rPr>
      </w:pPr>
      <w:r>
        <w:rPr>
          <w:rFonts w:cs="Arial" w:ascii="Arial" w:hAnsi="Arial"/>
          <w:b/>
          <w:sz w:val="24"/>
        </w:rPr>
        <w:t xml:space="preserve">King Kong/Yosemite (Deepwater) (Green Canyon 472) (50% WI) </w:t>
      </w:r>
      <w:r>
        <w:rPr>
          <w:rFonts w:cs="Arial" w:ascii="Arial" w:hAnsi="Arial"/>
          <w:sz w:val="24"/>
        </w:rPr>
        <w:t>–</w:t>
      </w:r>
      <w:r>
        <w:rPr>
          <w:rFonts w:cs="Arial" w:ascii="Arial" w:hAnsi="Arial"/>
          <w:b/>
          <w:sz w:val="24"/>
        </w:rPr>
        <w:t xml:space="preserve"> </w:t>
      </w:r>
      <w:r>
        <w:rPr>
          <w:rFonts w:cs="Arial" w:ascii="Arial" w:hAnsi="Arial"/>
          <w:sz w:val="24"/>
        </w:rPr>
        <w:t xml:space="preserve">Finished completion on Green Canyon 473 #2.  Plan to move the rig to complete the Yosemite well this week. </w:t>
      </w:r>
    </w:p>
    <w:p>
      <w:pPr>
        <w:pStyle w:val="BodyText3"/>
        <w:ind w:start="2160" w:end="0"/>
        <w:rPr>
          <w:rFonts w:ascii="Arial" w:hAnsi="Arial" w:cs="Arial"/>
          <w:sz w:val="24"/>
        </w:rPr>
      </w:pPr>
      <w:r>
        <w:rPr>
          <w:rFonts w:cs="Arial"/>
          <w:sz w:val="24"/>
        </w:rPr>
      </w:r>
    </w:p>
    <w:p>
      <w:pPr>
        <w:pStyle w:val="BodyText3"/>
        <w:ind w:hanging="720" w:start="2160" w:end="0"/>
        <w:rPr/>
      </w:pPr>
      <w:r>
        <w:rPr/>
        <w:t>d.</w:t>
        <w:tab/>
      </w:r>
      <w:r>
        <w:rPr>
          <w:b/>
        </w:rPr>
        <w:t>Falcon (Deepwater) (East Breaks 690) (50% WI)</w:t>
      </w:r>
      <w:r>
        <w:rPr/>
        <w:t xml:space="preserve"> – The Board of Directors approved the sanction of Falcon this week. Continuing negotiations with pipeline companies.  Target on-line date is early 2003.</w:t>
      </w:r>
    </w:p>
    <w:p>
      <w:pPr>
        <w:pStyle w:val="BodyText3"/>
        <w:rPr>
          <w:b/>
        </w:rPr>
      </w:pPr>
      <w:r>
        <w:rPr>
          <w:b/>
        </w:rPr>
      </w:r>
    </w:p>
    <w:p>
      <w:pPr>
        <w:pStyle w:val="BodyText3"/>
        <w:ind w:hanging="720" w:start="2160" w:end="0"/>
        <w:rPr/>
      </w:pPr>
      <w:r>
        <w:rPr/>
        <w:t>e.</w:t>
        <w:tab/>
      </w:r>
      <w:r>
        <w:rPr>
          <w:b/>
        </w:rPr>
        <w:t xml:space="preserve">Garden Banks 240 #3 P&amp;A – </w:t>
      </w:r>
      <w:r>
        <w:rPr/>
        <w:t>Completed the P&amp;A with Ocean Intervention II.</w:t>
      </w:r>
    </w:p>
    <w:p>
      <w:pPr>
        <w:pStyle w:val="Normal"/>
        <w:ind w:hanging="1440" w:start="1440" w:end="0"/>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3"/>
        <w:ind w:start="1440" w:end="0"/>
        <w:rPr/>
      </w:pPr>
      <w:r>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tabs>
          <w:tab w:val="clear" w:pos="720"/>
          <w:tab w:val="left" w:pos="1440" w:leader="none"/>
        </w:tabs>
        <w:rPr>
          <w:rFonts w:ascii="Arial" w:hAnsi="Arial" w:cs="Arial"/>
          <w:b/>
          <w:i/>
          <w:i/>
          <w:sz w:val="24"/>
          <w:u w:val="single"/>
        </w:rPr>
      </w:pPr>
      <w:r>
        <w:rPr>
          <w:rFonts w:cs="Arial"/>
          <w:b/>
          <w:i/>
          <w:sz w:val="24"/>
          <w:u w:val="single"/>
        </w:rPr>
      </w:r>
    </w:p>
    <w:p>
      <w:pPr>
        <w:pStyle w:val="BodyTextIndent2"/>
        <w:numPr>
          <w:ilvl w:val="1"/>
          <w:numId w:val="10"/>
        </w:numPr>
        <w:tabs>
          <w:tab w:val="clear" w:pos="720"/>
        </w:tabs>
        <w:spacing w:before="120" w:after="120"/>
        <w:ind w:hanging="720" w:start="1440" w:end="0"/>
        <w:rPr/>
      </w:pPr>
      <w:r>
        <w:rPr>
          <w:b/>
        </w:rPr>
        <w:t>Swordfish (Deepwater) (Viosca Knoll 917, 961, 962) (Planned WI 50% BCP, 25% ACP)</w:t>
      </w:r>
      <w:r>
        <w:rPr/>
        <w:t xml:space="preserve"> - Received board approval on this opportunity.  Mariner plans to lay off a portion of its 50% working interest with BP retaining a 50% WI.  Have received a letter of intent from Burlington to acquire half of Mariner’s working interest.</w:t>
      </w:r>
    </w:p>
    <w:p>
      <w:pPr>
        <w:pStyle w:val="BodyTextIndent2"/>
        <w:numPr>
          <w:ilvl w:val="1"/>
          <w:numId w:val="10"/>
        </w:numPr>
        <w:tabs>
          <w:tab w:val="clear" w:pos="720"/>
        </w:tabs>
        <w:spacing w:before="120" w:after="120"/>
        <w:ind w:hanging="720" w:start="1440" w:end="0"/>
        <w:rPr/>
      </w:pPr>
      <w:r>
        <w:rPr>
          <w:b/>
        </w:rPr>
        <w:t xml:space="preserve">Texaco Farmout – East Breaks </w:t>
      </w:r>
      <w:r>
        <w:rPr/>
        <w:t>– Finalizing agreements.</w:t>
      </w:r>
    </w:p>
    <w:p>
      <w:pPr>
        <w:pStyle w:val="BodyTextIndent2"/>
        <w:numPr>
          <w:ilvl w:val="1"/>
          <w:numId w:val="10"/>
        </w:numPr>
        <w:tabs>
          <w:tab w:val="clear" w:pos="720"/>
        </w:tabs>
        <w:spacing w:before="120" w:after="120"/>
        <w:ind w:hanging="720" w:start="1440" w:end="0"/>
        <w:rPr/>
      </w:pPr>
      <w:r>
        <w:rPr>
          <w:b/>
        </w:rPr>
        <w:t>Western Gulf of Mexico Lease Sale – OCS Sale 180</w:t>
      </w:r>
      <w:r>
        <w:rPr/>
        <w:t xml:space="preserve"> – Mariner was the high bidder on 13 deepwater blocks.  Twelve of the bids were with Pioneer 50% and the remaining bid was 100% Mariner.  As of today, three blocks have been awarded with the remaining ten blocks moving into phase 2 of the MMS’ evaluation.</w:t>
      </w:r>
    </w:p>
    <w:p>
      <w:pPr>
        <w:pStyle w:val="Normal"/>
        <w:ind w:hanging="720" w:start="1440" w:end="0"/>
        <w:rPr/>
      </w:pPr>
      <w:r>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9"/>
        </w:numPr>
        <w:jc w:val="both"/>
        <w:rPr>
          <w:rFonts w:ascii="Arial" w:hAnsi="Arial" w:cs="Arial"/>
          <w:sz w:val="24"/>
          <w:lang w:eastAsia="en-US"/>
        </w:rPr>
      </w:pPr>
      <w:r>
        <w:rPr>
          <w:rFonts w:cs="Arial" w:ascii="Arial" w:hAnsi="Arial"/>
          <w:b/>
          <w:sz w:val="24"/>
          <w:lang w:eastAsia="en-US"/>
        </w:rPr>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At September 6, 2001, we continue to have no borrowings against our $80 million Bank of America-led revolving credit facility, and we had short-term investments of $13.5 million.</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t xml:space="preserve">Our mid-year borrowing base redetermination is currently in progress.  We have requested no change to the $80 million borrowing base at this time. </w:t>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3.2</w:t>
      </w:r>
      <w:r>
        <w:rPr>
          <w:rFonts w:cs="Arial" w:ascii="Arial" w:hAnsi="Arial"/>
          <w:b/>
          <w:sz w:val="24"/>
          <w:lang w:eastAsia="en-US"/>
        </w:rPr>
        <w:tab/>
        <w:t>Project Finance</w:t>
      </w:r>
      <w:r>
        <w:rPr>
          <w:rFonts w:cs="Arial" w:ascii="Arial" w:hAnsi="Arial"/>
          <w:sz w:val="24"/>
          <w:lang w:eastAsia="en-US"/>
        </w:rPr>
        <w:t xml:space="preserve"> – Based on a recommendation for a sub-sea tieback instead of a floating production facility at Falcon, we will suspend work on financing an FPS using the MARAD XI guarantee program. </w:t>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 w:val="left" w:pos="1800" w:leader="none"/>
          <w:tab w:val="left" w:pos="2160" w:leader="none"/>
        </w:tabs>
        <w:ind w:hanging="720" w:start="1440" w:end="0"/>
        <w:jc w:val="both"/>
        <w:rPr/>
      </w:pPr>
      <w:r>
        <w:rPr>
          <w:rFonts w:cs="Arial" w:ascii="Arial" w:hAnsi="Arial"/>
          <w:sz w:val="24"/>
          <w:lang w:eastAsia="en-US"/>
        </w:rPr>
        <w:t>3.3</w:t>
      </w:r>
      <w:r>
        <w:rPr>
          <w:rFonts w:cs="Arial" w:ascii="Arial" w:hAnsi="Arial"/>
          <w:b/>
          <w:sz w:val="24"/>
          <w:lang w:eastAsia="en-US"/>
        </w:rPr>
        <w:tab/>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Falcon Development Project</w:t>
      </w:r>
      <w:r>
        <w:rPr>
          <w:rFonts w:cs="Arial" w:ascii="Arial" w:hAnsi="Arial"/>
          <w:sz w:val="24"/>
        </w:rPr>
        <w:t xml:space="preserve"> – Working with Falcon team on potential turnkey contract with Coflexip.</w:t>
      </w:r>
    </w:p>
    <w:p>
      <w:pPr>
        <w:pStyle w:val="Normal"/>
        <w:ind w:start="720" w:end="0"/>
        <w:jc w:val="both"/>
        <w:rPr>
          <w:rFonts w:ascii="Arial" w:hAnsi="Arial" w:eastAsia="Arial" w:cs="Arial"/>
          <w:sz w:val="24"/>
        </w:rPr>
      </w:pPr>
      <w:r>
        <w:rPr>
          <w:rFonts w:eastAsia="Arial" w:cs="Arial" w:ascii="Arial" w:hAnsi="Arial"/>
          <w:sz w:val="24"/>
        </w:rPr>
        <w:t xml:space="preserve"> </w:t>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Aconcagua Marketing</w:t>
      </w:r>
      <w:r>
        <w:rPr>
          <w:rFonts w:cs="Arial" w:ascii="Arial" w:hAnsi="Arial"/>
          <w:sz w:val="24"/>
        </w:rPr>
        <w:t xml:space="preserve"> – Form of Purchase and Sale Agreement sent to prospective bidders last Thursday.</w:t>
      </w:r>
    </w:p>
    <w:p>
      <w:pPr>
        <w:pStyle w:val="Normal"/>
        <w:jc w:val="both"/>
        <w:rPr>
          <w:rFonts w:ascii="Arial" w:hAnsi="Arial" w:cs="Arial"/>
          <w:sz w:val="24"/>
        </w:rPr>
      </w:pPr>
      <w:r>
        <w:rPr>
          <w:rFonts w:cs="Arial" w:ascii="Arial" w:hAnsi="Arial"/>
          <w:sz w:val="24"/>
        </w:rPr>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Swordfish</w:t>
      </w:r>
      <w:r>
        <w:rPr>
          <w:rFonts w:cs="Arial" w:ascii="Arial" w:hAnsi="Arial"/>
          <w:sz w:val="24"/>
        </w:rPr>
        <w:t xml:space="preserve"> – Finalizing Agreement with Amoco and Burlington.</w:t>
      </w:r>
    </w:p>
    <w:p>
      <w:pPr>
        <w:pStyle w:val="Normal"/>
        <w:jc w:val="both"/>
        <w:rPr>
          <w:rFonts w:ascii="Arial" w:hAnsi="Arial" w:cs="Arial"/>
          <w:sz w:val="24"/>
        </w:rPr>
      </w:pPr>
      <w:r>
        <w:rPr>
          <w:rFonts w:cs="Arial" w:ascii="Arial" w:hAnsi="Arial"/>
          <w:sz w:val="24"/>
        </w:rPr>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McClelland</w:t>
      </w:r>
      <w:r>
        <w:rPr>
          <w:rFonts w:cs="Arial" w:ascii="Arial" w:hAnsi="Arial"/>
          <w:sz w:val="24"/>
        </w:rPr>
        <w:t xml:space="preserve"> – Working with Land to finalize Farmin Agreement with Texaco/TFE.</w:t>
      </w:r>
    </w:p>
    <w:p>
      <w:pPr>
        <w:pStyle w:val="Normal"/>
        <w:jc w:val="both"/>
        <w:rPr>
          <w:rFonts w:ascii="Arial" w:hAnsi="Arial" w:cs="Arial"/>
          <w:sz w:val="24"/>
        </w:rPr>
      </w:pPr>
      <w:r>
        <w:rPr>
          <w:rFonts w:cs="Arial" w:ascii="Arial" w:hAnsi="Arial"/>
          <w:sz w:val="24"/>
        </w:rPr>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King Kong</w:t>
      </w:r>
      <w:r>
        <w:rPr>
          <w:rFonts w:cs="Arial" w:ascii="Arial" w:hAnsi="Arial"/>
          <w:sz w:val="24"/>
        </w:rPr>
        <w:t xml:space="preserve"> – Finalized contract with Allseas for pipelay and umbilical installation.</w:t>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$23.75 - $24.25 effective September 6.</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$24.25 - $24.75 effective September 7.</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$24.75 - $24.50 effective September 10.</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September 10 is $2.96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$2.39</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$2.67</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$2.99</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$3.15</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$3.12</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$3.05</w:t>
            </w:r>
          </w:p>
        </w:tc>
      </w:tr>
    </w:tbl>
    <w:p>
      <w:pPr>
        <w:pStyle w:val="Normal"/>
        <w:jc w:val="both"/>
        <w:rPr>
          <w:rFonts w:ascii="Arial" w:hAnsi="Arial" w:cs="Arial"/>
          <w:sz w:val="24"/>
        </w:rPr>
      </w:pPr>
      <w:r>
        <w:rPr>
          <w:rFonts w:cs="Arial" w:ascii="Arial" w:hAnsi="Arial"/>
          <w:sz w:val="24"/>
        </w:rPr>
      </w:r>
    </w:p>
    <w:p>
      <w:pPr>
        <w:pStyle w:val="Normal"/>
        <w:tabs>
          <w:tab w:val="left" w:pos="720" w:leader="none"/>
        </w:tabs>
        <w:ind w:hanging="1440" w:start="1440" w:end="0"/>
        <w:jc w:val="both"/>
        <w:rPr/>
      </w:pPr>
      <w:r>
        <w:rPr>
          <w:rFonts w:cs="Arial" w:ascii="Arial" w:hAnsi="Arial"/>
          <w:sz w:val="24"/>
        </w:rPr>
        <w:tab/>
        <w:t>5.3</w:t>
        <w:tab/>
      </w:r>
      <w:r>
        <w:rPr>
          <w:rFonts w:cs="Arial" w:ascii="Arial" w:hAnsi="Arial"/>
          <w:b/>
          <w:sz w:val="24"/>
        </w:rPr>
        <w:t>Gas General</w:t>
      </w:r>
      <w:r>
        <w:rPr>
          <w:rFonts w:cs="Arial" w:ascii="Arial" w:hAnsi="Arial"/>
          <w:sz w:val="24"/>
        </w:rPr>
        <w:t xml:space="preserve"> – As a result of Tuesday’s shocking terrorist attacks, the Nymex exchange has suspended trading.  Over the counter (OTC) markets opened on Wednesday as trading floors tried to recover and most pipelines were conducting normal business under heightened security.  October OTC swaps traded at $2.55 on the Wednesday opening up approximately 20 cents from Monday’s close and then dropped 10 cents to $2.45 during the afternoon.  Overall there appeared to be a relative calmness in the OTC business throughout the day, although trading was light.  The Nymex may resume trading operations on Friday.</w:t>
      </w:r>
    </w:p>
    <w:p>
      <w:pPr>
        <w:pStyle w:val="Normal"/>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numPr>
          <w:ilvl w:val="1"/>
          <w:numId w:val="8"/>
        </w:numPr>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xml:space="preserve">– Finalized Pluto tree builders risk claim and forwarded final proof of loss to underwriters.  Should receive check in September.  Continue to gather information and invoices on Pluto umbilical claim.  All claims continue to work well. </w:t>
      </w:r>
    </w:p>
    <w:p>
      <w:pPr>
        <w:pStyle w:val="Normal"/>
        <w:tabs>
          <w:tab w:val="clear" w:pos="720"/>
          <w:tab w:val="left" w:pos="1440" w:leader="none"/>
        </w:tabs>
        <w:ind w:start="720" w:end="0"/>
        <w:jc w:val="both"/>
        <w:rPr>
          <w:rFonts w:ascii="Arial" w:hAnsi="Arial" w:cs="Arial"/>
          <w:b/>
          <w:sz w:val="24"/>
          <w:lang w:eastAsia="en-US"/>
        </w:rPr>
      </w:pPr>
      <w:r>
        <w:rPr>
          <w:rFonts w:cs="Arial" w:ascii="Arial" w:hAnsi="Arial"/>
          <w:b/>
          <w:sz w:val="24"/>
          <w:lang w:eastAsia="en-US"/>
        </w:rPr>
      </w:r>
    </w:p>
    <w:p>
      <w:pPr>
        <w:pStyle w:val="BodyTextIndent2"/>
        <w:tabs>
          <w:tab w:val="clear" w:pos="720"/>
          <w:tab w:val="left" w:pos="1440" w:leader="none"/>
        </w:tabs>
        <w:rPr>
          <w:lang w:eastAsia="en-US"/>
        </w:rPr>
      </w:pPr>
      <w:r>
        <w:rPr>
          <w:lang w:eastAsia="en-US"/>
        </w:rPr>
        <w:t xml:space="preserve">Working with TotalFinaElf on outstanding builders risk coverage on Canyon Express.  </w:t>
      </w:r>
    </w:p>
    <w:p>
      <w:pPr>
        <w:pStyle w:val="BodyTextIndent2"/>
        <w:tabs>
          <w:tab w:val="clear" w:pos="720"/>
          <w:tab w:val="left" w:pos="1440" w:leader="none"/>
        </w:tabs>
        <w:rPr>
          <w:lang w:eastAsia="en-US"/>
        </w:rPr>
      </w:pPr>
      <w:r>
        <w:rPr>
          <w:lang w:eastAsia="en-US"/>
        </w:rPr>
      </w:r>
    </w:p>
    <w:p>
      <w:pPr>
        <w:pStyle w:val="BodyTextIndent2"/>
        <w:tabs>
          <w:tab w:val="clear" w:pos="720"/>
          <w:tab w:val="left" w:pos="1440" w:leader="none"/>
        </w:tabs>
        <w:rPr>
          <w:lang w:eastAsia="en-US"/>
        </w:rPr>
      </w:pPr>
      <w:r>
        <w:rPr>
          <w:lang w:eastAsia="en-US"/>
        </w:rPr>
        <w:t xml:space="preserve">Working with Burlington on Monet/Hells Canyon claim. </w:t>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$24.69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$24.15</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$4.97</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$3.80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$6.59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$6.21</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$5.15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$4.96</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7,791</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56.9</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62.2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63.9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49.4</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/mnt/main-storage/datasets/enron-docs/doc/9_13_01.doc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/mnt/main-storage/datasets/enron-docs/doc/9_13_01.doc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September 13,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1"/>
      <w:numFmt w:val="decimal"/>
      <w:lvlText w:val="%1."/>
      <w:lvlJc w:val="start"/>
      <w:pPr>
        <w:tabs>
          <w:tab w:val="num" w:pos="720"/>
        </w:tabs>
        <w:ind w:start="720" w:hanging="720"/>
      </w:pPr>
      <w:rPr>
        <w:b/>
      </w:rPr>
    </w:lvl>
  </w:abstractNum>
  <w:abstractNum w:abstractNumId="6">
    <w:lvl w:ilvl="0">
      <w:start w:val="1"/>
      <w:numFmt w:val="lowerLetter"/>
      <w:lvlText w:val="%1."/>
      <w:lvlJc w:val="start"/>
      <w:pPr>
        <w:tabs>
          <w:tab w:val="num" w:pos="2160"/>
        </w:tabs>
        <w:ind w:start="2160" w:hanging="720"/>
      </w:pPr>
      <w:rPr/>
    </w:lvl>
  </w:abstractNum>
  <w:abstractNum w:abstractNumId="7">
    <w:lvl w:ilvl="0">
      <w:start w:val="4"/>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9">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0">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b w:val="false"/>
      <w:sz w:val="24"/>
    </w:rPr>
  </w:style>
  <w:style w:type="character" w:styleId="WW8Num15z0">
    <w:name w:val="WW8Num15z0"/>
    <w:qFormat/>
    <w:rPr/>
  </w:style>
  <w:style w:type="character" w:styleId="WW8Num16z0">
    <w:name w:val="WW8Num16z0"/>
    <w:qFormat/>
    <w:rPr>
      <w:b w:val="false"/>
      <w:u w:val="none"/>
    </w:rPr>
  </w:style>
  <w:style w:type="character" w:styleId="WW8Num17z0">
    <w:name w:val="WW8Num17z0"/>
    <w:qFormat/>
    <w:rPr/>
  </w:style>
  <w:style w:type="character" w:styleId="WW8Num18z0">
    <w:name w:val="WW8Num18z0"/>
    <w:qFormat/>
    <w:rPr/>
  </w:style>
  <w:style w:type="character" w:styleId="WW8Num18z1">
    <w:name w:val="WW8Num18z1"/>
    <w:qFormat/>
    <w:rPr>
      <w:b w:val="false"/>
      <w:u w:val="none"/>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sz w:val="28"/>
    </w:rPr>
  </w:style>
  <w:style w:type="character" w:styleId="WW8Num26z0">
    <w:name w:val="WW8Num26z0"/>
    <w:qFormat/>
    <w:rPr>
      <w:b w:val="false"/>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val="false"/>
    </w:rPr>
  </w:style>
  <w:style w:type="character" w:styleId="WW8Num30z0">
    <w:name w:val="WW8Num30z0"/>
    <w:qFormat/>
    <w:rPr/>
  </w:style>
  <w:style w:type="character" w:styleId="WW8Num31z0">
    <w:name w:val="WW8Num31z0"/>
    <w:qFormat/>
    <w:rPr/>
  </w:style>
  <w:style w:type="character" w:styleId="WW8Num32z0">
    <w:name w:val="WW8Num32z0"/>
    <w:qFormat/>
    <w:rPr>
      <w:b w:val="false"/>
      <w:i w:val="false"/>
      <w:u w:val="none"/>
    </w:rPr>
  </w:style>
  <w:style w:type="character" w:styleId="WW8Num32z1">
    <w:name w:val="WW8Num32z1"/>
    <w:qFormat/>
    <w:rPr>
      <w:b w:val="false"/>
      <w:sz w:val="24"/>
      <w:u w:val="none"/>
    </w:rPr>
  </w:style>
  <w:style w:type="character" w:styleId="WW8Num32z2">
    <w:name w:val="WW8Num32z2"/>
    <w:qFormat/>
    <w:rPr>
      <w:b w:val="false"/>
      <w:u w:val="none"/>
    </w:rPr>
  </w:style>
  <w:style w:type="character" w:styleId="WW8Num33z0">
    <w:name w:val="WW8Num33z0"/>
    <w:qFormat/>
    <w:rPr>
      <w:rFonts w:ascii="Times New Roman" w:hAnsi="Times New Roman" w:cs="Times New Roman"/>
      <w:sz w:val="20"/>
    </w:rPr>
  </w:style>
  <w:style w:type="character" w:styleId="WW8Num34z0">
    <w:name w:val="WW8Num34z0"/>
    <w:qFormat/>
    <w:rPr>
      <w:b w:val="false"/>
      <w:u w:val="none"/>
    </w:rPr>
  </w:style>
  <w:style w:type="character" w:styleId="WW8Num35z0">
    <w:name w:val="WW8Num35z0"/>
    <w:qFormat/>
    <w:rPr>
      <w:b w:val="false"/>
      <w:u w:val="none"/>
    </w:rPr>
  </w:style>
  <w:style w:type="character" w:styleId="WW8Num36z0">
    <w:name w:val="WW8Num36z0"/>
    <w:qFormat/>
    <w:rPr>
      <w:rFonts w:ascii="Arial" w:hAnsi="Arial" w:cs="Arial"/>
      <w:b w:val="false"/>
      <w:i w:val="false"/>
      <w:sz w:val="26"/>
    </w:rPr>
  </w:style>
  <w:style w:type="character" w:styleId="WW8Num37z0">
    <w:name w:val="WW8Num37z0"/>
    <w:qFormat/>
    <w:rPr>
      <w:rFonts w:ascii="Times New Roman" w:hAnsi="Times New Roman" w:cs="Times New Roman"/>
      <w:sz w:val="28"/>
    </w:rPr>
  </w:style>
  <w:style w:type="character" w:styleId="WW8Num38z0">
    <w:name w:val="WW8Num38z0"/>
    <w:qFormat/>
    <w:rPr/>
  </w:style>
  <w:style w:type="character" w:styleId="WW8Num39z0">
    <w:name w:val="WW8Num39z0"/>
    <w:qFormat/>
    <w:rPr>
      <w:rFonts w:ascii="Arial" w:hAnsi="Arial" w:cs="Arial"/>
      <w:sz w:val="24"/>
    </w:rPr>
  </w:style>
  <w:style w:type="character" w:styleId="WW8Num40z0">
    <w:name w:val="WW8Num40z0"/>
    <w:qFormat/>
    <w:rPr>
      <w:sz w:val="28"/>
    </w:rPr>
  </w:style>
  <w:style w:type="character" w:styleId="WW8Num40z1">
    <w:name w:val="WW8Num40z1"/>
    <w:qFormat/>
    <w:rPr>
      <w:b w:val="false"/>
    </w:rPr>
  </w:style>
  <w:style w:type="character" w:styleId="WW8Num41z0">
    <w:name w:val="WW8Num41z0"/>
    <w:qFormat/>
    <w:rPr/>
  </w:style>
  <w:style w:type="character" w:styleId="WW8Num42z0">
    <w:name w:val="WW8Num42z0"/>
    <w:qFormat/>
    <w:rPr>
      <w:b/>
    </w:rPr>
  </w:style>
  <w:style w:type="character" w:styleId="WW8Num43z0">
    <w:name w:val="WW8Num43z0"/>
    <w:qFormat/>
    <w:rPr>
      <w:sz w:val="28"/>
    </w:rPr>
  </w:style>
  <w:style w:type="character" w:styleId="WW8Num44z0">
    <w:name w:val="WW8Num44z0"/>
    <w:qFormat/>
    <w:rPr/>
  </w:style>
  <w:style w:type="character" w:styleId="WW8Num45z0">
    <w:name w:val="WW8Num45z0"/>
    <w:qFormat/>
    <w:rPr/>
  </w:style>
  <w:style w:type="character" w:styleId="WW8Num46z0">
    <w:name w:val="WW8Num46z0"/>
    <w:qFormat/>
    <w:rPr>
      <w:rFonts w:ascii="Times New Roman" w:hAnsi="Times New Roman" w:cs="Times New Roman"/>
      <w:sz w:val="28"/>
    </w:rPr>
  </w:style>
  <w:style w:type="character" w:styleId="WW8Num47z0">
    <w:name w:val="WW8Num47z0"/>
    <w:qFormat/>
    <w:rPr>
      <w:b/>
    </w:rPr>
  </w:style>
  <w:style w:type="character" w:styleId="WW8Num48z0">
    <w:name w:val="WW8Num48z0"/>
    <w:qFormat/>
    <w:rPr/>
  </w:style>
  <w:style w:type="character" w:styleId="WW8Num49z0">
    <w:name w:val="WW8Num49z0"/>
    <w:qFormat/>
    <w:rPr>
      <w:b w:val="false"/>
      <w:i w:val="false"/>
      <w:u w:val="none"/>
    </w:rPr>
  </w:style>
  <w:style w:type="character" w:styleId="WW8Num49z1">
    <w:name w:val="WW8Num49z1"/>
    <w:qFormat/>
    <w:rPr>
      <w:b w:val="false"/>
      <w:u w:val="none"/>
    </w:rPr>
  </w:style>
  <w:style w:type="character" w:styleId="WW8Num50z0">
    <w:name w:val="WW8Num50z0"/>
    <w:qFormat/>
    <w:rPr/>
  </w:style>
  <w:style w:type="character" w:styleId="WW8Num51z0">
    <w:name w:val="WW8Num51z0"/>
    <w:qFormat/>
    <w:rPr>
      <w:b w:val="false"/>
      <w:i w:val="false"/>
      <w:u w:val="none"/>
    </w:rPr>
  </w:style>
  <w:style w:type="character" w:styleId="WW8Num51z1">
    <w:name w:val="WW8Num51z1"/>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b w:val="false"/>
    </w:rPr>
  </w:style>
  <w:style w:type="character" w:styleId="WW8Num58z0">
    <w:name w:val="WW8Num58z0"/>
    <w:qFormat/>
    <w:rPr/>
  </w:style>
  <w:style w:type="character" w:styleId="WW8Num59z0">
    <w:name w:val="WW8Num59z0"/>
    <w:qFormat/>
    <w:rPr/>
  </w:style>
  <w:style w:type="character" w:styleId="WW8Num60z0">
    <w:name w:val="WW8Num60z0"/>
    <w:qFormat/>
    <w:rPr>
      <w:b w:val="false"/>
      <w:u w:val="none"/>
    </w:rPr>
  </w:style>
  <w:style w:type="character" w:styleId="WW8Num60z1">
    <w:name w:val="WW8Num60z1"/>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b w:val="false"/>
    </w:rPr>
  </w:style>
  <w:style w:type="character" w:styleId="WW8Num65z0">
    <w:name w:val="WW8Num65z0"/>
    <w:qFormat/>
    <w:rPr>
      <w:rFonts w:ascii="Times New Roman" w:hAnsi="Times New Roman" w:cs="Times New Roman"/>
      <w:sz w:val="20"/>
    </w:rPr>
  </w:style>
  <w:style w:type="character" w:styleId="WW8Num66z0">
    <w:name w:val="WW8Num66z0"/>
    <w:qFormat/>
    <w:rPr>
      <w:b w:val="false"/>
      <w:u w:val="none"/>
    </w:rPr>
  </w:style>
  <w:style w:type="character" w:styleId="WW8Num67z0">
    <w:name w:val="WW8Num67z0"/>
    <w:qFormat/>
    <w:rPr>
      <w:b/>
      <w:sz w:val="28"/>
    </w:rPr>
  </w:style>
  <w:style w:type="character" w:styleId="WW8Num68z0">
    <w:name w:val="WW8Num68z0"/>
    <w:qFormat/>
    <w:rPr>
      <w:sz w:val="28"/>
    </w:rPr>
  </w:style>
  <w:style w:type="character" w:styleId="WW8Num69z0">
    <w:name w:val="WW8Num69z0"/>
    <w:qFormat/>
    <w:rPr/>
  </w:style>
  <w:style w:type="character" w:styleId="WW8Num70z0">
    <w:name w:val="WW8Num70z0"/>
    <w:qFormat/>
    <w:rPr>
      <w:rFonts w:ascii="Times New Roman" w:hAnsi="Times New Roman" w:cs="Times New Roman"/>
      <w:sz w:val="20"/>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z w:val="28"/>
    </w:rPr>
  </w:style>
  <w:style w:type="character" w:styleId="WW8Num79z0">
    <w:name w:val="WW8Num79z0"/>
    <w:qFormat/>
    <w:rPr>
      <w:rFonts w:ascii="Arial" w:hAnsi="Arial" w:cs="Arial"/>
    </w:rPr>
  </w:style>
  <w:style w:type="character" w:styleId="WW8Num80z0">
    <w:name w:val="WW8Num80z0"/>
    <w:qFormat/>
    <w:rPr/>
  </w:style>
  <w:style w:type="character" w:styleId="WW8Num81z0">
    <w:name w:val="WW8Num81z0"/>
    <w:qFormat/>
    <w:rPr/>
  </w:style>
  <w:style w:type="character" w:styleId="WW8Num83z0">
    <w:name w:val="WW8Num83z0"/>
    <w:qFormat/>
    <w:rPr/>
  </w:style>
  <w:style w:type="character" w:styleId="WW8Num84z0">
    <w:name w:val="WW8Num84z0"/>
    <w:qFormat/>
    <w:rPr>
      <w:b/>
    </w:rPr>
  </w:style>
  <w:style w:type="character" w:styleId="WW8Num85z0">
    <w:name w:val="WW8Num85z0"/>
    <w:qFormat/>
    <w:rPr/>
  </w:style>
  <w:style w:type="character" w:styleId="WW8Num86z0">
    <w:name w:val="WW8Num86z0"/>
    <w:qFormat/>
    <w:rPr>
      <w:b w:val="false"/>
    </w:rPr>
  </w:style>
  <w:style w:type="character" w:styleId="WW8Num86z1">
    <w:name w:val="WW8Num86z1"/>
    <w:qFormat/>
    <w:rPr/>
  </w:style>
  <w:style w:type="character" w:styleId="WW8Num87z0">
    <w:name w:val="WW8Num87z0"/>
    <w:qFormat/>
    <w:rPr>
      <w:rFonts w:ascii="Arial" w:hAnsi="Arial" w:cs="Arial"/>
      <w:sz w:val="28"/>
    </w:rPr>
  </w:style>
  <w:style w:type="character" w:styleId="WW8Num88z0">
    <w:name w:val="WW8Num88z0"/>
    <w:qFormat/>
    <w:rPr>
      <w:sz w:val="28"/>
    </w:rPr>
  </w:style>
  <w:style w:type="character" w:styleId="WW8Num89z0">
    <w:name w:val="WW8Num89z0"/>
    <w:qFormat/>
    <w:rPr/>
  </w:style>
  <w:style w:type="character" w:styleId="WW8Num90z0">
    <w:name w:val="WW8Num90z0"/>
    <w:qFormat/>
    <w:rPr/>
  </w:style>
  <w:style w:type="character" w:styleId="WW8Num91z0">
    <w:name w:val="WW8Num91z0"/>
    <w:qFormat/>
    <w:rPr>
      <w:rFonts w:ascii="Arial" w:hAnsi="Arial" w:cs="Arial"/>
    </w:rPr>
  </w:style>
  <w:style w:type="character" w:styleId="WW8Num92z0">
    <w:name w:val="WW8Num92z0"/>
    <w:qFormat/>
    <w:rPr>
      <w:b/>
    </w:rPr>
  </w:style>
  <w:style w:type="character" w:styleId="WW8Num94z0">
    <w:name w:val="WW8Num94z0"/>
    <w:qFormat/>
    <w:rPr>
      <w:b w:val="false"/>
      <w:u w:val="none"/>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b w:val="false"/>
      <w:i w:val="false"/>
      <w:u w:val="none"/>
    </w:rPr>
  </w:style>
  <w:style w:type="character" w:styleId="WW8Num98z1">
    <w:name w:val="WW8Num98z1"/>
    <w:qFormat/>
    <w:rPr/>
  </w:style>
  <w:style w:type="character" w:styleId="WW8Num99z0">
    <w:name w:val="WW8Num99z0"/>
    <w:qFormat/>
    <w:rPr/>
  </w:style>
  <w:style w:type="character" w:styleId="WW8Num100z0">
    <w:name w:val="WW8Num100z0"/>
    <w:qFormat/>
    <w:rPr/>
  </w:style>
  <w:style w:type="character" w:styleId="WW8Num101z0">
    <w:name w:val="WW8Num101z0"/>
    <w:qFormat/>
    <w:rPr>
      <w:sz w:val="24"/>
    </w:rPr>
  </w:style>
  <w:style w:type="character" w:styleId="WW8Num101z1">
    <w:name w:val="WW8Num101z1"/>
    <w:qFormat/>
    <w:rPr/>
  </w:style>
  <w:style w:type="character" w:styleId="WW8Num102z0">
    <w:name w:val="WW8Num102z0"/>
    <w:qFormat/>
    <w:rPr/>
  </w:style>
  <w:style w:type="character" w:styleId="WW8Num103z0">
    <w:name w:val="WW8Num103z0"/>
    <w:qFormat/>
    <w:rPr>
      <w:sz w:val="24"/>
    </w:rPr>
  </w:style>
  <w:style w:type="character" w:styleId="WW8Num104z0">
    <w:name w:val="WW8Num104z0"/>
    <w:qFormat/>
    <w:rPr>
      <w:b w:val="false"/>
      <w:i w:val="false"/>
      <w:u w:val="none"/>
    </w:rPr>
  </w:style>
  <w:style w:type="character" w:styleId="WW8Num105z0">
    <w:name w:val="WW8Num105z0"/>
    <w:qFormat/>
    <w:rPr>
      <w:rFonts w:ascii="Arial" w:hAnsi="Arial" w:cs="Arial"/>
      <w:b/>
    </w:rPr>
  </w:style>
  <w:style w:type="character" w:styleId="WW8Num106z0">
    <w:name w:val="WW8Num106z0"/>
    <w:qFormat/>
    <w:rPr>
      <w:sz w:val="26"/>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rFonts w:ascii="Arial" w:hAnsi="Arial" w:cs="Arial"/>
      <w:sz w:val="28"/>
    </w:rPr>
  </w:style>
  <w:style w:type="character" w:styleId="WW8Num111z0">
    <w:name w:val="WW8Num111z0"/>
    <w:qFormat/>
    <w:rPr>
      <w:rFonts w:ascii="Arial" w:hAnsi="Arial" w:cs="Arial"/>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b w:val="false"/>
      <w:sz w:val="28"/>
    </w:rPr>
  </w:style>
  <w:style w:type="character" w:styleId="WW8Num118z0">
    <w:name w:val="WW8Num118z0"/>
    <w:qFormat/>
    <w:rPr>
      <w:b w:val="false"/>
      <w:u w:val="none"/>
    </w:rPr>
  </w:style>
  <w:style w:type="character" w:styleId="WW8Num119z0">
    <w:name w:val="WW8Num119z0"/>
    <w:qFormat/>
    <w:rPr>
      <w:rFonts w:ascii="Arial" w:hAnsi="Arial" w:cs="Arial"/>
      <w:sz w:val="24"/>
    </w:rPr>
  </w:style>
  <w:style w:type="character" w:styleId="WW8Num120z0">
    <w:name w:val="WW8Num120z0"/>
    <w:qFormat/>
    <w:rPr/>
  </w:style>
  <w:style w:type="character" w:styleId="WW8Num121z0">
    <w:name w:val="WW8Num121z0"/>
    <w:qFormat/>
    <w:rPr>
      <w:b w:val="false"/>
      <w:u w:val="none"/>
    </w:rPr>
  </w:style>
  <w:style w:type="character" w:styleId="WW8Num122z0">
    <w:name w:val="WW8Num122z0"/>
    <w:qFormat/>
    <w:rPr/>
  </w:style>
  <w:style w:type="character" w:styleId="WW8Num123z0">
    <w:name w:val="WW8Num123z0"/>
    <w:qFormat/>
    <w:rPr>
      <w:b w:val="false"/>
      <w:i w:val="false"/>
      <w:u w:val="none"/>
    </w:rPr>
  </w:style>
  <w:style w:type="character" w:styleId="WW8Num123z1">
    <w:name w:val="WW8Num123z1"/>
    <w:qFormat/>
    <w:rPr>
      <w:b w:val="false"/>
      <w:u w:val="none"/>
    </w:rPr>
  </w:style>
  <w:style w:type="character" w:styleId="WW8Num124z0">
    <w:name w:val="WW8Num124z0"/>
    <w:qFormat/>
    <w:rPr>
      <w:rFonts w:ascii="Arial" w:hAnsi="Arial" w:cs="Arial"/>
      <w:b w:val="false"/>
      <w:sz w:val="24"/>
    </w:rPr>
  </w:style>
  <w:style w:type="character" w:styleId="WW8Num125z0">
    <w:name w:val="WW8Num125z0"/>
    <w:qFormat/>
    <w:rPr>
      <w:b w:val="false"/>
      <w:u w:val="none"/>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rFonts w:ascii="Arial" w:hAnsi="Arial" w:cs="Arial"/>
      <w:b w:val="false"/>
      <w:i w:val="false"/>
      <w:sz w:val="28"/>
    </w:rPr>
  </w:style>
  <w:style w:type="character" w:styleId="WW8Num132z0">
    <w:name w:val="WW8Num132z0"/>
    <w:qFormat/>
    <w:rPr/>
  </w:style>
  <w:style w:type="character" w:styleId="WW8Num133z0">
    <w:name w:val="WW8Num133z0"/>
    <w:qFormat/>
    <w:rPr/>
  </w:style>
  <w:style w:type="character" w:styleId="WW8Num134z0">
    <w:name w:val="WW8Num134z0"/>
    <w:qFormat/>
    <w:rPr>
      <w:rFonts w:ascii="Arial" w:hAnsi="Arial" w:cs="Arial"/>
    </w:rPr>
  </w:style>
  <w:style w:type="character" w:styleId="WW8Num135z0">
    <w:name w:val="WW8Num135z0"/>
    <w:qFormat/>
    <w:rPr>
      <w:b/>
    </w:rPr>
  </w:style>
  <w:style w:type="character" w:styleId="WW8Num136z0">
    <w:name w:val="WW8Num136z0"/>
    <w:qFormat/>
    <w:rPr/>
  </w:style>
  <w:style w:type="character" w:styleId="WW8Num137z0">
    <w:name w:val="WW8Num137z0"/>
    <w:qFormat/>
    <w:rPr>
      <w:sz w:val="28"/>
    </w:rPr>
  </w:style>
  <w:style w:type="character" w:styleId="WW8Num138z0">
    <w:name w:val="WW8Num138z0"/>
    <w:qFormat/>
    <w:rPr>
      <w:sz w:val="28"/>
    </w:rPr>
  </w:style>
  <w:style w:type="character" w:styleId="WW8Num138z1">
    <w:name w:val="WW8Num138z1"/>
    <w:qFormat/>
    <w:rPr/>
  </w:style>
  <w:style w:type="character" w:styleId="WW8Num139z0">
    <w:name w:val="WW8Num139z0"/>
    <w:qFormat/>
    <w:rPr>
      <w:i/>
    </w:rPr>
  </w:style>
  <w:style w:type="character" w:styleId="WW8Num139z1">
    <w:name w:val="WW8Num139z1"/>
    <w:qFormat/>
    <w:rPr/>
  </w:style>
  <w:style w:type="character" w:styleId="WW8Num140z0">
    <w:name w:val="WW8Num140z0"/>
    <w:qFormat/>
    <w:rPr>
      <w:b w:val="false"/>
      <w:u w:val="none"/>
    </w:rPr>
  </w:style>
  <w:style w:type="character" w:styleId="WW8Num141z0">
    <w:name w:val="WW8Num141z0"/>
    <w:qFormat/>
    <w:rPr/>
  </w:style>
  <w:style w:type="character" w:styleId="WW8Num142z0">
    <w:name w:val="WW8Num142z0"/>
    <w:qFormat/>
    <w:rPr>
      <w:sz w:val="28"/>
    </w:rPr>
  </w:style>
  <w:style w:type="character" w:styleId="WW8Num142z1">
    <w:name w:val="WW8Num142z1"/>
    <w:qFormat/>
    <w:rPr/>
  </w:style>
  <w:style w:type="character" w:styleId="WW8Num143z0">
    <w:name w:val="WW8Num143z0"/>
    <w:qFormat/>
    <w:rPr/>
  </w:style>
  <w:style w:type="character" w:styleId="WW8Num144z0">
    <w:name w:val="WW8Num144z0"/>
    <w:qFormat/>
    <w:rPr>
      <w:sz w:val="28"/>
    </w:rPr>
  </w:style>
  <w:style w:type="character" w:styleId="WW8Num145z0">
    <w:name w:val="WW8Num145z0"/>
    <w:qFormat/>
    <w:rPr/>
  </w:style>
  <w:style w:type="character" w:styleId="WW8Num146z0">
    <w:name w:val="WW8Num146z0"/>
    <w:qFormat/>
    <w:rPr>
      <w:rFonts w:ascii="Arial" w:hAnsi="Arial" w:cs="Arial"/>
    </w:rPr>
  </w:style>
  <w:style w:type="character" w:styleId="WW8Num147z0">
    <w:name w:val="WW8Num147z0"/>
    <w:qFormat/>
    <w:rPr/>
  </w:style>
  <w:style w:type="character" w:styleId="WW8Num148z0">
    <w:name w:val="WW8Num148z0"/>
    <w:qFormat/>
    <w:rPr/>
  </w:style>
  <w:style w:type="character" w:styleId="WW8Num149z0">
    <w:name w:val="WW8Num149z0"/>
    <w:qFormat/>
    <w:rPr>
      <w:b w:val="false"/>
      <w:i w:val="false"/>
      <w:u w:val="none"/>
    </w:rPr>
  </w:style>
  <w:style w:type="character" w:styleId="WW8Num149z1">
    <w:name w:val="WW8Num149z1"/>
    <w:qFormat/>
    <w:rPr>
      <w:b w:val="false"/>
      <w:sz w:val="24"/>
      <w:u w:val="none"/>
    </w:rPr>
  </w:style>
  <w:style w:type="character" w:styleId="WW8Num149z2">
    <w:name w:val="WW8Num149z2"/>
    <w:qFormat/>
    <w:rPr>
      <w:b w:val="false"/>
      <w:u w:val="none"/>
    </w:rPr>
  </w:style>
  <w:style w:type="character" w:styleId="WW8Num150z0">
    <w:name w:val="WW8Num150z0"/>
    <w:qFormat/>
    <w:rPr>
      <w:b w:val="false"/>
    </w:rPr>
  </w:style>
  <w:style w:type="character" w:styleId="WW8Num151z0">
    <w:name w:val="WW8Num151z0"/>
    <w:qFormat/>
    <w:rPr>
      <w:b w:val="false"/>
    </w:rPr>
  </w:style>
  <w:style w:type="character" w:styleId="WW8Num152z0">
    <w:name w:val="WW8Num152z0"/>
    <w:qFormat/>
    <w:rPr>
      <w:b w:val="false"/>
      <w:i w:val="false"/>
      <w:u w:val="none"/>
    </w:rPr>
  </w:style>
  <w:style w:type="character" w:styleId="WW8Num152z1">
    <w:name w:val="WW8Num152z1"/>
    <w:qFormat/>
    <w:rPr/>
  </w:style>
  <w:style w:type="character" w:styleId="WW8Num153z0">
    <w:name w:val="WW8Num153z0"/>
    <w:qFormat/>
    <w:rPr>
      <w:b/>
      <w:sz w:val="28"/>
    </w:rPr>
  </w:style>
  <w:style w:type="character" w:styleId="WW8Num154z0">
    <w:name w:val="WW8Num154z0"/>
    <w:qFormat/>
    <w:rPr>
      <w:sz w:val="28"/>
    </w:rPr>
  </w:style>
  <w:style w:type="character" w:styleId="WW8Num155z0">
    <w:name w:val="WW8Num155z0"/>
    <w:qFormat/>
    <w:rPr>
      <w:rFonts w:ascii="Arial" w:hAnsi="Arial" w:cs="Arial"/>
      <w:sz w:val="24"/>
    </w:rPr>
  </w:style>
  <w:style w:type="character" w:styleId="WW8Num156z0">
    <w:name w:val="WW8Num156z0"/>
    <w:qFormat/>
    <w:rPr>
      <w:b/>
    </w:rPr>
  </w:style>
  <w:style w:type="character" w:styleId="WW8Num157z0">
    <w:name w:val="WW8Num157z0"/>
    <w:qFormat/>
    <w:rPr/>
  </w:style>
  <w:style w:type="character" w:styleId="WW8Num158z0">
    <w:name w:val="WW8Num158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b w:val="false"/>
      <w:u w:val="none"/>
    </w:rPr>
  </w:style>
  <w:style w:type="character" w:styleId="WW8Num166z1">
    <w:name w:val="WW8Num166z1"/>
    <w:qFormat/>
    <w:rPr/>
  </w:style>
  <w:style w:type="character" w:styleId="WW8Num167z0">
    <w:name w:val="WW8Num167z0"/>
    <w:qFormat/>
    <w:rPr/>
  </w:style>
  <w:style w:type="character" w:styleId="WW8Num168z0">
    <w:name w:val="WW8Num168z0"/>
    <w:qFormat/>
    <w:rPr>
      <w:b/>
    </w:rPr>
  </w:style>
  <w:style w:type="character" w:styleId="WW8Num169z0">
    <w:name w:val="WW8Num169z0"/>
    <w:qFormat/>
    <w:rPr>
      <w:b w:val="false"/>
    </w:rPr>
  </w:style>
  <w:style w:type="character" w:styleId="WW8Num169z1">
    <w:name w:val="WW8Num169z1"/>
    <w:qFormat/>
    <w:rPr/>
  </w:style>
  <w:style w:type="character" w:styleId="WW8Num171z0">
    <w:name w:val="WW8Num171z0"/>
    <w:qFormat/>
    <w:rPr/>
  </w:style>
  <w:style w:type="character" w:styleId="WW8Num172z0">
    <w:name w:val="WW8Num172z0"/>
    <w:qFormat/>
    <w:rPr>
      <w:sz w:val="28"/>
    </w:rPr>
  </w:style>
  <w:style w:type="character" w:styleId="WW8Num173z0">
    <w:name w:val="WW8Num173z0"/>
    <w:qFormat/>
    <w:rPr>
      <w:b w:val="false"/>
      <w:u w:val="none"/>
    </w:rPr>
  </w:style>
  <w:style w:type="character" w:styleId="WW8Num175z0">
    <w:name w:val="WW8Num175z0"/>
    <w:qFormat/>
    <w:rPr>
      <w:rFonts w:ascii="Arial" w:hAnsi="Arial" w:cs="Arial"/>
      <w:sz w:val="26"/>
    </w:rPr>
  </w:style>
  <w:style w:type="character" w:styleId="WW8Num176z0">
    <w:name w:val="WW8Num176z0"/>
    <w:qFormat/>
    <w:rPr/>
  </w:style>
  <w:style w:type="character" w:styleId="WW8Num177z0">
    <w:name w:val="WW8Num177z0"/>
    <w:qFormat/>
    <w:rPr/>
  </w:style>
  <w:style w:type="character" w:styleId="WW8Num178z0">
    <w:name w:val="WW8Num178z0"/>
    <w:qFormat/>
    <w:rPr>
      <w:b w:val="false"/>
    </w:rPr>
  </w:style>
  <w:style w:type="character" w:styleId="WW8Num179z0">
    <w:name w:val="WW8Num179z0"/>
    <w:qFormat/>
    <w:rPr/>
  </w:style>
  <w:style w:type="character" w:styleId="WW8Num180z0">
    <w:name w:val="WW8Num180z0"/>
    <w:qFormat/>
    <w:rPr>
      <w:sz w:val="28"/>
    </w:rPr>
  </w:style>
  <w:style w:type="character" w:styleId="WW8Num181z0">
    <w:name w:val="WW8Num181z0"/>
    <w:qFormat/>
    <w:rPr>
      <w:b w:val="false"/>
    </w:rPr>
  </w:style>
  <w:style w:type="character" w:styleId="WW8Num181z1">
    <w:name w:val="WW8Num181z1"/>
    <w:qFormat/>
    <w:rPr/>
  </w:style>
  <w:style w:type="character" w:styleId="WW8Num182z0">
    <w:name w:val="WW8Num182z0"/>
    <w:qFormat/>
    <w:rPr>
      <w:b w:val="false"/>
      <w:i w:val="false"/>
      <w:u w:val="none"/>
    </w:rPr>
  </w:style>
  <w:style w:type="character" w:styleId="WW8Num182z1">
    <w:name w:val="WW8Num182z1"/>
    <w:qFormat/>
    <w:rPr>
      <w:b w:val="false"/>
      <w:u w:val="none"/>
    </w:rPr>
  </w:style>
  <w:style w:type="character" w:styleId="WW8Num183z0">
    <w:name w:val="WW8Num183z0"/>
    <w:qFormat/>
    <w:rPr>
      <w:rFonts w:ascii="Arial" w:hAnsi="Arial" w:cs="Arial"/>
      <w:b w:val="false"/>
      <w:sz w:val="24"/>
    </w:rPr>
  </w:style>
  <w:style w:type="character" w:styleId="WW8Num184z0">
    <w:name w:val="WW8Num184z0"/>
    <w:qFormat/>
    <w:rPr/>
  </w:style>
  <w:style w:type="character" w:styleId="WW8Num185z0">
    <w:name w:val="WW8Num185z0"/>
    <w:qFormat/>
    <w:rPr>
      <w:b w:val="false"/>
    </w:rPr>
  </w:style>
  <w:style w:type="character" w:styleId="WW8Num185z1">
    <w:name w:val="WW8Num185z1"/>
    <w:qFormat/>
    <w:rPr/>
  </w:style>
  <w:style w:type="character" w:styleId="WW8Num186z0">
    <w:name w:val="WW8Num186z0"/>
    <w:qFormat/>
    <w:rPr/>
  </w:style>
  <w:style w:type="character" w:styleId="WW8Num187z0">
    <w:name w:val="WW8Num187z0"/>
    <w:qFormat/>
    <w:rPr>
      <w:sz w:val="24"/>
    </w:rPr>
  </w:style>
  <w:style w:type="character" w:styleId="WW8Num189z0">
    <w:name w:val="WW8Num189z0"/>
    <w:qFormat/>
    <w:rPr/>
  </w:style>
  <w:style w:type="character" w:styleId="WW8Num190z0">
    <w:name w:val="WW8Num190z0"/>
    <w:qFormat/>
    <w:rPr>
      <w:b w:val="false"/>
      <w:i w:val="false"/>
      <w:u w:val="none"/>
    </w:rPr>
  </w:style>
  <w:style w:type="character" w:styleId="WW8Num191z0">
    <w:name w:val="WW8Num191z0"/>
    <w:qFormat/>
    <w:rPr/>
  </w:style>
  <w:style w:type="character" w:styleId="WW8Num192z0">
    <w:name w:val="WW8Num192z0"/>
    <w:qFormat/>
    <w:rPr>
      <w:b w:val="false"/>
    </w:rPr>
  </w:style>
  <w:style w:type="character" w:styleId="WW8Num193z0">
    <w:name w:val="WW8Num193z0"/>
    <w:qFormat/>
    <w:rPr>
      <w:sz w:val="26"/>
    </w:rPr>
  </w:style>
  <w:style w:type="character" w:styleId="WW8Num195z0">
    <w:name w:val="WW8Num195z0"/>
    <w:qFormat/>
    <w:rPr/>
  </w:style>
  <w:style w:type="character" w:styleId="WW8Num196z0">
    <w:name w:val="WW8Num196z0"/>
    <w:qFormat/>
    <w:rPr>
      <w:sz w:val="26"/>
    </w:rPr>
  </w:style>
  <w:style w:type="character" w:styleId="WW8Num197z0">
    <w:name w:val="WW8Num197z0"/>
    <w:qFormat/>
    <w:rPr/>
  </w:style>
  <w:style w:type="character" w:styleId="WW8Num198z0">
    <w:name w:val="WW8Num198z0"/>
    <w:qFormat/>
    <w:rPr>
      <w:b w:val="false"/>
      <w:u w:val="none"/>
    </w:rPr>
  </w:style>
  <w:style w:type="character" w:styleId="WW8Num199z0">
    <w:name w:val="WW8Num199z0"/>
    <w:qFormat/>
    <w:rPr>
      <w:rFonts w:ascii="Arial" w:hAnsi="Arial" w:cs="Arial"/>
      <w:sz w:val="28"/>
    </w:rPr>
  </w:style>
  <w:style w:type="character" w:styleId="WW8Num200z0">
    <w:name w:val="WW8Num200z0"/>
    <w:qFormat/>
    <w:rPr>
      <w:b/>
      <w:sz w:val="20"/>
    </w:rPr>
  </w:style>
  <w:style w:type="character" w:styleId="WW8Num201z0">
    <w:name w:val="WW8Num201z0"/>
    <w:qFormat/>
    <w:rPr>
      <w:b w:val="false"/>
      <w:u w:val="none"/>
    </w:rPr>
  </w:style>
  <w:style w:type="character" w:styleId="WW8Num202z0">
    <w:name w:val="WW8Num202z0"/>
    <w:qFormat/>
    <w:rPr/>
  </w:style>
  <w:style w:type="character" w:styleId="WW8Num203z0">
    <w:name w:val="WW8Num203z0"/>
    <w:qFormat/>
    <w:rPr>
      <w:b w:val="false"/>
    </w:rPr>
  </w:style>
  <w:style w:type="character" w:styleId="WW8Num203z1">
    <w:name w:val="WW8Num203z1"/>
    <w:qFormat/>
    <w:rPr/>
  </w:style>
  <w:style w:type="character" w:styleId="WW8Num204z0">
    <w:name w:val="WW8Num204z0"/>
    <w:qFormat/>
    <w:rPr/>
  </w:style>
  <w:style w:type="character" w:styleId="WW8Num205z0">
    <w:name w:val="WW8Num205z0"/>
    <w:qFormat/>
    <w:rPr/>
  </w:style>
  <w:style w:type="character" w:styleId="WW8Num206z0">
    <w:name w:val="WW8Num206z0"/>
    <w:qFormat/>
    <w:rPr>
      <w:rFonts w:ascii="Arial" w:hAnsi="Arial" w:cs="Arial"/>
      <w:b w:val="false"/>
      <w:sz w:val="28"/>
    </w:rPr>
  </w:style>
  <w:style w:type="character" w:styleId="WW8Num207z0">
    <w:name w:val="WW8Num207z0"/>
    <w:qFormat/>
    <w:rPr/>
  </w:style>
  <w:style w:type="character" w:styleId="WW8Num208z0">
    <w:name w:val="WW8Num208z0"/>
    <w:qFormat/>
    <w:rPr>
      <w:b w:val="false"/>
      <w:u w:val="none"/>
    </w:rPr>
  </w:style>
  <w:style w:type="character" w:styleId="WW8Num209z0">
    <w:name w:val="WW8Num209z0"/>
    <w:qFormat/>
    <w:rPr>
      <w:rFonts w:ascii="Arial" w:hAnsi="Arial" w:cs="Arial"/>
      <w:sz w:val="28"/>
    </w:rPr>
  </w:style>
  <w:style w:type="character" w:styleId="WW8Num209z1">
    <w:name w:val="WW8Num209z1"/>
    <w:qFormat/>
    <w:rPr/>
  </w:style>
  <w:style w:type="character" w:styleId="WW8Num210z0">
    <w:name w:val="WW8Num210z0"/>
    <w:qFormat/>
    <w:rPr>
      <w:rFonts w:ascii="Arial" w:hAnsi="Arial" w:cs="Arial"/>
      <w:sz w:val="28"/>
    </w:rPr>
  </w:style>
  <w:style w:type="character" w:styleId="WW8Num211z0">
    <w:name w:val="WW8Num211z0"/>
    <w:qFormat/>
    <w:rPr>
      <w:sz w:val="28"/>
    </w:rPr>
  </w:style>
  <w:style w:type="character" w:styleId="WW8Num212z0">
    <w:name w:val="WW8Num212z0"/>
    <w:qFormat/>
    <w:rPr/>
  </w:style>
  <w:style w:type="character" w:styleId="WW8Num213z0">
    <w:name w:val="WW8Num213z0"/>
    <w:qFormat/>
    <w:rPr/>
  </w:style>
  <w:style w:type="character" w:styleId="WW8Num214z0">
    <w:name w:val="WW8Num214z0"/>
    <w:qFormat/>
    <w:rPr>
      <w:b/>
    </w:rPr>
  </w:style>
  <w:style w:type="character" w:styleId="WW8Num215z0">
    <w:name w:val="WW8Num215z0"/>
    <w:qFormat/>
    <w:rPr>
      <w:sz w:val="28"/>
    </w:rPr>
  </w:style>
  <w:style w:type="character" w:styleId="WW8Num216z0">
    <w:name w:val="WW8Num216z0"/>
    <w:qFormat/>
    <w:rPr/>
  </w:style>
  <w:style w:type="character" w:styleId="WW8Num217z0">
    <w:name w:val="WW8Num217z0"/>
    <w:qFormat/>
    <w:rPr>
      <w:b w:val="false"/>
    </w:rPr>
  </w:style>
  <w:style w:type="character" w:styleId="WW8Num218z0">
    <w:name w:val="WW8Num218z0"/>
    <w:qFormat/>
    <w:rPr/>
  </w:style>
  <w:style w:type="character" w:styleId="WW8Num219z0">
    <w:name w:val="WW8Num219z0"/>
    <w:qFormat/>
    <w:rPr/>
  </w:style>
  <w:style w:type="character" w:styleId="WW8Num220z0">
    <w:name w:val="WW8Num220z0"/>
    <w:qFormat/>
    <w:rPr>
      <w:rFonts w:ascii="Arial" w:hAnsi="Arial" w:cs="Arial"/>
    </w:rPr>
  </w:style>
  <w:style w:type="character" w:styleId="WW8Num221z0">
    <w:name w:val="WW8Num221z0"/>
    <w:qFormat/>
    <w:rPr>
      <w:b w:val="false"/>
    </w:rPr>
  </w:style>
  <w:style w:type="character" w:styleId="WW8Num221z1">
    <w:name w:val="WW8Num221z1"/>
    <w:qFormat/>
    <w:rPr/>
  </w:style>
  <w:style w:type="character" w:styleId="WW8Num222z0">
    <w:name w:val="WW8Num222z0"/>
    <w:qFormat/>
    <w:rPr/>
  </w:style>
  <w:style w:type="character" w:styleId="WW8Num223z0">
    <w:name w:val="WW8Num223z0"/>
    <w:qFormat/>
    <w:rPr/>
  </w:style>
  <w:style w:type="character" w:styleId="WW8Num224z0">
    <w:name w:val="WW8Num224z0"/>
    <w:qFormat/>
    <w:rPr>
      <w:b w:val="false"/>
    </w:rPr>
  </w:style>
  <w:style w:type="character" w:styleId="WW8Num225z0">
    <w:name w:val="WW8Num225z0"/>
    <w:qFormat/>
    <w:rPr/>
  </w:style>
  <w:style w:type="character" w:styleId="WW8Num226z0">
    <w:name w:val="WW8Num226z0"/>
    <w:qFormat/>
    <w:rPr>
      <w:b w:val="false"/>
    </w:rPr>
  </w:style>
  <w:style w:type="character" w:styleId="WW8Num227z0">
    <w:name w:val="WW8Num227z0"/>
    <w:qFormat/>
    <w:rPr>
      <w:sz w:val="24"/>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b w:val="false"/>
    </w:rPr>
  </w:style>
  <w:style w:type="character" w:styleId="WW8Num232z0">
    <w:name w:val="WW8Num232z0"/>
    <w:qFormat/>
    <w:rPr>
      <w:b w:val="false"/>
      <w:sz w:val="24"/>
      <w:u w:val="none"/>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b w:val="false"/>
    </w:rPr>
  </w:style>
  <w:style w:type="character" w:styleId="WW8Num237z0">
    <w:name w:val="WW8Num237z0"/>
    <w:qFormat/>
    <w:rPr>
      <w:b/>
      <w:sz w:val="28"/>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1z0">
    <w:name w:val="WW8Num241z0"/>
    <w:qFormat/>
    <w:rPr>
      <w:rFonts w:ascii="Arial" w:hAnsi="Arial" w:cs="Arial"/>
      <w:sz w:val="24"/>
    </w:rPr>
  </w:style>
  <w:style w:type="character" w:styleId="WW8Num241z1">
    <w:name w:val="WW8Num241z1"/>
    <w:qFormat/>
    <w:rPr/>
  </w:style>
  <w:style w:type="character" w:styleId="WW8Num242z0">
    <w:name w:val="WW8Num242z0"/>
    <w:qFormat/>
    <w:rPr/>
  </w:style>
  <w:style w:type="character" w:styleId="WW8Num243z0">
    <w:name w:val="WW8Num243z0"/>
    <w:qFormat/>
    <w:rPr>
      <w:b w:val="false"/>
      <w:i w:val="false"/>
      <w:u w:val="none"/>
    </w:rPr>
  </w:style>
  <w:style w:type="character" w:styleId="WW8Num243z1">
    <w:name w:val="WW8Num243z1"/>
    <w:qFormat/>
    <w:rPr/>
  </w:style>
  <w:style w:type="character" w:styleId="WW8Num244z0">
    <w:name w:val="WW8Num244z0"/>
    <w:qFormat/>
    <w:rPr>
      <w:b w:val="false"/>
    </w:rPr>
  </w:style>
  <w:style w:type="character" w:styleId="WW8Num245z0">
    <w:name w:val="WW8Num245z0"/>
    <w:qFormat/>
    <w:rPr>
      <w:b w:val="false"/>
      <w:sz w:val="28"/>
    </w:rPr>
  </w:style>
  <w:style w:type="character" w:styleId="WW8Num245z1">
    <w:name w:val="WW8Num245z1"/>
    <w:qFormat/>
    <w:rPr/>
  </w:style>
  <w:style w:type="character" w:styleId="WW8Num246z0">
    <w:name w:val="WW8Num246z0"/>
    <w:qFormat/>
    <w:rPr/>
  </w:style>
  <w:style w:type="character" w:styleId="WW8Num247z0">
    <w:name w:val="WW8Num247z0"/>
    <w:qFormat/>
    <w:rPr/>
  </w:style>
  <w:style w:type="character" w:styleId="WW8Num248z1">
    <w:name w:val="WW8Num248z1"/>
    <w:qFormat/>
    <w:rPr/>
  </w:style>
  <w:style w:type="character" w:styleId="WW8Num249z0">
    <w:name w:val="WW8Num249z0"/>
    <w:qFormat/>
    <w:rPr/>
  </w:style>
  <w:style w:type="character" w:styleId="WW8Num250z0">
    <w:name w:val="WW8Num250z0"/>
    <w:qFormat/>
    <w:rPr>
      <w:b w:val="false"/>
    </w:rPr>
  </w:style>
  <w:style w:type="character" w:styleId="WW8Num250z1">
    <w:name w:val="WW8Num250z1"/>
    <w:qFormat/>
    <w:rPr/>
  </w:style>
  <w:style w:type="character" w:styleId="WW8Num251z0">
    <w:name w:val="WW8Num251z0"/>
    <w:qFormat/>
    <w:rPr>
      <w:sz w:val="28"/>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style>
  <w:style w:type="character" w:styleId="WW8Num256z0">
    <w:name w:val="WW8Num256z0"/>
    <w:qFormat/>
    <w:rPr>
      <w:b w:val="false"/>
      <w:i w:val="false"/>
      <w:u w:val="none"/>
    </w:rPr>
  </w:style>
  <w:style w:type="character" w:styleId="WW8Num257z0">
    <w:name w:val="WW8Num257z0"/>
    <w:qFormat/>
    <w:rPr>
      <w:b w:val="false"/>
    </w:rPr>
  </w:style>
  <w:style w:type="character" w:styleId="WW8Num258z0">
    <w:name w:val="WW8Num258z0"/>
    <w:qFormat/>
    <w:rPr/>
  </w:style>
  <w:style w:type="character" w:styleId="WW8Num259z0">
    <w:name w:val="WW8Num259z0"/>
    <w:qFormat/>
    <w:rPr>
      <w:sz w:val="28"/>
    </w:rPr>
  </w:style>
  <w:style w:type="character" w:styleId="WW8Num259z1">
    <w:name w:val="WW8Num259z1"/>
    <w:qFormat/>
    <w:rPr/>
  </w:style>
  <w:style w:type="character" w:styleId="WW8Num260z0">
    <w:name w:val="WW8Num260z0"/>
    <w:qFormat/>
    <w:rPr>
      <w:b/>
    </w:rPr>
  </w:style>
  <w:style w:type="character" w:styleId="WW8Num261z0">
    <w:name w:val="WW8Num261z0"/>
    <w:qFormat/>
    <w:rPr/>
  </w:style>
  <w:style w:type="character" w:styleId="WW8Num263z0">
    <w:name w:val="WW8Num263z0"/>
    <w:qFormat/>
    <w:rPr/>
  </w:style>
  <w:style w:type="character" w:styleId="WW8Num264z0">
    <w:name w:val="WW8Num264z0"/>
    <w:qFormat/>
    <w:rPr>
      <w:b w:val="false"/>
    </w:rPr>
  </w:style>
  <w:style w:type="character" w:styleId="WW8Num265z0">
    <w:name w:val="WW8Num265z0"/>
    <w:qFormat/>
    <w:rPr>
      <w:sz w:val="24"/>
    </w:rPr>
  </w:style>
  <w:style w:type="character" w:styleId="WW8Num266z0">
    <w:name w:val="WW8Num266z0"/>
    <w:qFormat/>
    <w:rPr>
      <w:b w:val="false"/>
      <w:u w:val="none"/>
    </w:rPr>
  </w:style>
  <w:style w:type="character" w:styleId="WW8Num267z0">
    <w:name w:val="WW8Num267z0"/>
    <w:qFormat/>
    <w:rPr/>
  </w:style>
  <w:style w:type="character" w:styleId="WW8Num268z0">
    <w:name w:val="WW8Num268z0"/>
    <w:qFormat/>
    <w:rPr/>
  </w:style>
  <w:style w:type="character" w:styleId="WW8Num269z0">
    <w:name w:val="WW8Num269z0"/>
    <w:qFormat/>
    <w:rPr>
      <w:b w:val="false"/>
      <w:i w:val="false"/>
      <w:u w:val="none"/>
    </w:rPr>
  </w:style>
  <w:style w:type="character" w:styleId="WW8Num270z0">
    <w:name w:val="WW8Num270z0"/>
    <w:qFormat/>
    <w:rPr>
      <w:b w:val="false"/>
      <w:u w:val="none"/>
    </w:rPr>
  </w:style>
  <w:style w:type="character" w:styleId="WW8Num271z0">
    <w:name w:val="WW8Num271z0"/>
    <w:qFormat/>
    <w:rPr>
      <w:b w:val="false"/>
    </w:rPr>
  </w:style>
  <w:style w:type="character" w:styleId="WW8Num271z1">
    <w:name w:val="WW8Num271z1"/>
    <w:qFormat/>
    <w:rPr/>
  </w:style>
  <w:style w:type="character" w:styleId="WW8Num272z0">
    <w:name w:val="WW8Num272z0"/>
    <w:qFormat/>
    <w:rPr/>
  </w:style>
  <w:style w:type="character" w:styleId="WW8Num273z0">
    <w:name w:val="WW8Num273z0"/>
    <w:qFormat/>
    <w:rPr>
      <w:rFonts w:ascii="Times New Roman" w:hAnsi="Times New Roman" w:cs="Times New Roman"/>
    </w:rPr>
  </w:style>
  <w:style w:type="character" w:styleId="WW8Num274z0">
    <w:name w:val="WW8Num274z0"/>
    <w:qFormat/>
    <w:rPr/>
  </w:style>
  <w:style w:type="character" w:styleId="WW8Num275z0">
    <w:name w:val="WW8Num275z0"/>
    <w:qFormat/>
    <w:rPr>
      <w:b w:val="false"/>
      <w:i w:val="false"/>
      <w:u w:val="none"/>
    </w:rPr>
  </w:style>
  <w:style w:type="character" w:styleId="WW8Num276z0">
    <w:name w:val="WW8Num276z0"/>
    <w:qFormat/>
    <w:rPr/>
  </w:style>
  <w:style w:type="character" w:styleId="WW8Num277z0">
    <w:name w:val="WW8Num277z0"/>
    <w:qFormat/>
    <w:rPr/>
  </w:style>
  <w:style w:type="character" w:styleId="WW8Num278z0">
    <w:name w:val="WW8Num278z0"/>
    <w:qFormat/>
    <w:rPr>
      <w:b w:val="false"/>
      <w:i w:val="false"/>
      <w:u w:val="none"/>
    </w:rPr>
  </w:style>
  <w:style w:type="character" w:styleId="WW8Num278z1">
    <w:name w:val="WW8Num278z1"/>
    <w:qFormat/>
    <w:rPr/>
  </w:style>
  <w:style w:type="character" w:styleId="WW8Num279z0">
    <w:name w:val="WW8Num279z0"/>
    <w:qFormat/>
    <w:rPr/>
  </w:style>
  <w:style w:type="character" w:styleId="WW8Num280z0">
    <w:name w:val="WW8Num280z0"/>
    <w:qFormat/>
    <w:rPr/>
  </w:style>
  <w:style w:type="character" w:styleId="WW8Num281z0">
    <w:name w:val="WW8Num281z0"/>
    <w:qFormat/>
    <w:rPr/>
  </w:style>
  <w:style w:type="character" w:styleId="WW8Num282z0">
    <w:name w:val="WW8Num282z0"/>
    <w:qFormat/>
    <w:rPr/>
  </w:style>
  <w:style w:type="character" w:styleId="WW8Num283z0">
    <w:name w:val="WW8Num283z0"/>
    <w:qFormat/>
    <w:rPr>
      <w:b w:val="false"/>
      <w:i w:val="false"/>
      <w:u w:val="none"/>
    </w:rPr>
  </w:style>
  <w:style w:type="character" w:styleId="WW8Num283z1">
    <w:name w:val="WW8Num283z1"/>
    <w:qFormat/>
    <w:rPr/>
  </w:style>
  <w:style w:type="character" w:styleId="WW8Num284z0">
    <w:name w:val="WW8Num284z0"/>
    <w:qFormat/>
    <w:rPr>
      <w:b w:val="false"/>
      <w:u w:val="none"/>
    </w:rPr>
  </w:style>
  <w:style w:type="character" w:styleId="WW8Num284z1">
    <w:name w:val="WW8Num284z1"/>
    <w:qFormat/>
    <w:rPr/>
  </w:style>
  <w:style w:type="character" w:styleId="WW8Num285z0">
    <w:name w:val="WW8Num285z0"/>
    <w:qFormat/>
    <w:rPr/>
  </w:style>
  <w:style w:type="character" w:styleId="WW8Num286z0">
    <w:name w:val="WW8Num286z0"/>
    <w:qFormat/>
    <w:rPr/>
  </w:style>
  <w:style w:type="character" w:styleId="WW8Num287z0">
    <w:name w:val="WW8Num287z0"/>
    <w:qFormat/>
    <w:rPr/>
  </w:style>
  <w:style w:type="character" w:styleId="WW8Num288z0">
    <w:name w:val="WW8Num288z0"/>
    <w:qFormat/>
    <w:rPr/>
  </w:style>
  <w:style w:type="character" w:styleId="WW8Num290z0">
    <w:name w:val="WW8Num290z0"/>
    <w:qFormat/>
    <w:rPr>
      <w:i/>
    </w:rPr>
  </w:style>
  <w:style w:type="character" w:styleId="WW8Num291z0">
    <w:name w:val="WW8Num291z0"/>
    <w:qFormat/>
    <w:rPr>
      <w:b w:val="false"/>
    </w:rPr>
  </w:style>
  <w:style w:type="character" w:styleId="WW8Num291z1">
    <w:name w:val="WW8Num291z1"/>
    <w:qFormat/>
    <w:rPr/>
  </w:style>
  <w:style w:type="character" w:styleId="WW8Num292z0">
    <w:name w:val="WW8Num292z0"/>
    <w:qFormat/>
    <w:rPr/>
  </w:style>
  <w:style w:type="character" w:styleId="WW8Num294z0">
    <w:name w:val="WW8Num294z0"/>
    <w:qFormat/>
    <w:rPr/>
  </w:style>
  <w:style w:type="character" w:styleId="WW8Num295z0">
    <w:name w:val="WW8Num295z0"/>
    <w:qFormat/>
    <w:rPr>
      <w:b w:val="false"/>
      <w:u w:val="none"/>
    </w:rPr>
  </w:style>
  <w:style w:type="character" w:styleId="WW8Num296z0">
    <w:name w:val="WW8Num296z0"/>
    <w:qFormat/>
    <w:rPr>
      <w:b w:val="false"/>
      <w:i w:val="false"/>
      <w:u w:val="none"/>
    </w:rPr>
  </w:style>
  <w:style w:type="character" w:styleId="WW8Num297z0">
    <w:name w:val="WW8Num297z0"/>
    <w:qFormat/>
    <w:rPr/>
  </w:style>
  <w:style w:type="character" w:styleId="WW8Num298z0">
    <w:name w:val="WW8Num298z0"/>
    <w:qFormat/>
    <w:rPr>
      <w:b/>
    </w:rPr>
  </w:style>
  <w:style w:type="character" w:styleId="WW8Num298z1">
    <w:name w:val="WW8Num298z1"/>
    <w:qFormat/>
    <w:rPr/>
  </w:style>
  <w:style w:type="character" w:styleId="WW8Num299z0">
    <w:name w:val="WW8Num299z0"/>
    <w:qFormat/>
    <w:rPr>
      <w:b w:val="false"/>
    </w:rPr>
  </w:style>
  <w:style w:type="character" w:styleId="WW8Num300z0">
    <w:name w:val="WW8Num300z0"/>
    <w:qFormat/>
    <w:rPr/>
  </w:style>
  <w:style w:type="character" w:styleId="WW8Num301z0">
    <w:name w:val="WW8Num301z0"/>
    <w:qFormat/>
    <w:rPr/>
  </w:style>
  <w:style w:type="character" w:styleId="WW8Num302z0">
    <w:name w:val="WW8Num302z0"/>
    <w:qFormat/>
    <w:rPr>
      <w:b/>
      <w:sz w:val="28"/>
    </w:rPr>
  </w:style>
  <w:style w:type="character" w:styleId="WW8Num303z0">
    <w:name w:val="WW8Num303z0"/>
    <w:qFormat/>
    <w:rPr>
      <w:b w:val="false"/>
    </w:rPr>
  </w:style>
  <w:style w:type="character" w:styleId="WW8Num304z0">
    <w:name w:val="WW8Num304z0"/>
    <w:qFormat/>
    <w:rPr>
      <w:b w:val="false"/>
    </w:rPr>
  </w:style>
  <w:style w:type="character" w:styleId="WW8Num305z0">
    <w:name w:val="WW8Num305z0"/>
    <w:qFormat/>
    <w:rPr/>
  </w:style>
  <w:style w:type="character" w:styleId="WW8Num306z0">
    <w:name w:val="WW8Num306z0"/>
    <w:qFormat/>
    <w:rPr>
      <w:b w:val="false"/>
    </w:rPr>
  </w:style>
  <w:style w:type="character" w:styleId="WW8Num307z0">
    <w:name w:val="WW8Num307z0"/>
    <w:qFormat/>
    <w:rPr/>
  </w:style>
  <w:style w:type="character" w:styleId="WW8Num308z0">
    <w:name w:val="WW8Num308z0"/>
    <w:qFormat/>
    <w:rPr>
      <w:b/>
    </w:rPr>
  </w:style>
  <w:style w:type="character" w:styleId="WW8Num309z0">
    <w:name w:val="WW8Num309z0"/>
    <w:qFormat/>
    <w:rPr>
      <w:rFonts w:ascii="Times New Roman" w:hAnsi="Times New Roman" w:cs="Times New Roman"/>
    </w:rPr>
  </w:style>
  <w:style w:type="character" w:styleId="WW8Num309z1">
    <w:name w:val="WW8Num309z1"/>
    <w:qFormat/>
    <w:rPr/>
  </w:style>
  <w:style w:type="character" w:styleId="WW8Num310z0">
    <w:name w:val="WW8Num310z0"/>
    <w:qFormat/>
    <w:rPr/>
  </w:style>
  <w:style w:type="character" w:styleId="WW8Num311z0">
    <w:name w:val="WW8Num311z0"/>
    <w:qFormat/>
    <w:rPr>
      <w:b w:val="false"/>
      <w:u w:val="none"/>
    </w:rPr>
  </w:style>
  <w:style w:type="character" w:styleId="WW8Num312z0">
    <w:name w:val="WW8Num312z0"/>
    <w:qFormat/>
    <w:rPr/>
  </w:style>
  <w:style w:type="character" w:styleId="WW8Num313z0">
    <w:name w:val="WW8Num313z0"/>
    <w:qFormat/>
    <w:rPr/>
  </w:style>
  <w:style w:type="character" w:styleId="WW8Num314z0">
    <w:name w:val="WW8Num314z0"/>
    <w:qFormat/>
    <w:rPr>
      <w:b w:val="false"/>
    </w:rPr>
  </w:style>
  <w:style w:type="character" w:styleId="WW8Num315z0">
    <w:name w:val="WW8Num315z0"/>
    <w:qFormat/>
    <w:rPr/>
  </w:style>
  <w:style w:type="character" w:styleId="WW8Num316z0">
    <w:name w:val="WW8Num316z0"/>
    <w:qFormat/>
    <w:rPr/>
  </w:style>
  <w:style w:type="character" w:styleId="WW8Num317z0">
    <w:name w:val="WW8Num317z0"/>
    <w:qFormat/>
    <w:rPr>
      <w:b w:val="false"/>
    </w:rPr>
  </w:style>
  <w:style w:type="character" w:styleId="WW8Num317z1">
    <w:name w:val="WW8Num317z1"/>
    <w:qFormat/>
    <w:rPr/>
  </w:style>
  <w:style w:type="character" w:styleId="WW8Num318z0">
    <w:name w:val="WW8Num318z0"/>
    <w:qFormat/>
    <w:rPr/>
  </w:style>
  <w:style w:type="character" w:styleId="WW8Num319z1">
    <w:name w:val="WW8Num319z1"/>
    <w:qFormat/>
    <w:rPr/>
  </w:style>
  <w:style w:type="character" w:styleId="WW8Num320z0">
    <w:name w:val="WW8Num320z0"/>
    <w:qFormat/>
    <w:rPr/>
  </w:style>
  <w:style w:type="character" w:styleId="WW8Num321z0">
    <w:name w:val="WW8Num321z0"/>
    <w:qFormat/>
    <w:rPr/>
  </w:style>
  <w:style w:type="character" w:styleId="WW8Num322z0">
    <w:name w:val="WW8Num322z0"/>
    <w:qFormat/>
    <w:rPr>
      <w:b w:val="false"/>
      <w:u w:val="none"/>
    </w:rPr>
  </w:style>
  <w:style w:type="character" w:styleId="WW8Num322z1">
    <w:name w:val="WW8Num322z1"/>
    <w:qFormat/>
    <w:rPr/>
  </w:style>
  <w:style w:type="character" w:styleId="WW8Num325z0">
    <w:name w:val="WW8Num325z0"/>
    <w:qFormat/>
    <w:rPr/>
  </w:style>
  <w:style w:type="character" w:styleId="WW8Num326z0">
    <w:name w:val="WW8Num326z0"/>
    <w:qFormat/>
    <w:rPr>
      <w:rFonts w:ascii="Arial" w:hAnsi="Arial" w:cs="Arial"/>
      <w:b/>
      <w:sz w:val="24"/>
    </w:rPr>
  </w:style>
  <w:style w:type="character" w:styleId="WW8Num328z0">
    <w:name w:val="WW8Num328z0"/>
    <w:qFormat/>
    <w:rPr/>
  </w:style>
  <w:style w:type="character" w:styleId="WW8Num329z0">
    <w:name w:val="WW8Num329z0"/>
    <w:qFormat/>
    <w:rPr>
      <w:b w:val="false"/>
    </w:rPr>
  </w:style>
  <w:style w:type="character" w:styleId="WW8Num331z0">
    <w:name w:val="WW8Num331z0"/>
    <w:qFormat/>
    <w:rPr/>
  </w:style>
  <w:style w:type="character" w:styleId="WW8Num332z0">
    <w:name w:val="WW8Num332z0"/>
    <w:qFormat/>
    <w:rPr/>
  </w:style>
  <w:style w:type="character" w:styleId="WW8Num333z0">
    <w:name w:val="WW8Num333z0"/>
    <w:qFormat/>
    <w:rPr>
      <w:b w:val="false"/>
    </w:rPr>
  </w:style>
  <w:style w:type="character" w:styleId="WW8Num334z0">
    <w:name w:val="WW8Num334z0"/>
    <w:qFormat/>
    <w:rPr>
      <w:sz w:val="28"/>
    </w:rPr>
  </w:style>
  <w:style w:type="character" w:styleId="WW8Num335z0">
    <w:name w:val="WW8Num335z0"/>
    <w:qFormat/>
    <w:rPr>
      <w:rFonts w:ascii="Symbol" w:hAnsi="Symbol" w:cs="Symbol"/>
      <w:b/>
    </w:rPr>
  </w:style>
  <w:style w:type="character" w:styleId="WW8Num336z0">
    <w:name w:val="WW8Num336z0"/>
    <w:qFormat/>
    <w:rPr/>
  </w:style>
  <w:style w:type="character" w:styleId="WW8Num337z0">
    <w:name w:val="WW8Num337z0"/>
    <w:qFormat/>
    <w:rPr/>
  </w:style>
  <w:style w:type="character" w:styleId="WW8Num338z0">
    <w:name w:val="WW8Num338z0"/>
    <w:qFormat/>
    <w:rPr>
      <w:b w:val="false"/>
      <w:u w:val="none"/>
    </w:rPr>
  </w:style>
  <w:style w:type="character" w:styleId="WW8Num339z0">
    <w:name w:val="WW8Num339z0"/>
    <w:qFormat/>
    <w:rPr>
      <w:b w:val="false"/>
    </w:rPr>
  </w:style>
  <w:style w:type="character" w:styleId="WW8Num339z1">
    <w:name w:val="WW8Num339z1"/>
    <w:qFormat/>
    <w:rPr/>
  </w:style>
  <w:style w:type="character" w:styleId="WW8Num340z0">
    <w:name w:val="WW8Num340z0"/>
    <w:qFormat/>
    <w:rPr>
      <w:sz w:val="28"/>
    </w:rPr>
  </w:style>
  <w:style w:type="character" w:styleId="WW8Num341z0">
    <w:name w:val="WW8Num341z0"/>
    <w:qFormat/>
    <w:rPr>
      <w:b w:val="false"/>
    </w:rPr>
  </w:style>
  <w:style w:type="character" w:styleId="WW8Num341z1">
    <w:name w:val="WW8Num341z1"/>
    <w:qFormat/>
    <w:rPr/>
  </w:style>
  <w:style w:type="character" w:styleId="WW8Num342z0">
    <w:name w:val="WW8Num342z0"/>
    <w:qFormat/>
    <w:rPr>
      <w:b w:val="false"/>
      <w:i w:val="false"/>
      <w:u w:val="none"/>
    </w:rPr>
  </w:style>
  <w:style w:type="character" w:styleId="WW8Num343z0">
    <w:name w:val="WW8Num343z0"/>
    <w:qFormat/>
    <w:rPr/>
  </w:style>
  <w:style w:type="character" w:styleId="WW8Num344z0">
    <w:name w:val="WW8Num344z0"/>
    <w:qFormat/>
    <w:rPr/>
  </w:style>
  <w:style w:type="character" w:styleId="WW8Num345z0">
    <w:name w:val="WW8Num345z0"/>
    <w:qFormat/>
    <w:rPr/>
  </w:style>
  <w:style w:type="character" w:styleId="WW8Num346z0">
    <w:name w:val="WW8Num346z0"/>
    <w:qFormat/>
    <w:rPr>
      <w:b/>
    </w:rPr>
  </w:style>
  <w:style w:type="character" w:styleId="WW8Num347z0">
    <w:name w:val="WW8Num347z0"/>
    <w:qFormat/>
    <w:rPr/>
  </w:style>
  <w:style w:type="character" w:styleId="WW8Num348z0">
    <w:name w:val="WW8Num348z0"/>
    <w:qFormat/>
    <w:rPr/>
  </w:style>
  <w:style w:type="character" w:styleId="WW8Num349z0">
    <w:name w:val="WW8Num349z0"/>
    <w:qFormat/>
    <w:rPr/>
  </w:style>
  <w:style w:type="character" w:styleId="WW8Num351z0">
    <w:name w:val="WW8Num351z0"/>
    <w:qFormat/>
    <w:rPr>
      <w:b w:val="false"/>
      <w:i w:val="false"/>
      <w:u w:val="none"/>
    </w:rPr>
  </w:style>
  <w:style w:type="character" w:styleId="WW8Num351z1">
    <w:name w:val="WW8Num351z1"/>
    <w:qFormat/>
    <w:rPr/>
  </w:style>
  <w:style w:type="character" w:styleId="WW8Num352z0">
    <w:name w:val="WW8Num352z0"/>
    <w:qFormat/>
    <w:rPr/>
  </w:style>
  <w:style w:type="character" w:styleId="WW8Num353z0">
    <w:name w:val="WW8Num353z0"/>
    <w:qFormat/>
    <w:rPr/>
  </w:style>
  <w:style w:type="character" w:styleId="WW8Num354z0">
    <w:name w:val="WW8Num354z0"/>
    <w:qFormat/>
    <w:rPr>
      <w:sz w:val="28"/>
    </w:rPr>
  </w:style>
  <w:style w:type="character" w:styleId="WW8Num355z0">
    <w:name w:val="WW8Num355z0"/>
    <w:qFormat/>
    <w:rPr>
      <w:b w:val="false"/>
    </w:rPr>
  </w:style>
  <w:style w:type="character" w:styleId="WW8Num355z1">
    <w:name w:val="WW8Num355z1"/>
    <w:qFormat/>
    <w:rPr/>
  </w:style>
  <w:style w:type="character" w:styleId="WW8Num356z0">
    <w:name w:val="WW8Num356z0"/>
    <w:qFormat/>
    <w:rPr/>
  </w:style>
  <w:style w:type="character" w:styleId="WW8Num357z0">
    <w:name w:val="WW8Num357z0"/>
    <w:qFormat/>
    <w:rPr/>
  </w:style>
  <w:style w:type="character" w:styleId="WW8Num358z0">
    <w:name w:val="WW8Num358z0"/>
    <w:qFormat/>
    <w:rPr/>
  </w:style>
  <w:style w:type="character" w:styleId="WW8Num359z0">
    <w:name w:val="WW8Num359z0"/>
    <w:qFormat/>
    <w:rPr>
      <w:b w:val="false"/>
      <w:sz w:val="24"/>
    </w:rPr>
  </w:style>
  <w:style w:type="character" w:styleId="WW8Num360z0">
    <w:name w:val="WW8Num360z0"/>
    <w:qFormat/>
    <w:rPr/>
  </w:style>
  <w:style w:type="character" w:styleId="WW8Num361z0">
    <w:name w:val="WW8Num361z0"/>
    <w:qFormat/>
    <w:rPr/>
  </w:style>
  <w:style w:type="character" w:styleId="WW8Num362z0">
    <w:name w:val="WW8Num362z0"/>
    <w:qFormat/>
    <w:rPr>
      <w:sz w:val="28"/>
    </w:rPr>
  </w:style>
  <w:style w:type="character" w:styleId="WW8Num363z0">
    <w:name w:val="WW8Num363z0"/>
    <w:qFormat/>
    <w:rPr/>
  </w:style>
  <w:style w:type="character" w:styleId="WW8Num364z0">
    <w:name w:val="WW8Num364z0"/>
    <w:qFormat/>
    <w:rPr>
      <w:b w:val="false"/>
    </w:rPr>
  </w:style>
  <w:style w:type="character" w:styleId="WW8Num364z1">
    <w:name w:val="WW8Num364z1"/>
    <w:qFormat/>
    <w:rPr/>
  </w:style>
  <w:style w:type="character" w:styleId="WW8Num365z0">
    <w:name w:val="WW8Num36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2001-09-12T17:49:00Z</dcterms:created>
  <dc:creator>Bob Henderson</dc:creator>
  <dc:description/>
  <dc:language>en-CA</dc:language>
  <cp:lastModifiedBy>DCAGLE</cp:lastModifiedBy>
  <cp:lastPrinted>2001-09-14T11:23:00Z</cp:lastPrinted>
  <dcterms:modified xsi:type="dcterms:W3CDTF">2001-09-14T13:54:00Z</dcterms:modified>
  <cp:revision>1</cp:revision>
  <dc:subject/>
  <dc:title> </dc:title>
</cp:coreProperties>
</file>